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4E79"/>
          <w:sz w:val="52"/>
          <w:szCs w:val="52"/>
        </w:rPr>
        <w:t xml:space="preserve">GregDeskin.com</w:t>
      </w:r>
    </w:p>
    <w:p>
      <w:pPr>
        <w:spacing w:after="60"/>
        <w:jc w:val="center"/>
      </w:pPr>
      <w:r>
        <w:rPr>
          <w:color w:val="595959"/>
          <w:sz w:val="30"/>
          <w:szCs w:val="30"/>
        </w:rPr>
        <w:t xml:space="preserve">Website Improvement &amp; Development Task List</w:t>
      </w:r>
    </w:p>
    <w:p>
      <w:pPr>
        <w:pBdr>
          <w:bottom w:val="single" w:color="1F4E79" w:sz="8"/>
        </w:pBdr>
        <w:spacing w:after="300"/>
        <w:jc w:val="center"/>
      </w:pPr>
      <w:r>
        <w:rPr>
          <w:i/>
          <w:iCs/>
          <w:color w:val="595959"/>
          <w:sz w:val="20"/>
          <w:szCs w:val="20"/>
        </w:rPr>
        <w:t xml:space="preserve">Prepared for Web Designer / Developer  |  July 2026</w:t>
      </w:r>
    </w:p>
    <w:p>
      <w:pPr>
        <w:pStyle w:val="Heading1"/>
        <w:spacing w:after="160" w:before="320"/>
      </w:pPr>
      <w:r>
        <w:rPr>
          <w:color w:val="1F4E79"/>
        </w:rPr>
        <w:t xml:space="preserve">Project Overview &amp; Strategy</w:t>
      </w:r>
    </w:p>
    <w:p>
      <w:pPr>
        <w:spacing w:after="120"/>
      </w:pPr>
      <w:r>
        <w:t xml:space="preserve">This document itemizes the development tasks for GregDeskin.com. The site architecture is built around matching content to user search intent, following Google's Search Quality Rater Guidelines (SQRG), with the goal of achieving a high Page Quality (PQ) rating across all pages.</w:t>
      </w:r>
    </w:p>
    <w:p>
      <w:pPr>
        <w:spacing w:after="120"/>
      </w:pPr>
      <w:r>
        <w:rPr>
          <w:b/>
          <w:bCs/>
        </w:rPr>
        <w:t xml:space="preserve">Site strategy by user intent:</w:t>
      </w:r>
    </w:p>
    <w:p>
      <w:pPr>
        <w:pStyle w:val="ListParagraph"/>
        <w:numPr>
          <w:ilvl w:val="0"/>
          <w:numId w:val="2"/>
        </w:numPr>
        <w:spacing w:after="80"/>
      </w:pPr>
      <w:r>
        <w:rPr>
          <w:b/>
          <w:bCs/>
        </w:rPr>
        <w:t xml:space="preserve">Transactional intent (Home Page) — </w:t>
      </w:r>
      <w:r>
        <w:t xml:space="preserve">The home page targets visitors ready to act now (apply, call, or schedule). Its sole purpose is lead generation through a strong, above-the-fold call to action (CTA).</w:t>
      </w:r>
    </w:p>
    <w:p>
      <w:pPr>
        <w:pStyle w:val="ListParagraph"/>
        <w:numPr>
          <w:ilvl w:val="0"/>
          <w:numId w:val="2"/>
        </w:numPr>
        <w:spacing w:after="80"/>
      </w:pPr>
      <w:r>
        <w:rPr>
          <w:b/>
          <w:bCs/>
        </w:rPr>
        <w:t xml:space="preserve">Informational &amp; commercial intent (Sidebar) — </w:t>
      </w:r>
      <w:r>
        <w:t xml:space="preserve">A persistent sidebar menu of loan types serves borrowers who are researching loan products or investigating and comparing options before committing. This keeps educational content one click away without diluting the home page's CTA focus.</w:t>
      </w:r>
    </w:p>
    <w:p>
      <w:pPr>
        <w:pStyle w:val="ListParagraph"/>
        <w:numPr>
          <w:ilvl w:val="0"/>
          <w:numId w:val="2"/>
        </w:numPr>
        <w:spacing w:after="80"/>
      </w:pPr>
      <w:r>
        <w:rPr>
          <w:b/>
          <w:bCs/>
        </w:rPr>
        <w:t xml:space="preserve">Supporting resources — </w:t>
      </w:r>
      <w:r>
        <w:t xml:space="preserve">Outbound link to TheLoanCenter.com provides informational videos, adding depth and supporting E-E-A-T without cluttering the site.</w:t>
      </w:r>
    </w:p>
    <w:p>
      <w:pPr>
        <w:pStyle w:val="Heading2"/>
        <w:spacing w:after="100" w:before="280"/>
      </w:pPr>
      <w:r>
        <w:rPr>
          <w:color w:val="1F4E79"/>
        </w:rPr>
        <w:t xml:space="preserve">Task 1: Home Page — Lead Generation &amp; Call to Action</w:t>
      </w:r>
      <w:r>
        <w:rPr>
          <w:b w:val="false"/>
          <w:bCs w:val="false"/>
          <w:color w:val="595959"/>
          <w:sz w:val="20"/>
          <w:szCs w:val="20"/>
        </w:rPr>
        <w:t xml:space="preserve">   [Priority: High]</w:t>
      </w:r>
    </w:p>
    <w:p>
      <w:pPr>
        <w:spacing w:after="120"/>
      </w:pPr>
      <w:r>
        <w:t xml:space="preserve">Goal: Convert visitors with transactional intent. Every element above the fold should drive one action: contact Greg. Minimize distractions, navigation clutter, and long text blocks.</w:t>
      </w:r>
    </w:p>
    <w:p>
      <w:pPr>
        <w:spacing w:after="120"/>
      </w:pPr>
      <w:r>
        <w:rPr>
          <w:b/>
          <w:bCs/>
        </w:rPr>
        <w:t xml:space="preserve">Requirements:</w:t>
      </w:r>
    </w:p>
    <w:p>
      <w:pPr>
        <w:pStyle w:val="ListParagraph"/>
        <w:numPr>
          <w:ilvl w:val="0"/>
          <w:numId w:val="2"/>
        </w:numPr>
        <w:spacing w:after="80"/>
      </w:pPr>
      <w:r>
        <w:rPr>
          <w:b/>
          <w:bCs/>
        </w:rPr>
        <w:t xml:space="preserve">Above-the-fold CTA — </w:t>
      </w:r>
      <w:r>
        <w:t xml:space="preserve">Hero section with a clear headline stating the value proposition (e.g., "Get Pre-Approved Today") and a single dominant primary CTA button.</w:t>
      </w:r>
    </w:p>
    <w:p>
      <w:pPr>
        <w:pStyle w:val="ListParagraph"/>
        <w:numPr>
          <w:ilvl w:val="0"/>
          <w:numId w:val="2"/>
        </w:numPr>
        <w:spacing w:after="80"/>
      </w:pPr>
      <w:r>
        <w:rPr>
          <w:b/>
          <w:bCs/>
        </w:rPr>
        <w:t xml:space="preserve">Introduction video — </w:t>
      </w:r>
      <w:r>
        <w:t xml:space="preserve">Embed Greg's personal introduction video prominently in the hero or immediately below it. Use a lightweight/lazy-loaded embed so it does not slow page load (Core Web Vitals). Include a professional thumbnail with a play button and closed captions.</w:t>
      </w:r>
    </w:p>
    <w:p>
      <w:pPr>
        <w:pStyle w:val="ListParagraph"/>
        <w:numPr>
          <w:ilvl w:val="0"/>
          <w:numId w:val="2"/>
        </w:numPr>
        <w:spacing w:after="80"/>
      </w:pPr>
      <w:r>
        <w:rPr>
          <w:b/>
          <w:bCs/>
        </w:rPr>
        <w:t xml:space="preserve">Three-way CTA block — </w:t>
      </w:r>
      <w:r>
        <w:t xml:space="preserve">Provide three conversion paths so every visitor can act in their preferred way:</w:t>
      </w:r>
    </w:p>
    <w:p>
      <w:pPr>
        <w:pStyle w:val="ListParagraph"/>
        <w:numPr>
          <w:ilvl w:val="1"/>
          <w:numId w:val="2"/>
        </w:numPr>
        <w:spacing w:after="60"/>
      </w:pPr>
      <w:r>
        <w:t xml:space="preserve">Short lead-capture form: name, phone, email, loan purpose (purchase/refinance), and best time to contact. Keep it to 5 fields or fewer — shorter forms convert better.</w:t>
      </w:r>
    </w:p>
    <w:p>
      <w:pPr>
        <w:pStyle w:val="ListParagraph"/>
        <w:numPr>
          <w:ilvl w:val="1"/>
          <w:numId w:val="2"/>
        </w:numPr>
        <w:spacing w:after="60"/>
      </w:pPr>
      <w:r>
        <w:t xml:space="preserve">Direct email link (mailto or contact button) with Greg's business email.</w:t>
      </w:r>
    </w:p>
    <w:p>
      <w:pPr>
        <w:pStyle w:val="ListParagraph"/>
        <w:numPr>
          <w:ilvl w:val="1"/>
          <w:numId w:val="2"/>
        </w:numPr>
        <w:spacing w:after="60"/>
      </w:pPr>
      <w:r>
        <w:t xml:space="preserve">Meeting scheduler (Calendly or equivalent) allowing visitors to book a call or consultation directly on Greg's calendar.</w:t>
      </w:r>
    </w:p>
    <w:p>
      <w:pPr>
        <w:pStyle w:val="ListParagraph"/>
        <w:numPr>
          <w:ilvl w:val="0"/>
          <w:numId w:val="2"/>
        </w:numPr>
        <w:spacing w:after="80"/>
      </w:pPr>
      <w:r>
        <w:rPr>
          <w:b/>
          <w:bCs/>
        </w:rPr>
        <w:t xml:space="preserve">CTA repetition — </w:t>
      </w:r>
      <w:r>
        <w:t xml:space="preserve">Repeat the CTA at mid-page and at the bottom of the page (sticky mobile CTA bar recommended).</w:t>
      </w:r>
    </w:p>
    <w:p>
      <w:pPr>
        <w:pStyle w:val="ListParagraph"/>
        <w:numPr>
          <w:ilvl w:val="0"/>
          <w:numId w:val="2"/>
        </w:numPr>
        <w:spacing w:after="80"/>
      </w:pPr>
      <w:r>
        <w:rPr>
          <w:b/>
          <w:bCs/>
        </w:rPr>
        <w:t xml:space="preserve">Trust signals — </w:t>
      </w:r>
      <w:r>
        <w:t xml:space="preserve">Add trust signals near the CTA: NMLS license number, years of experience, client reviews/testimonials, and any industry affiliations. These directly support the SQRG Trust component.</w:t>
      </w:r>
    </w:p>
    <w:p>
      <w:pPr>
        <w:pStyle w:val="ListParagraph"/>
        <w:numPr>
          <w:ilvl w:val="0"/>
          <w:numId w:val="2"/>
        </w:numPr>
        <w:spacing w:after="80"/>
      </w:pPr>
      <w:r>
        <w:rPr>
          <w:b/>
          <w:bCs/>
        </w:rPr>
        <w:t xml:space="preserve">Form handling — </w:t>
      </w:r>
      <w:r>
        <w:t xml:space="preserve">Form submissions must route to Greg's email/CRM with an auto-responder confirmation to the lead. Include spam protection (reCAPTCHA or honeypot).</w:t>
      </w:r>
    </w:p>
    <w:p>
      <w:pPr>
        <w:pStyle w:val="ListParagraph"/>
        <w:numPr>
          <w:ilvl w:val="0"/>
          <w:numId w:val="2"/>
        </w:numPr>
        <w:spacing w:after="80"/>
      </w:pPr>
      <w:r>
        <w:rPr>
          <w:b/>
          <w:bCs/>
        </w:rPr>
        <w:t xml:space="preserve">Mobile — </w:t>
      </w:r>
      <w:r>
        <w:t xml:space="preserve">Mobile-first design; click-to-call phone number on mobile.</w:t>
      </w:r>
    </w:p>
    <w:p>
      <w:pPr>
        <w:pStyle w:val="Heading2"/>
        <w:spacing w:after="100" w:before="280"/>
      </w:pPr>
      <w:r>
        <w:rPr>
          <w:color w:val="1F4E79"/>
        </w:rPr>
        <w:t xml:space="preserve">Task 2: Sidebar Menu — Loan Types (Research &amp; Comparison Traffic)</w:t>
      </w:r>
      <w:r>
        <w:rPr>
          <w:b w:val="false"/>
          <w:bCs w:val="false"/>
          <w:color w:val="595959"/>
          <w:sz w:val="20"/>
          <w:szCs w:val="20"/>
        </w:rPr>
        <w:t xml:space="preserve">   [Priority: High]</w:t>
      </w:r>
    </w:p>
    <w:p>
      <w:pPr>
        <w:spacing w:after="120"/>
      </w:pPr>
      <w:r>
        <w:t xml:space="preserve">Goal: Move all loan-type content out of the main page flow and into a persistent sidebar navigation menu. This serves visitors with informational intent (learning about loan products) and commercial intent (comparing options before choosing), without competing with the home page CTA.</w:t>
      </w:r>
    </w:p>
    <w:p>
      <w:pPr>
        <w:spacing w:after="120"/>
      </w:pPr>
      <w:r>
        <w:rPr>
          <w:b/>
          <w:bCs/>
        </w:rPr>
        <w:t xml:space="preserve">Requirements:</w:t>
      </w:r>
    </w:p>
    <w:p>
      <w:pPr>
        <w:pStyle w:val="ListParagraph"/>
        <w:numPr>
          <w:ilvl w:val="0"/>
          <w:numId w:val="2"/>
        </w:numPr>
        <w:spacing w:after="80"/>
      </w:pPr>
      <w:r>
        <w:t xml:space="preserve">Create a sidebar (desktop) / collapsible drawer menu (mobile) listing each loan type as its own link, e.g., Conventional, FHA, VA, Jumbo, USDA, Refinance, First-Time Buyer, Investment/Commercial. Confirm the final list with Greg.</w:t>
      </w:r>
    </w:p>
    <w:p>
      <w:pPr>
        <w:pStyle w:val="ListParagraph"/>
        <w:numPr>
          <w:ilvl w:val="0"/>
          <w:numId w:val="2"/>
        </w:numPr>
        <w:spacing w:after="80"/>
      </w:pPr>
      <w:r>
        <w:t xml:space="preserve">Each loan type links to its own dedicated page with: who the loan is for, qualification basics, pros and cons, and a soft CTA at the bottom ("Have questions about this loan? Ask Greg") linking back to the contact form or scheduler.</w:t>
      </w:r>
    </w:p>
    <w:p>
      <w:pPr>
        <w:pStyle w:val="ListParagraph"/>
        <w:numPr>
          <w:ilvl w:val="0"/>
          <w:numId w:val="2"/>
        </w:numPr>
        <w:spacing w:after="80"/>
      </w:pPr>
      <w:r>
        <w:t xml:space="preserve">Loan pages should be written to satisfy informational queries fully (SQRG: content that meets the user's need earns higher PQ) — original, helpful content, not thin or copied text.</w:t>
      </w:r>
    </w:p>
    <w:p>
      <w:pPr>
        <w:pStyle w:val="ListParagraph"/>
        <w:numPr>
          <w:ilvl w:val="0"/>
          <w:numId w:val="2"/>
        </w:numPr>
        <w:spacing w:after="80"/>
      </w:pPr>
      <w:r>
        <w:t xml:space="preserve">Sidebar appears on all interior pages; on the home page it may be collapsed or minimized so it does not compete with the CTA.</w:t>
      </w:r>
    </w:p>
    <w:p>
      <w:pPr>
        <w:pStyle w:val="Heading2"/>
        <w:spacing w:after="100" w:before="280"/>
      </w:pPr>
      <w:r>
        <w:rPr>
          <w:color w:val="1F4E79"/>
        </w:rPr>
        <w:t xml:space="preserve">Task 3: Breadcrumb Navigation</w:t>
      </w:r>
      <w:r>
        <w:rPr>
          <w:b w:val="false"/>
          <w:bCs w:val="false"/>
          <w:color w:val="595959"/>
          <w:sz w:val="20"/>
          <w:szCs w:val="20"/>
        </w:rPr>
        <w:t xml:space="preserve">   [Priority: Medium]</w:t>
      </w:r>
    </w:p>
    <w:p>
      <w:pPr>
        <w:spacing w:after="120"/>
      </w:pPr>
      <w:r>
        <w:t xml:space="preserve">Goal: Help users understand where they are in the site and navigate back easily; help search engines understand site structure.</w:t>
      </w:r>
    </w:p>
    <w:p>
      <w:pPr>
        <w:spacing w:after="120"/>
      </w:pPr>
      <w:r>
        <w:rPr>
          <w:b/>
          <w:bCs/>
        </w:rPr>
        <w:t xml:space="preserve">Requirements:</w:t>
      </w:r>
    </w:p>
    <w:p>
      <w:pPr>
        <w:pStyle w:val="ListParagraph"/>
        <w:numPr>
          <w:ilvl w:val="0"/>
          <w:numId w:val="2"/>
        </w:numPr>
        <w:spacing w:after="80"/>
      </w:pPr>
      <w:r>
        <w:t xml:space="preserve">Add breadcrumbs to all pages except the home page (e.g., Home &gt; Loan Types &gt; FHA Loans).</w:t>
      </w:r>
    </w:p>
    <w:p>
      <w:pPr>
        <w:pStyle w:val="ListParagraph"/>
        <w:numPr>
          <w:ilvl w:val="0"/>
          <w:numId w:val="2"/>
        </w:numPr>
        <w:spacing w:after="80"/>
      </w:pPr>
      <w:r>
        <w:t xml:space="preserve">Implement BreadcrumbList structured data (schema.org JSON-LD) so breadcrumbs can appear in Google search results.</w:t>
      </w:r>
    </w:p>
    <w:p>
      <w:pPr>
        <w:pStyle w:val="ListParagraph"/>
        <w:numPr>
          <w:ilvl w:val="0"/>
          <w:numId w:val="2"/>
        </w:numPr>
        <w:spacing w:after="80"/>
      </w:pPr>
      <w:r>
        <w:t xml:space="preserve">Breadcrumb links must be clickable at every level and match the site hierarchy exactly.</w:t>
      </w:r>
    </w:p>
    <w:p>
      <w:pPr>
        <w:pStyle w:val="Heading2"/>
        <w:spacing w:after="100" w:before="280"/>
      </w:pPr>
      <w:r>
        <w:rPr>
          <w:color w:val="1F4E79"/>
        </w:rPr>
        <w:t xml:space="preserve">Task 4: Licensing Page</w:t>
      </w:r>
      <w:r>
        <w:rPr>
          <w:b w:val="false"/>
          <w:bCs w:val="false"/>
          <w:color w:val="595959"/>
          <w:sz w:val="20"/>
          <w:szCs w:val="20"/>
        </w:rPr>
        <w:t xml:space="preserve">   [Priority: High]</w:t>
      </w:r>
    </w:p>
    <w:p>
      <w:pPr>
        <w:spacing w:after="120"/>
      </w:pPr>
      <w:r>
        <w:t xml:space="preserve">Goal: A dedicated page displaying all licensing and regulatory information. This is critical for a financial services site — under SQRG, mortgage content is "Your Money or Your Life" (YMYL) content, which is held to the highest PQ standards. Clear licensing information is a primary trust factor.</w:t>
      </w:r>
    </w:p>
    <w:p>
      <w:pPr>
        <w:spacing w:after="120"/>
      </w:pPr>
      <w:r>
        <w:rPr>
          <w:b/>
          <w:bCs/>
        </w:rPr>
        <w:t xml:space="preserve">Requirements:</w:t>
      </w:r>
    </w:p>
    <w:p>
      <w:pPr>
        <w:pStyle w:val="ListParagraph"/>
        <w:numPr>
          <w:ilvl w:val="0"/>
          <w:numId w:val="2"/>
        </w:numPr>
        <w:spacing w:after="80"/>
      </w:pPr>
      <w:r>
        <w:t xml:space="preserve">Display Greg's NMLS ID, state license numbers, and the licensed states list.</w:t>
      </w:r>
    </w:p>
    <w:p>
      <w:pPr>
        <w:pStyle w:val="ListParagraph"/>
        <w:numPr>
          <w:ilvl w:val="0"/>
          <w:numId w:val="2"/>
        </w:numPr>
        <w:spacing w:after="80"/>
      </w:pPr>
      <w:r>
        <w:t xml:space="preserve">Include company/broker licensing details, Equal Housing Lender/Opportunity logo and statement, and any required regulatory disclosures.</w:t>
      </w:r>
    </w:p>
    <w:p>
      <w:pPr>
        <w:pStyle w:val="ListParagraph"/>
        <w:numPr>
          <w:ilvl w:val="0"/>
          <w:numId w:val="2"/>
        </w:numPr>
        <w:spacing w:after="80"/>
      </w:pPr>
      <w:r>
        <w:t xml:space="preserve">Link to NMLS Consumer Access (nmlsconsumeraccess.org) profile for verification.</w:t>
      </w:r>
    </w:p>
    <w:p>
      <w:pPr>
        <w:pStyle w:val="ListParagraph"/>
        <w:numPr>
          <w:ilvl w:val="0"/>
          <w:numId w:val="2"/>
        </w:numPr>
        <w:spacing w:after="80"/>
      </w:pPr>
      <w:r>
        <w:t xml:space="preserve">Link this page in the site footer (visible on every page) and reference the NMLS number in the footer itself.</w:t>
      </w:r>
    </w:p>
    <w:p>
      <w:pPr>
        <w:pStyle w:val="Heading2"/>
        <w:spacing w:after="100" w:before="280"/>
      </w:pPr>
      <w:r>
        <w:rPr>
          <w:color w:val="1F4E79"/>
        </w:rPr>
        <w:t xml:space="preserve">Task 5: Cookie Consent Banner</w:t>
      </w:r>
      <w:r>
        <w:rPr>
          <w:b w:val="false"/>
          <w:bCs w:val="false"/>
          <w:color w:val="595959"/>
          <w:sz w:val="20"/>
          <w:szCs w:val="20"/>
        </w:rPr>
        <w:t xml:space="preserve">   [Priority: High]</w:t>
      </w:r>
    </w:p>
    <w:p>
      <w:pPr>
        <w:spacing w:after="120"/>
      </w:pPr>
      <w:r>
        <w:t xml:space="preserve">Goal: Legal compliance and user transparency for cookies and tracking (analytics, ad pixels, form tools).</w:t>
      </w:r>
    </w:p>
    <w:p>
      <w:pPr>
        <w:spacing w:after="120"/>
      </w:pPr>
      <w:r>
        <w:rPr>
          <w:b/>
          <w:bCs/>
        </w:rPr>
        <w:t xml:space="preserve">Requirements:</w:t>
      </w:r>
    </w:p>
    <w:p>
      <w:pPr>
        <w:pStyle w:val="ListParagraph"/>
        <w:numPr>
          <w:ilvl w:val="0"/>
          <w:numId w:val="2"/>
        </w:numPr>
        <w:spacing w:after="80"/>
      </w:pPr>
      <w:r>
        <w:t xml:space="preserve">Implement a cookie consent banner on first visit with Accept / Decline / Preferences options.</w:t>
      </w:r>
    </w:p>
    <w:p>
      <w:pPr>
        <w:pStyle w:val="ListParagraph"/>
        <w:numPr>
          <w:ilvl w:val="0"/>
          <w:numId w:val="2"/>
        </w:numPr>
        <w:spacing w:after="80"/>
      </w:pPr>
      <w:r>
        <w:t xml:space="preserve">Consent choice must be remembered and honored — non-essential scripts (analytics, marketing pixels) load only after consent where required.</w:t>
      </w:r>
    </w:p>
    <w:p>
      <w:pPr>
        <w:pStyle w:val="ListParagraph"/>
        <w:numPr>
          <w:ilvl w:val="0"/>
          <w:numId w:val="2"/>
        </w:numPr>
        <w:spacing w:after="80"/>
      </w:pPr>
      <w:r>
        <w:t xml:space="preserve">Include CCPA/CPRA compliance elements for California visitors (e.g., "Do Not Sell or Share My Personal Information" link if applicable).</w:t>
      </w:r>
    </w:p>
    <w:p>
      <w:pPr>
        <w:pStyle w:val="ListParagraph"/>
        <w:numPr>
          <w:ilvl w:val="0"/>
          <w:numId w:val="2"/>
        </w:numPr>
        <w:spacing w:after="80"/>
      </w:pPr>
      <w:r>
        <w:t xml:space="preserve">Create/link a Privacy Policy and Cookie Policy page from the banner and the footer.</w:t>
      </w:r>
    </w:p>
    <w:p>
      <w:pPr>
        <w:pStyle w:val="Heading2"/>
        <w:spacing w:after="100" w:before="280"/>
      </w:pPr>
      <w:r>
        <w:rPr>
          <w:color w:val="1F4E79"/>
        </w:rPr>
        <w:t xml:space="preserve">Task 6: Link to TheLoanCenter.com — Informational Videos</w:t>
      </w:r>
      <w:r>
        <w:rPr>
          <w:b w:val="false"/>
          <w:bCs w:val="false"/>
          <w:color w:val="595959"/>
          <w:sz w:val="20"/>
          <w:szCs w:val="20"/>
        </w:rPr>
        <w:t xml:space="preserve">   [Priority: Medium]</w:t>
      </w:r>
    </w:p>
    <w:p>
      <w:pPr>
        <w:spacing w:after="120"/>
      </w:pPr>
      <w:r>
        <w:t xml:space="preserve">Goal: Give researching visitors a deeper educational resource.</w:t>
      </w:r>
    </w:p>
    <w:p>
      <w:pPr>
        <w:spacing w:after="120"/>
      </w:pPr>
      <w:r>
        <w:rPr>
          <w:b/>
          <w:bCs/>
        </w:rPr>
        <w:t xml:space="preserve">Requirements:</w:t>
      </w:r>
    </w:p>
    <w:p>
      <w:pPr>
        <w:pStyle w:val="ListParagraph"/>
        <w:numPr>
          <w:ilvl w:val="0"/>
          <w:numId w:val="2"/>
        </w:numPr>
        <w:spacing w:after="80"/>
      </w:pPr>
      <w:r>
        <w:t xml:space="preserve">Add a clearly labeled link/section (e.g., "Watch: Loan Education Videos") pointing to TheLoanCenter.com.</w:t>
      </w:r>
    </w:p>
    <w:p>
      <w:pPr>
        <w:pStyle w:val="ListParagraph"/>
        <w:numPr>
          <w:ilvl w:val="0"/>
          <w:numId w:val="2"/>
        </w:numPr>
        <w:spacing w:after="80"/>
      </w:pPr>
      <w:r>
        <w:t xml:space="preserve">Place the link in the sidebar (with the loan types) and on each loan-type page where relevant.</w:t>
      </w:r>
    </w:p>
    <w:p>
      <w:pPr>
        <w:pStyle w:val="ListParagraph"/>
        <w:numPr>
          <w:ilvl w:val="0"/>
          <w:numId w:val="2"/>
        </w:numPr>
        <w:spacing w:after="80"/>
      </w:pPr>
      <w:r>
        <w:t xml:space="preserve">Open in a new tab; verify the link and destination periodically.</w:t>
      </w:r>
    </w:p>
    <w:p>
      <w:pPr>
        <w:pStyle w:val="Heading2"/>
        <w:spacing w:after="100" w:before="280"/>
      </w:pPr>
      <w:r>
        <w:rPr>
          <w:color w:val="1F4E79"/>
        </w:rPr>
        <w:t xml:space="preserve">Task 7: SQRG / Page Quality (PQ) Optimization — Site-Wide</w:t>
      </w:r>
      <w:r>
        <w:rPr>
          <w:b w:val="false"/>
          <w:bCs w:val="false"/>
          <w:color w:val="595959"/>
          <w:sz w:val="20"/>
          <w:szCs w:val="20"/>
        </w:rPr>
        <w:t xml:space="preserve">   [Priority: High]</w:t>
      </w:r>
    </w:p>
    <w:p>
      <w:pPr>
        <w:spacing w:after="120"/>
      </w:pPr>
      <w:r>
        <w:t xml:space="preserve">Goal: Build every page to earn a high Page Quality rating under Google's Search Quality Rater Guidelines. Because mortgage content is YMYL, the bar for E-E-A-T (Experience, Expertise, Authoritativeness, Trustworthiness) is at its highest.</w:t>
      </w:r>
    </w:p>
    <w:p>
      <w:pPr>
        <w:spacing w:after="120"/>
      </w:pPr>
      <w:r>
        <w:rPr>
          <w:b/>
          <w:bCs/>
        </w:rPr>
        <w:t xml:space="preserve">Requirements:</w:t>
      </w:r>
    </w:p>
    <w:p>
      <w:pPr>
        <w:pStyle w:val="ListParagraph"/>
        <w:numPr>
          <w:ilvl w:val="0"/>
          <w:numId w:val="2"/>
        </w:numPr>
        <w:spacing w:after="80"/>
      </w:pPr>
      <w:r>
        <w:rPr>
          <w:b/>
          <w:bCs/>
        </w:rPr>
        <w:t xml:space="preserve">About / author info — </w:t>
      </w:r>
      <w:r>
        <w:t xml:space="preserve">Create a strong About Greg page: professional bio, photo, credentials, NMLS ID, years in the industry, and community involvement. Author information is a key PQ input.</w:t>
      </w:r>
    </w:p>
    <w:p>
      <w:pPr>
        <w:pStyle w:val="ListParagraph"/>
        <w:numPr>
          <w:ilvl w:val="0"/>
          <w:numId w:val="2"/>
        </w:numPr>
        <w:spacing w:after="80"/>
      </w:pPr>
      <w:r>
        <w:rPr>
          <w:b/>
          <w:bCs/>
        </w:rPr>
        <w:t xml:space="preserve">Contact info — </w:t>
      </w:r>
      <w:r>
        <w:t xml:space="preserve">Full contact information (phone, email, office address) easy to find on every page — a major trust factor for YMYL sites.</w:t>
      </w:r>
    </w:p>
    <w:p>
      <w:pPr>
        <w:pStyle w:val="ListParagraph"/>
        <w:numPr>
          <w:ilvl w:val="0"/>
          <w:numId w:val="2"/>
        </w:numPr>
        <w:spacing w:after="80"/>
      </w:pPr>
      <w:r>
        <w:rPr>
          <w:b/>
          <w:bCs/>
        </w:rPr>
        <w:t xml:space="preserve">Clear page purpose — </w:t>
      </w:r>
      <w:r>
        <w:t xml:space="preserve">Each page has one clear purpose and fulfills it completely (home = convert; loan pages = inform; licensing = disclose). Pages with a clear, well-served beneficial purpose rate higher.</w:t>
      </w:r>
    </w:p>
    <w:p>
      <w:pPr>
        <w:pStyle w:val="ListParagraph"/>
        <w:numPr>
          <w:ilvl w:val="0"/>
          <w:numId w:val="2"/>
        </w:numPr>
        <w:spacing w:after="80"/>
      </w:pPr>
      <w:r>
        <w:rPr>
          <w:b/>
          <w:bCs/>
        </w:rPr>
        <w:t xml:space="preserve">Main content quality — </w:t>
      </w:r>
      <w:r>
        <w:t xml:space="preserve">Original, accurate, well-written content. No thin, duplicated, or auto-generated filler. Cite or align with authoritative sources (CFPB, HUD, FHA) where facts are stated.</w:t>
      </w:r>
    </w:p>
    <w:p>
      <w:pPr>
        <w:pStyle w:val="ListParagraph"/>
        <w:numPr>
          <w:ilvl w:val="0"/>
          <w:numId w:val="2"/>
        </w:numPr>
        <w:spacing w:after="80"/>
      </w:pPr>
      <w:r>
        <w:rPr>
          <w:b/>
          <w:bCs/>
        </w:rPr>
        <w:t xml:space="preserve">Technical trust — </w:t>
      </w:r>
      <w:r>
        <w:t xml:space="preserve">HTTPS everywhere, fast load times, mobile-friendly, no intrusive interstitials or excessive ads.</w:t>
      </w:r>
    </w:p>
    <w:p>
      <w:pPr>
        <w:pStyle w:val="ListParagraph"/>
        <w:numPr>
          <w:ilvl w:val="0"/>
          <w:numId w:val="2"/>
        </w:numPr>
        <w:spacing w:after="80"/>
      </w:pPr>
      <w:r>
        <w:rPr>
          <w:b/>
          <w:bCs/>
        </w:rPr>
        <w:t xml:space="preserve">Reputation — </w:t>
      </w:r>
      <w:r>
        <w:t xml:space="preserve">Display client testimonials/reviews and link to third-party review profiles (Google Business Profile, Zillow) to build reputation signals.</w:t>
      </w:r>
    </w:p>
    <w:p>
      <w:pPr>
        <w:pStyle w:val="Heading2"/>
        <w:spacing w:after="100" w:before="280"/>
      </w:pPr>
      <w:r>
        <w:rPr>
          <w:color w:val="1F4E79"/>
        </w:rPr>
        <w:t xml:space="preserve">Task 8: General Site Structure &amp; Footer</w:t>
      </w:r>
      <w:r>
        <w:rPr>
          <w:b w:val="false"/>
          <w:bCs w:val="false"/>
          <w:color w:val="595959"/>
          <w:sz w:val="20"/>
          <w:szCs w:val="20"/>
        </w:rPr>
        <w:t xml:space="preserve">   [Priority: Medium]</w:t>
      </w:r>
    </w:p>
    <w:p>
      <w:pPr>
        <w:spacing w:after="120"/>
      </w:pPr>
      <w:r>
        <w:rPr>
          <w:b/>
          <w:bCs/>
        </w:rPr>
        <w:t xml:space="preserve">Requirements:</w:t>
      </w:r>
    </w:p>
    <w:p>
      <w:pPr>
        <w:pStyle w:val="ListParagraph"/>
        <w:numPr>
          <w:ilvl w:val="0"/>
          <w:numId w:val="2"/>
        </w:numPr>
        <w:spacing w:after="80"/>
      </w:pPr>
      <w:r>
        <w:t xml:space="preserve">Footer on every page containing: NMLS number, Equal Housing logo, links to Licensing, Privacy Policy, Cookie Policy, About, and Contact.</w:t>
      </w:r>
    </w:p>
    <w:p>
      <w:pPr>
        <w:pStyle w:val="ListParagraph"/>
        <w:numPr>
          <w:ilvl w:val="0"/>
          <w:numId w:val="2"/>
        </w:numPr>
        <w:spacing w:after="80"/>
      </w:pPr>
      <w:r>
        <w:t xml:space="preserve">Consistent header with logo, minimal top navigation, and a persistent "Get Started" CTA button.</w:t>
      </w:r>
    </w:p>
    <w:p>
      <w:pPr>
        <w:pStyle w:val="ListParagraph"/>
        <w:numPr>
          <w:ilvl w:val="0"/>
          <w:numId w:val="2"/>
        </w:numPr>
        <w:spacing w:after="80"/>
      </w:pPr>
      <w:r>
        <w:t xml:space="preserve">XML sitemap and clean URL structure matching the breadcrumb hierarchy (e.g., /loan-types/fha/).</w:t>
      </w:r>
    </w:p>
    <w:p>
      <w:pPr>
        <w:pStyle w:val="Heading1"/>
        <w:spacing w:after="160" w:before="320"/>
      </w:pPr>
      <w:r>
        <w:rPr>
          <w:color w:val="1F4E79"/>
        </w:rPr>
        <w:t xml:space="preserve">Task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5220"/>
        <w:gridCol w:w="1800"/>
        <w:gridCol w:w="1800"/>
      </w:tblGrid>
      <w:tr>
        <w:trPr>
          <w:tblHeader/>
        </w:trPr>
        <w:tc>
          <w:tcPr>
            <w:tcW w:type="dxa" w:w="900"/>
            <w:shd w:fill="1F4E79" w:val="clear"/>
            <w:tcMar>
              <w:top w:type="dxa" w:w="80"/>
              <w:left w:type="dxa" w:w="120"/>
              <w:bottom w:type="dxa" w:w="80"/>
              <w:right w:type="dxa" w:w="120"/>
            </w:tcMar>
          </w:tcPr>
          <w:p>
            <w:r>
              <w:rPr>
                <w:b/>
                <w:bCs/>
                <w:color w:val="FFFFFF"/>
                <w:sz w:val="20"/>
                <w:szCs w:val="20"/>
              </w:rPr>
              <w:t xml:space="preserve">#</w:t>
            </w:r>
          </w:p>
        </w:tc>
        <w:tc>
          <w:tcPr>
            <w:tcW w:type="dxa" w:w="5220"/>
            <w:shd w:fill="1F4E79" w:val="clear"/>
            <w:tcMar>
              <w:top w:type="dxa" w:w="80"/>
              <w:left w:type="dxa" w:w="120"/>
              <w:bottom w:type="dxa" w:w="80"/>
              <w:right w:type="dxa" w:w="120"/>
            </w:tcMar>
          </w:tcPr>
          <w:p>
            <w:r>
              <w:rPr>
                <w:b/>
                <w:bCs/>
                <w:color w:val="FFFFFF"/>
                <w:sz w:val="20"/>
                <w:szCs w:val="20"/>
              </w:rPr>
              <w:t xml:space="preserve">Task</w:t>
            </w:r>
          </w:p>
        </w:tc>
        <w:tc>
          <w:tcPr>
            <w:tcW w:type="dxa" w:w="1800"/>
            <w:shd w:fill="1F4E79" w:val="clear"/>
            <w:tcMar>
              <w:top w:type="dxa" w:w="80"/>
              <w:left w:type="dxa" w:w="120"/>
              <w:bottom w:type="dxa" w:w="80"/>
              <w:right w:type="dxa" w:w="120"/>
            </w:tcMar>
          </w:tcPr>
          <w:p>
            <w:r>
              <w:rPr>
                <w:b/>
                <w:bCs/>
                <w:color w:val="FFFFFF"/>
                <w:sz w:val="20"/>
                <w:szCs w:val="20"/>
              </w:rPr>
              <w:t xml:space="preserve">Priority</w:t>
            </w:r>
          </w:p>
        </w:tc>
        <w:tc>
          <w:tcPr>
            <w:tcW w:type="dxa" w:w="1800"/>
            <w:shd w:fill="1F4E79" w:val="clear"/>
            <w:tcMar>
              <w:top w:type="dxa" w:w="80"/>
              <w:left w:type="dxa" w:w="120"/>
              <w:bottom w:type="dxa" w:w="80"/>
              <w:right w:type="dxa" w:w="120"/>
            </w:tcMar>
          </w:tcPr>
          <w:p>
            <w:r>
              <w:rPr>
                <w:b/>
                <w:bCs/>
                <w:color w:val="FFFFFF"/>
                <w:sz w:val="20"/>
                <w:szCs w:val="20"/>
              </w:rPr>
              <w:t xml:space="preserve">Intent Served</w:t>
            </w:r>
          </w:p>
        </w:tc>
      </w:tr>
      <w:tr>
        <w:tc>
          <w:tcPr>
            <w:tcW w:type="dxa" w:w="900"/>
            <w:tcMar>
              <w:top w:type="dxa" w:w="60"/>
              <w:left w:type="dxa" w:w="120"/>
              <w:bottom w:type="dxa" w:w="60"/>
              <w:right w:type="dxa" w:w="120"/>
            </w:tcMar>
          </w:tcPr>
          <w:p>
            <w:r>
              <w:rPr>
                <w:sz w:val="20"/>
                <w:szCs w:val="20"/>
              </w:rPr>
              <w:t xml:space="preserve">1</w:t>
            </w:r>
          </w:p>
        </w:tc>
        <w:tc>
          <w:tcPr>
            <w:tcW w:type="dxa" w:w="5220"/>
            <w:tcMar>
              <w:top w:type="dxa" w:w="60"/>
              <w:left w:type="dxa" w:w="120"/>
              <w:bottom w:type="dxa" w:w="60"/>
              <w:right w:type="dxa" w:w="120"/>
            </w:tcMar>
          </w:tcPr>
          <w:p>
            <w:r>
              <w:rPr>
                <w:sz w:val="20"/>
                <w:szCs w:val="20"/>
              </w:rPr>
              <w:t xml:space="preserve">Home page CTA: form, email link, meeting scheduler + intro video</w:t>
            </w:r>
          </w:p>
        </w:tc>
        <w:tc>
          <w:tcPr>
            <w:tcW w:type="dxa" w:w="1800"/>
            <w:tcMar>
              <w:top w:type="dxa" w:w="60"/>
              <w:left w:type="dxa" w:w="120"/>
              <w:bottom w:type="dxa" w:w="60"/>
              <w:right w:type="dxa" w:w="120"/>
            </w:tcMar>
          </w:tcPr>
          <w:p>
            <w:r>
              <w:rPr>
                <w:sz w:val="20"/>
                <w:szCs w:val="20"/>
              </w:rPr>
              <w:t xml:space="preserve">High</w:t>
            </w:r>
          </w:p>
        </w:tc>
        <w:tc>
          <w:tcPr>
            <w:tcW w:type="dxa" w:w="1800"/>
            <w:tcMar>
              <w:top w:type="dxa" w:w="60"/>
              <w:left w:type="dxa" w:w="120"/>
              <w:bottom w:type="dxa" w:w="60"/>
              <w:right w:type="dxa" w:w="120"/>
            </w:tcMar>
          </w:tcPr>
          <w:p>
            <w:r>
              <w:rPr>
                <w:sz w:val="20"/>
                <w:szCs w:val="20"/>
              </w:rPr>
              <w:t xml:space="preserve">Transactional</w:t>
            </w:r>
          </w:p>
        </w:tc>
      </w:tr>
      <w:tr>
        <w:tc>
          <w:tcPr>
            <w:tcW w:type="dxa" w:w="900"/>
            <w:shd w:fill="D9E2F3" w:val="clear"/>
            <w:tcMar>
              <w:top w:type="dxa" w:w="60"/>
              <w:left w:type="dxa" w:w="120"/>
              <w:bottom w:type="dxa" w:w="60"/>
              <w:right w:type="dxa" w:w="120"/>
            </w:tcMar>
          </w:tcPr>
          <w:p>
            <w:r>
              <w:rPr>
                <w:sz w:val="20"/>
                <w:szCs w:val="20"/>
              </w:rPr>
              <w:t xml:space="preserve">2</w:t>
            </w:r>
          </w:p>
        </w:tc>
        <w:tc>
          <w:tcPr>
            <w:tcW w:type="dxa" w:w="5220"/>
            <w:shd w:fill="D9E2F3" w:val="clear"/>
            <w:tcMar>
              <w:top w:type="dxa" w:w="60"/>
              <w:left w:type="dxa" w:w="120"/>
              <w:bottom w:type="dxa" w:w="60"/>
              <w:right w:type="dxa" w:w="120"/>
            </w:tcMar>
          </w:tcPr>
          <w:p>
            <w:r>
              <w:rPr>
                <w:sz w:val="20"/>
                <w:szCs w:val="20"/>
              </w:rPr>
              <w:t xml:space="preserve">Sidebar menu of loan types with dedicated pages</w:t>
            </w:r>
          </w:p>
        </w:tc>
        <w:tc>
          <w:tcPr>
            <w:tcW w:type="dxa" w:w="1800"/>
            <w:shd w:fill="D9E2F3" w:val="clear"/>
            <w:tcMar>
              <w:top w:type="dxa" w:w="60"/>
              <w:left w:type="dxa" w:w="120"/>
              <w:bottom w:type="dxa" w:w="60"/>
              <w:right w:type="dxa" w:w="120"/>
            </w:tcMar>
          </w:tcPr>
          <w:p>
            <w:r>
              <w:rPr>
                <w:sz w:val="20"/>
                <w:szCs w:val="20"/>
              </w:rPr>
              <w:t xml:space="preserve">High</w:t>
            </w:r>
          </w:p>
        </w:tc>
        <w:tc>
          <w:tcPr>
            <w:tcW w:type="dxa" w:w="1800"/>
            <w:shd w:fill="D9E2F3" w:val="clear"/>
            <w:tcMar>
              <w:top w:type="dxa" w:w="60"/>
              <w:left w:type="dxa" w:w="120"/>
              <w:bottom w:type="dxa" w:w="60"/>
              <w:right w:type="dxa" w:w="120"/>
            </w:tcMar>
          </w:tcPr>
          <w:p>
            <w:r>
              <w:rPr>
                <w:sz w:val="20"/>
                <w:szCs w:val="20"/>
              </w:rPr>
              <w:t xml:space="preserve">Informational / Commercial</w:t>
            </w:r>
          </w:p>
        </w:tc>
      </w:tr>
      <w:tr>
        <w:tc>
          <w:tcPr>
            <w:tcW w:type="dxa" w:w="900"/>
            <w:tcMar>
              <w:top w:type="dxa" w:w="60"/>
              <w:left w:type="dxa" w:w="120"/>
              <w:bottom w:type="dxa" w:w="60"/>
              <w:right w:type="dxa" w:w="120"/>
            </w:tcMar>
          </w:tcPr>
          <w:p>
            <w:r>
              <w:rPr>
                <w:sz w:val="20"/>
                <w:szCs w:val="20"/>
              </w:rPr>
              <w:t xml:space="preserve">3</w:t>
            </w:r>
          </w:p>
        </w:tc>
        <w:tc>
          <w:tcPr>
            <w:tcW w:type="dxa" w:w="5220"/>
            <w:tcMar>
              <w:top w:type="dxa" w:w="60"/>
              <w:left w:type="dxa" w:w="120"/>
              <w:bottom w:type="dxa" w:w="60"/>
              <w:right w:type="dxa" w:w="120"/>
            </w:tcMar>
          </w:tcPr>
          <w:p>
            <w:r>
              <w:rPr>
                <w:sz w:val="20"/>
                <w:szCs w:val="20"/>
              </w:rPr>
              <w:t xml:space="preserve">Breadcrumb navigation + schema markup</w:t>
            </w:r>
          </w:p>
        </w:tc>
        <w:tc>
          <w:tcPr>
            <w:tcW w:type="dxa" w:w="1800"/>
            <w:tcMar>
              <w:top w:type="dxa" w:w="60"/>
              <w:left w:type="dxa" w:w="120"/>
              <w:bottom w:type="dxa" w:w="60"/>
              <w:right w:type="dxa" w:w="120"/>
            </w:tcMar>
          </w:tcPr>
          <w:p>
            <w:r>
              <w:rPr>
                <w:sz w:val="20"/>
                <w:szCs w:val="20"/>
              </w:rPr>
              <w:t xml:space="preserve">Medium</w:t>
            </w:r>
          </w:p>
        </w:tc>
        <w:tc>
          <w:tcPr>
            <w:tcW w:type="dxa" w:w="1800"/>
            <w:tcMar>
              <w:top w:type="dxa" w:w="60"/>
              <w:left w:type="dxa" w:w="120"/>
              <w:bottom w:type="dxa" w:w="60"/>
              <w:right w:type="dxa" w:w="120"/>
            </w:tcMar>
          </w:tcPr>
          <w:p>
            <w:r>
              <w:rPr>
                <w:sz w:val="20"/>
                <w:szCs w:val="20"/>
              </w:rPr>
              <w:t xml:space="preserve">All</w:t>
            </w:r>
          </w:p>
        </w:tc>
      </w:tr>
      <w:tr>
        <w:tc>
          <w:tcPr>
            <w:tcW w:type="dxa" w:w="900"/>
            <w:shd w:fill="D9E2F3" w:val="clear"/>
            <w:tcMar>
              <w:top w:type="dxa" w:w="60"/>
              <w:left w:type="dxa" w:w="120"/>
              <w:bottom w:type="dxa" w:w="60"/>
              <w:right w:type="dxa" w:w="120"/>
            </w:tcMar>
          </w:tcPr>
          <w:p>
            <w:r>
              <w:rPr>
                <w:sz w:val="20"/>
                <w:szCs w:val="20"/>
              </w:rPr>
              <w:t xml:space="preserve">4</w:t>
            </w:r>
          </w:p>
        </w:tc>
        <w:tc>
          <w:tcPr>
            <w:tcW w:type="dxa" w:w="5220"/>
            <w:shd w:fill="D9E2F3" w:val="clear"/>
            <w:tcMar>
              <w:top w:type="dxa" w:w="60"/>
              <w:left w:type="dxa" w:w="120"/>
              <w:bottom w:type="dxa" w:w="60"/>
              <w:right w:type="dxa" w:w="120"/>
            </w:tcMar>
          </w:tcPr>
          <w:p>
            <w:r>
              <w:rPr>
                <w:sz w:val="20"/>
                <w:szCs w:val="20"/>
              </w:rPr>
              <w:t xml:space="preserve">Licensing page (NMLS, state licenses, disclosures)</w:t>
            </w:r>
          </w:p>
        </w:tc>
        <w:tc>
          <w:tcPr>
            <w:tcW w:type="dxa" w:w="1800"/>
            <w:shd w:fill="D9E2F3" w:val="clear"/>
            <w:tcMar>
              <w:top w:type="dxa" w:w="60"/>
              <w:left w:type="dxa" w:w="120"/>
              <w:bottom w:type="dxa" w:w="60"/>
              <w:right w:type="dxa" w:w="120"/>
            </w:tcMar>
          </w:tcPr>
          <w:p>
            <w:r>
              <w:rPr>
                <w:sz w:val="20"/>
                <w:szCs w:val="20"/>
              </w:rPr>
              <w:t xml:space="preserve">High</w:t>
            </w:r>
          </w:p>
        </w:tc>
        <w:tc>
          <w:tcPr>
            <w:tcW w:type="dxa" w:w="1800"/>
            <w:shd w:fill="D9E2F3" w:val="clear"/>
            <w:tcMar>
              <w:top w:type="dxa" w:w="60"/>
              <w:left w:type="dxa" w:w="120"/>
              <w:bottom w:type="dxa" w:w="60"/>
              <w:right w:type="dxa" w:w="120"/>
            </w:tcMar>
          </w:tcPr>
          <w:p>
            <w:r>
              <w:rPr>
                <w:sz w:val="20"/>
                <w:szCs w:val="20"/>
              </w:rPr>
              <w:t xml:space="preserve">Trust / YMYL</w:t>
            </w:r>
          </w:p>
        </w:tc>
      </w:tr>
      <w:tr>
        <w:tc>
          <w:tcPr>
            <w:tcW w:type="dxa" w:w="900"/>
            <w:tcMar>
              <w:top w:type="dxa" w:w="60"/>
              <w:left w:type="dxa" w:w="120"/>
              <w:bottom w:type="dxa" w:w="60"/>
              <w:right w:type="dxa" w:w="120"/>
            </w:tcMar>
          </w:tcPr>
          <w:p>
            <w:r>
              <w:rPr>
                <w:sz w:val="20"/>
                <w:szCs w:val="20"/>
              </w:rPr>
              <w:t xml:space="preserve">5</w:t>
            </w:r>
          </w:p>
        </w:tc>
        <w:tc>
          <w:tcPr>
            <w:tcW w:type="dxa" w:w="5220"/>
            <w:tcMar>
              <w:top w:type="dxa" w:w="60"/>
              <w:left w:type="dxa" w:w="120"/>
              <w:bottom w:type="dxa" w:w="60"/>
              <w:right w:type="dxa" w:w="120"/>
            </w:tcMar>
          </w:tcPr>
          <w:p>
            <w:r>
              <w:rPr>
                <w:sz w:val="20"/>
                <w:szCs w:val="20"/>
              </w:rPr>
              <w:t xml:space="preserve">Cookie consent banner + privacy/cookie policies</w:t>
            </w:r>
          </w:p>
        </w:tc>
        <w:tc>
          <w:tcPr>
            <w:tcW w:type="dxa" w:w="1800"/>
            <w:tcMar>
              <w:top w:type="dxa" w:w="60"/>
              <w:left w:type="dxa" w:w="120"/>
              <w:bottom w:type="dxa" w:w="60"/>
              <w:right w:type="dxa" w:w="120"/>
            </w:tcMar>
          </w:tcPr>
          <w:p>
            <w:r>
              <w:rPr>
                <w:sz w:val="20"/>
                <w:szCs w:val="20"/>
              </w:rPr>
              <w:t xml:space="preserve">High</w:t>
            </w:r>
          </w:p>
        </w:tc>
        <w:tc>
          <w:tcPr>
            <w:tcW w:type="dxa" w:w="1800"/>
            <w:tcMar>
              <w:top w:type="dxa" w:w="60"/>
              <w:left w:type="dxa" w:w="120"/>
              <w:bottom w:type="dxa" w:w="60"/>
              <w:right w:type="dxa" w:w="120"/>
            </w:tcMar>
          </w:tcPr>
          <w:p>
            <w:r>
              <w:rPr>
                <w:sz w:val="20"/>
                <w:szCs w:val="20"/>
              </w:rPr>
              <w:t xml:space="preserve">Compliance</w:t>
            </w:r>
          </w:p>
        </w:tc>
      </w:tr>
      <w:tr>
        <w:tc>
          <w:tcPr>
            <w:tcW w:type="dxa" w:w="900"/>
            <w:shd w:fill="D9E2F3" w:val="clear"/>
            <w:tcMar>
              <w:top w:type="dxa" w:w="60"/>
              <w:left w:type="dxa" w:w="120"/>
              <w:bottom w:type="dxa" w:w="60"/>
              <w:right w:type="dxa" w:w="120"/>
            </w:tcMar>
          </w:tcPr>
          <w:p>
            <w:r>
              <w:rPr>
                <w:sz w:val="20"/>
                <w:szCs w:val="20"/>
              </w:rPr>
              <w:t xml:space="preserve">6</w:t>
            </w:r>
          </w:p>
        </w:tc>
        <w:tc>
          <w:tcPr>
            <w:tcW w:type="dxa" w:w="5220"/>
            <w:shd w:fill="D9E2F3" w:val="clear"/>
            <w:tcMar>
              <w:top w:type="dxa" w:w="60"/>
              <w:left w:type="dxa" w:w="120"/>
              <w:bottom w:type="dxa" w:w="60"/>
              <w:right w:type="dxa" w:w="120"/>
            </w:tcMar>
          </w:tcPr>
          <w:p>
            <w:r>
              <w:rPr>
                <w:sz w:val="20"/>
                <w:szCs w:val="20"/>
              </w:rPr>
              <w:t xml:space="preserve">Link to TheLoanCenter.com informational videos</w:t>
            </w:r>
          </w:p>
        </w:tc>
        <w:tc>
          <w:tcPr>
            <w:tcW w:type="dxa" w:w="1800"/>
            <w:shd w:fill="D9E2F3" w:val="clear"/>
            <w:tcMar>
              <w:top w:type="dxa" w:w="60"/>
              <w:left w:type="dxa" w:w="120"/>
              <w:bottom w:type="dxa" w:w="60"/>
              <w:right w:type="dxa" w:w="120"/>
            </w:tcMar>
          </w:tcPr>
          <w:p>
            <w:r>
              <w:rPr>
                <w:sz w:val="20"/>
                <w:szCs w:val="20"/>
              </w:rPr>
              <w:t xml:space="preserve">Medium</w:t>
            </w:r>
          </w:p>
        </w:tc>
        <w:tc>
          <w:tcPr>
            <w:tcW w:type="dxa" w:w="1800"/>
            <w:shd w:fill="D9E2F3" w:val="clear"/>
            <w:tcMar>
              <w:top w:type="dxa" w:w="60"/>
              <w:left w:type="dxa" w:w="120"/>
              <w:bottom w:type="dxa" w:w="60"/>
              <w:right w:type="dxa" w:w="120"/>
            </w:tcMar>
          </w:tcPr>
          <w:p>
            <w:r>
              <w:rPr>
                <w:sz w:val="20"/>
                <w:szCs w:val="20"/>
              </w:rPr>
              <w:t xml:space="preserve">Informational</w:t>
            </w:r>
          </w:p>
        </w:tc>
      </w:tr>
      <w:tr>
        <w:tc>
          <w:tcPr>
            <w:tcW w:type="dxa" w:w="900"/>
            <w:tcMar>
              <w:top w:type="dxa" w:w="60"/>
              <w:left w:type="dxa" w:w="120"/>
              <w:bottom w:type="dxa" w:w="60"/>
              <w:right w:type="dxa" w:w="120"/>
            </w:tcMar>
          </w:tcPr>
          <w:p>
            <w:r>
              <w:rPr>
                <w:sz w:val="20"/>
                <w:szCs w:val="20"/>
              </w:rPr>
              <w:t xml:space="preserve">7</w:t>
            </w:r>
          </w:p>
        </w:tc>
        <w:tc>
          <w:tcPr>
            <w:tcW w:type="dxa" w:w="5220"/>
            <w:tcMar>
              <w:top w:type="dxa" w:w="60"/>
              <w:left w:type="dxa" w:w="120"/>
              <w:bottom w:type="dxa" w:w="60"/>
              <w:right w:type="dxa" w:w="120"/>
            </w:tcMar>
          </w:tcPr>
          <w:p>
            <w:r>
              <w:rPr>
                <w:sz w:val="20"/>
                <w:szCs w:val="20"/>
              </w:rPr>
              <w:t xml:space="preserve">SQRG / Page Quality (E-E-A-T) optimization site-wide</w:t>
            </w:r>
          </w:p>
        </w:tc>
        <w:tc>
          <w:tcPr>
            <w:tcW w:type="dxa" w:w="1800"/>
            <w:tcMar>
              <w:top w:type="dxa" w:w="60"/>
              <w:left w:type="dxa" w:w="120"/>
              <w:bottom w:type="dxa" w:w="60"/>
              <w:right w:type="dxa" w:w="120"/>
            </w:tcMar>
          </w:tcPr>
          <w:p>
            <w:r>
              <w:rPr>
                <w:sz w:val="20"/>
                <w:szCs w:val="20"/>
              </w:rPr>
              <w:t xml:space="preserve">High</w:t>
            </w:r>
          </w:p>
        </w:tc>
        <w:tc>
          <w:tcPr>
            <w:tcW w:type="dxa" w:w="1800"/>
            <w:tcMar>
              <w:top w:type="dxa" w:w="60"/>
              <w:left w:type="dxa" w:w="120"/>
              <w:bottom w:type="dxa" w:w="60"/>
              <w:right w:type="dxa" w:w="120"/>
            </w:tcMar>
          </w:tcPr>
          <w:p>
            <w:r>
              <w:rPr>
                <w:sz w:val="20"/>
                <w:szCs w:val="20"/>
              </w:rPr>
              <w:t xml:space="preserve">All</w:t>
            </w:r>
          </w:p>
        </w:tc>
      </w:tr>
      <w:tr>
        <w:tc>
          <w:tcPr>
            <w:tcW w:type="dxa" w:w="900"/>
            <w:shd w:fill="D9E2F3" w:val="clear"/>
            <w:tcMar>
              <w:top w:type="dxa" w:w="60"/>
              <w:left w:type="dxa" w:w="120"/>
              <w:bottom w:type="dxa" w:w="60"/>
              <w:right w:type="dxa" w:w="120"/>
            </w:tcMar>
          </w:tcPr>
          <w:p>
            <w:r>
              <w:rPr>
                <w:sz w:val="20"/>
                <w:szCs w:val="20"/>
              </w:rPr>
              <w:t xml:space="preserve">8</w:t>
            </w:r>
          </w:p>
        </w:tc>
        <w:tc>
          <w:tcPr>
            <w:tcW w:type="dxa" w:w="5220"/>
            <w:shd w:fill="D9E2F3" w:val="clear"/>
            <w:tcMar>
              <w:top w:type="dxa" w:w="60"/>
              <w:left w:type="dxa" w:w="120"/>
              <w:bottom w:type="dxa" w:w="60"/>
              <w:right w:type="dxa" w:w="120"/>
            </w:tcMar>
          </w:tcPr>
          <w:p>
            <w:r>
              <w:rPr>
                <w:sz w:val="20"/>
                <w:szCs w:val="20"/>
              </w:rPr>
              <w:t xml:space="preserve">Footer, header, sitemap, URL structure</w:t>
            </w:r>
          </w:p>
        </w:tc>
        <w:tc>
          <w:tcPr>
            <w:tcW w:type="dxa" w:w="1800"/>
            <w:shd w:fill="D9E2F3" w:val="clear"/>
            <w:tcMar>
              <w:top w:type="dxa" w:w="60"/>
              <w:left w:type="dxa" w:w="120"/>
              <w:bottom w:type="dxa" w:w="60"/>
              <w:right w:type="dxa" w:w="120"/>
            </w:tcMar>
          </w:tcPr>
          <w:p>
            <w:r>
              <w:rPr>
                <w:sz w:val="20"/>
                <w:szCs w:val="20"/>
              </w:rPr>
              <w:t xml:space="preserve">Medium</w:t>
            </w:r>
          </w:p>
        </w:tc>
        <w:tc>
          <w:tcPr>
            <w:tcW w:type="dxa" w:w="1800"/>
            <w:shd w:fill="D9E2F3" w:val="clear"/>
            <w:tcMar>
              <w:top w:type="dxa" w:w="60"/>
              <w:left w:type="dxa" w:w="120"/>
              <w:bottom w:type="dxa" w:w="60"/>
              <w:right w:type="dxa" w:w="120"/>
            </w:tcMar>
          </w:tcPr>
          <w:p>
            <w:r>
              <w:rPr>
                <w:sz w:val="20"/>
                <w:szCs w:val="20"/>
              </w:rPr>
              <w:t xml:space="preserve">All</w:t>
            </w:r>
          </w:p>
        </w:tc>
      </w:tr>
    </w:tbl>
    <w:p>
      <w:pPr>
        <w:spacing w:before="300"/>
      </w:pPr>
    </w:p>
    <w:p>
      <w:pPr>
        <w:spacing w:after="120"/>
      </w:pPr>
      <w:r>
        <w:rPr>
          <w:i/>
          <w:iCs/>
          <w:color w:val="595959"/>
        </w:rPr>
        <w:t xml:space="preserve">Deliverables from designer: staging site for review, mobile and desktop mockups of the home page CTA layout prior to build, and confirmation of the cookie consent tool and scheduling tool (e.g., Calendly) to be used.</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GregDeskin.com — Website Development Task List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2026-07-17T02:14:34.951Z</dcterms:created>
  <dcterms:modified xsi:type="dcterms:W3CDTF">2026-07-17T02:14:34.968Z</dcterms:modified>
</cp:coreProperties>
</file>

<file path=docProps/custom.xml><?xml version="1.0" encoding="utf-8"?>
<Properties xmlns="http://schemas.openxmlformats.org/officeDocument/2006/custom-properties" xmlns:vt="http://schemas.openxmlformats.org/officeDocument/2006/docPropsVTypes"/>
</file>