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4</w:t>
      </w:r>
    </w:p>
    <w:p>
      <w:pPr>
        <w:jc w:val="center"/>
      </w:pPr>
      <w:r>
        <w:rPr>
          <w:b/>
          <w:sz w:val="48"/>
        </w:rPr>
        <w:t>Security Policy Review, Evaluation,</w:t>
        <w:br/>
        <w:t>and Improvement Recommendations</w:t>
      </w:r>
    </w:p>
    <w:p>
      <w:pPr>
        <w:jc w:val="center"/>
      </w:pPr>
      <w:r>
        <w:rPr>
          <w:i/>
        </w:rPr>
        <w:t>Cyber Security Analyst – Online Virtual Internship | 2026</w:t>
      </w:r>
    </w:p>
    <w:p/>
    <w:p>
      <w:pPr>
        <w:jc w:val="center"/>
      </w:pPr>
      <w:r>
        <w:rPr>
          <w:b/>
        </w:rPr>
        <w:t>Prepared by</w:t>
        <w:br/>
      </w:r>
      <w:r>
        <w:t>Injmam Ansari</w:t>
        <w:br/>
        <w:t>BCA Student | Cyber Security Intern</w:t>
      </w:r>
    </w:p>
    <w:p>
      <w:r>
        <w:br w:type="page"/>
      </w:r>
    </w:p>
    <w:p>
      <w:pPr>
        <w:pStyle w:val="Heading1"/>
      </w:pPr>
      <w:r>
        <w:t>Contents</w:t>
      </w:r>
    </w:p>
    <w:p>
      <w:r>
        <w:t>1. Executive Summary</w:t>
      </w:r>
    </w:p>
    <w:p>
      <w:r>
        <w:t>2. Scope and Objectives</w:t>
      </w:r>
    </w:p>
    <w:p>
      <w:r>
        <w:t>3. Hypothetical Security Policy</w:t>
      </w:r>
    </w:p>
    <w:p>
      <w:r>
        <w:t>4. Review Methodology</w:t>
      </w:r>
    </w:p>
    <w:p>
      <w:r>
        <w:t>5. Policy Strengths</w:t>
      </w:r>
    </w:p>
    <w:p>
      <w:r>
        <w:t>6. Gap Analysis</w:t>
      </w:r>
    </w:p>
    <w:p>
      <w:r>
        <w:t>7. Benchmark Against Industry Practices</w:t>
      </w:r>
    </w:p>
    <w:p>
      <w:r>
        <w:t>8. Improvement Recommendations</w:t>
      </w:r>
    </w:p>
    <w:p>
      <w:r>
        <w:t>9. Prioritized Improvement Roadmap</w:t>
      </w:r>
    </w:p>
    <w:p>
      <w:r>
        <w:t>10. Governance and Review Cycle</w:t>
      </w:r>
    </w:p>
    <w:p>
      <w:r>
        <w:t>11. Metrics and Assurance</w:t>
      </w:r>
    </w:p>
    <w:p>
      <w:r>
        <w:t>12. Conclusion</w:t>
      </w:r>
    </w:p>
    <w:p>
      <w:r>
        <w:t>13. References</w:t>
      </w:r>
    </w:p>
    <w:p>
      <w:r>
        <w:br w:type="page"/>
      </w:r>
    </w:p>
    <w:p>
      <w:pPr>
        <w:pStyle w:val="Heading1"/>
      </w:pPr>
      <w:r>
        <w:t>1. Executive Summary</w:t>
      </w:r>
    </w:p>
    <w:p>
      <w:r>
        <w:t>This report presents a structured review of a hypothetical organization’s security policy. The purpose is to evaluate whether the policy provides practical coverage for access control, data protection, incident response, user behaviour, logging, backup, and third-party risk, and to recommend improvements aligned with recognized cybersecurity practices.</w:t>
      </w:r>
    </w:p>
    <w:p>
      <w:r>
        <w:t>The review uses a simulated policy rather than an assessment of a real organization. The policy is compared with principles from the NIST Cybersecurity Framework (CSF) 2.0, NIST security and privacy controls, and the ISO/IEC 27000 family. The assessment identifies reasonable baseline strengths but also several gaps: incomplete multi-factor authentication coverage, inconsistent policy review, insufficiently defined logging retention, limited backup testing, and a need for stronger third-party security requirements.</w:t>
      </w:r>
    </w:p>
    <w:p>
      <w:r>
        <w:t>The recommendations are designed to be actionable and risk-based. High-priority actions include enforcing MFA for privileged and remote access, formalizing annual and event-driven policy reviews, defining log retention and monitoring requirements, testing restoration from backups, and adding measurable security clauses to supplier contracts.</w:t>
      </w:r>
    </w:p>
    <w:p>
      <w:pPr>
        <w:pStyle w:val="Heading1"/>
      </w:pPr>
      <w:r>
        <w:t>2. Scope and Objectives</w:t>
      </w:r>
    </w:p>
    <w:p>
      <w:r>
        <w:t>Scope: a generic medium-sized organization with cloud services, employee endpoints, business applications, and external suppliers.</w:t>
      </w:r>
    </w:p>
    <w:p>
      <w:pPr>
        <w:pStyle w:val="ListBullet"/>
      </w:pPr>
      <w:r>
        <w:t>Review the strengths and weaknesses of a generic security policy.</w:t>
      </w:r>
    </w:p>
    <w:p>
      <w:pPr>
        <w:pStyle w:val="ListBullet"/>
      </w:pPr>
      <w:r>
        <w:t>Benchmark major policy areas against recognized cybersecurity frameworks.</w:t>
      </w:r>
    </w:p>
    <w:p>
      <w:pPr>
        <w:pStyle w:val="ListBullet"/>
      </w:pPr>
      <w:r>
        <w:t>Identify outdated, incomplete, or weakly defined practices.</w:t>
      </w:r>
    </w:p>
    <w:p>
      <w:pPr>
        <w:pStyle w:val="ListBullet"/>
      </w:pPr>
      <w:r>
        <w:t>Prioritize recommendations according to risk and implementation effort.</w:t>
      </w:r>
    </w:p>
    <w:p>
      <w:pPr>
        <w:pStyle w:val="ListBullet"/>
      </w:pPr>
      <w:r>
        <w:t>Define a practical roadmap for improving security governance.</w:t>
      </w:r>
    </w:p>
    <w:p>
      <w:pPr>
        <w:pStyle w:val="Heading2"/>
      </w:pPr>
      <w:r>
        <w:t>Assessment Assumptions</w:t>
      </w:r>
    </w:p>
    <w:p>
      <w:pPr>
        <w:pStyle w:val="ListBullet"/>
      </w:pPr>
      <w:r>
        <w:t>The organization has approximately 100–250 users and uses a mixture of cloud and on-premises services.</w:t>
      </w:r>
    </w:p>
    <w:p>
      <w:pPr>
        <w:pStyle w:val="ListBullet"/>
      </w:pPr>
      <w:r>
        <w:t>Employees access business systems remotely and from managed endpoints.</w:t>
      </w:r>
    </w:p>
    <w:p>
      <w:pPr>
        <w:pStyle w:val="ListBullet"/>
      </w:pPr>
      <w:r>
        <w:t>The organization processes confidential business information and limited personal data.</w:t>
      </w:r>
    </w:p>
    <w:p>
      <w:pPr>
        <w:pStyle w:val="ListBullet"/>
      </w:pPr>
      <w:r>
        <w:t>The assessment is documentary and hypothetical; no real systems are scanned or tested.</w:t>
      </w:r>
    </w:p>
    <w:p>
      <w:pPr>
        <w:pStyle w:val="Heading1"/>
      </w:pPr>
      <w:r>
        <w:t>3. Hypothetical Security Policy</w:t>
      </w:r>
    </w:p>
    <w:p>
      <w:r>
        <w:t>The policy reviewed for this exercise contains the following control areas: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EEF7"/>
          </w:tcPr>
          <w:p>
            <w:r/>
            <w:r>
              <w:rPr>
                <w:rFonts w:ascii="Aptos" w:hAnsi="Aptos"/>
                <w:b/>
                <w:sz w:val="18"/>
              </w:rPr>
              <w:t>Policy Area</w:t>
            </w:r>
          </w:p>
        </w:tc>
        <w:tc>
          <w:tcPr>
            <w:tcW w:type="dxa" w:w="3408"/>
            <w:vAlign w:val="center"/>
            <w:shd w:fill="E8EEF7"/>
          </w:tcPr>
          <w:p>
            <w:r/>
            <w:r>
              <w:rPr>
                <w:rFonts w:ascii="Aptos" w:hAnsi="Aptos"/>
                <w:b/>
                <w:sz w:val="18"/>
              </w:rPr>
              <w:t>Current Requirement</w:t>
            </w:r>
          </w:p>
        </w:tc>
        <w:tc>
          <w:tcPr>
            <w:tcW w:type="dxa" w:w="3408"/>
            <w:vAlign w:val="center"/>
            <w:shd w:fill="E8EEF7"/>
          </w:tcPr>
          <w:p>
            <w:r/>
            <w:r>
              <w:rPr>
                <w:rFonts w:ascii="Aptos" w:hAnsi="Aptos"/>
                <w:b/>
                <w:sz w:val="18"/>
              </w:rPr>
              <w:t>Initial Assessment</w:t>
            </w:r>
          </w:p>
        </w:tc>
      </w:tr>
      <w:tr>
        <w:tc>
          <w:tcPr>
            <w:tcW w:type="dxa" w:w="3408"/>
            <w:vAlign w:val="center"/>
          </w:tcPr>
          <w:p>
            <w:r/>
            <w:r>
              <w:rPr>
                <w:rFonts w:ascii="Aptos" w:hAnsi="Aptos"/>
                <w:b w:val="0"/>
                <w:sz w:val="18"/>
              </w:rPr>
              <w:t>Access Control</w:t>
            </w:r>
          </w:p>
        </w:tc>
        <w:tc>
          <w:tcPr>
            <w:tcW w:type="dxa" w:w="3408"/>
            <w:vAlign w:val="center"/>
          </w:tcPr>
          <w:p>
            <w:r/>
            <w:r>
              <w:rPr>
                <w:rFonts w:ascii="Aptos" w:hAnsi="Aptos"/>
                <w:b w:val="0"/>
                <w:sz w:val="18"/>
              </w:rPr>
              <w:t>Unique accounts, role-based access, password requirements</w:t>
            </w:r>
          </w:p>
        </w:tc>
        <w:tc>
          <w:tcPr>
            <w:tcW w:type="dxa" w:w="3408"/>
            <w:vAlign w:val="center"/>
          </w:tcPr>
          <w:p>
            <w:r/>
            <w:r>
              <w:rPr>
                <w:rFonts w:ascii="Aptos" w:hAnsi="Aptos"/>
                <w:b w:val="0"/>
                <w:sz w:val="18"/>
              </w:rPr>
              <w:t>Partially effective</w:t>
            </w:r>
          </w:p>
        </w:tc>
      </w:tr>
      <w:tr>
        <w:tc>
          <w:tcPr>
            <w:tcW w:type="dxa" w:w="3408"/>
            <w:vAlign w:val="center"/>
          </w:tcPr>
          <w:p>
            <w:r/>
            <w:r>
              <w:rPr>
                <w:rFonts w:ascii="Aptos" w:hAnsi="Aptos"/>
                <w:b w:val="0"/>
                <w:sz w:val="18"/>
              </w:rPr>
              <w:t>Authentication</w:t>
            </w:r>
          </w:p>
        </w:tc>
        <w:tc>
          <w:tcPr>
            <w:tcW w:type="dxa" w:w="3408"/>
            <w:vAlign w:val="center"/>
          </w:tcPr>
          <w:p>
            <w:r/>
            <w:r>
              <w:rPr>
                <w:rFonts w:ascii="Aptos" w:hAnsi="Aptos"/>
                <w:b w:val="0"/>
                <w:sz w:val="18"/>
              </w:rPr>
              <w:t>Passwords and optional MFA</w:t>
            </w:r>
          </w:p>
        </w:tc>
        <w:tc>
          <w:tcPr>
            <w:tcW w:type="dxa" w:w="3408"/>
            <w:vAlign w:val="center"/>
          </w:tcPr>
          <w:p>
            <w:r/>
            <w:r>
              <w:rPr>
                <w:rFonts w:ascii="Aptos" w:hAnsi="Aptos"/>
                <w:b w:val="0"/>
                <w:sz w:val="18"/>
              </w:rPr>
              <w:t>Needs improvement</w:t>
            </w:r>
          </w:p>
        </w:tc>
      </w:tr>
      <w:tr>
        <w:tc>
          <w:tcPr>
            <w:tcW w:type="dxa" w:w="3408"/>
            <w:vAlign w:val="center"/>
          </w:tcPr>
          <w:p>
            <w:r/>
            <w:r>
              <w:rPr>
                <w:rFonts w:ascii="Aptos" w:hAnsi="Aptos"/>
                <w:b w:val="0"/>
                <w:sz w:val="18"/>
              </w:rPr>
              <w:t>Data Protection</w:t>
            </w:r>
          </w:p>
        </w:tc>
        <w:tc>
          <w:tcPr>
            <w:tcW w:type="dxa" w:w="3408"/>
            <w:vAlign w:val="center"/>
          </w:tcPr>
          <w:p>
            <w:r/>
            <w:r>
              <w:rPr>
                <w:rFonts w:ascii="Aptos" w:hAnsi="Aptos"/>
                <w:b w:val="0"/>
                <w:sz w:val="18"/>
              </w:rPr>
              <w:t>Encryption for sensitive data; controlled sharing</w:t>
            </w:r>
          </w:p>
        </w:tc>
        <w:tc>
          <w:tcPr>
            <w:tcW w:type="dxa" w:w="3408"/>
            <w:vAlign w:val="center"/>
          </w:tcPr>
          <w:p>
            <w:r/>
            <w:r>
              <w:rPr>
                <w:rFonts w:ascii="Aptos" w:hAnsi="Aptos"/>
                <w:b w:val="0"/>
                <w:sz w:val="18"/>
              </w:rPr>
              <w:t>Partially effective</w:t>
            </w:r>
          </w:p>
        </w:tc>
      </w:tr>
      <w:tr>
        <w:tc>
          <w:tcPr>
            <w:tcW w:type="dxa" w:w="3408"/>
            <w:vAlign w:val="center"/>
          </w:tcPr>
          <w:p>
            <w:r/>
            <w:r>
              <w:rPr>
                <w:rFonts w:ascii="Aptos" w:hAnsi="Aptos"/>
                <w:b w:val="0"/>
                <w:sz w:val="18"/>
              </w:rPr>
              <w:t>Incident Response</w:t>
            </w:r>
          </w:p>
        </w:tc>
        <w:tc>
          <w:tcPr>
            <w:tcW w:type="dxa" w:w="3408"/>
            <w:vAlign w:val="center"/>
          </w:tcPr>
          <w:p>
            <w:r/>
            <w:r>
              <w:rPr>
                <w:rFonts w:ascii="Aptos" w:hAnsi="Aptos"/>
                <w:b w:val="0"/>
                <w:sz w:val="18"/>
              </w:rPr>
              <w:t>Report incidents to IT/security and follow response plan</w:t>
            </w:r>
          </w:p>
        </w:tc>
        <w:tc>
          <w:tcPr>
            <w:tcW w:type="dxa" w:w="3408"/>
            <w:vAlign w:val="center"/>
          </w:tcPr>
          <w:p>
            <w:r/>
            <w:r>
              <w:rPr>
                <w:rFonts w:ascii="Aptos" w:hAnsi="Aptos"/>
                <w:b w:val="0"/>
                <w:sz w:val="18"/>
              </w:rPr>
              <w:t>Generally effective</w:t>
            </w:r>
          </w:p>
        </w:tc>
      </w:tr>
      <w:tr>
        <w:tc>
          <w:tcPr>
            <w:tcW w:type="dxa" w:w="3408"/>
            <w:vAlign w:val="center"/>
          </w:tcPr>
          <w:p>
            <w:r/>
            <w:r>
              <w:rPr>
                <w:rFonts w:ascii="Aptos" w:hAnsi="Aptos"/>
                <w:b w:val="0"/>
                <w:sz w:val="18"/>
              </w:rPr>
              <w:t>User Behaviour</w:t>
            </w:r>
          </w:p>
        </w:tc>
        <w:tc>
          <w:tcPr>
            <w:tcW w:type="dxa" w:w="3408"/>
            <w:vAlign w:val="center"/>
          </w:tcPr>
          <w:p>
            <w:r/>
            <w:r>
              <w:rPr>
                <w:rFonts w:ascii="Aptos" w:hAnsi="Aptos"/>
                <w:b w:val="0"/>
                <w:sz w:val="18"/>
              </w:rPr>
              <w:t>Acceptable-use and awareness requirements</w:t>
            </w:r>
          </w:p>
        </w:tc>
        <w:tc>
          <w:tcPr>
            <w:tcW w:type="dxa" w:w="3408"/>
            <w:vAlign w:val="center"/>
          </w:tcPr>
          <w:p>
            <w:r/>
            <w:r>
              <w:rPr>
                <w:rFonts w:ascii="Aptos" w:hAnsi="Aptos"/>
                <w:b w:val="0"/>
                <w:sz w:val="18"/>
              </w:rPr>
              <w:t>Needs measurable training</w:t>
            </w:r>
          </w:p>
        </w:tc>
      </w:tr>
      <w:tr>
        <w:tc>
          <w:tcPr>
            <w:tcW w:type="dxa" w:w="3408"/>
            <w:vAlign w:val="center"/>
          </w:tcPr>
          <w:p>
            <w:r/>
            <w:r>
              <w:rPr>
                <w:rFonts w:ascii="Aptos" w:hAnsi="Aptos"/>
                <w:b w:val="0"/>
                <w:sz w:val="18"/>
              </w:rPr>
              <w:t>Logging</w:t>
            </w:r>
          </w:p>
        </w:tc>
        <w:tc>
          <w:tcPr>
            <w:tcW w:type="dxa" w:w="3408"/>
            <w:vAlign w:val="center"/>
          </w:tcPr>
          <w:p>
            <w:r/>
            <w:r>
              <w:rPr>
                <w:rFonts w:ascii="Aptos" w:hAnsi="Aptos"/>
                <w:b w:val="0"/>
                <w:sz w:val="18"/>
              </w:rPr>
              <w:t>Security events should be logged</w:t>
            </w:r>
          </w:p>
        </w:tc>
        <w:tc>
          <w:tcPr>
            <w:tcW w:type="dxa" w:w="3408"/>
            <w:vAlign w:val="center"/>
          </w:tcPr>
          <w:p>
            <w:r/>
            <w:r>
              <w:rPr>
                <w:rFonts w:ascii="Aptos" w:hAnsi="Aptos"/>
                <w:b w:val="0"/>
                <w:sz w:val="18"/>
              </w:rPr>
              <w:t>Retention/ownership unclear</w:t>
            </w:r>
          </w:p>
        </w:tc>
      </w:tr>
      <w:tr>
        <w:tc>
          <w:tcPr>
            <w:tcW w:type="dxa" w:w="3408"/>
            <w:vAlign w:val="center"/>
          </w:tcPr>
          <w:p>
            <w:r/>
            <w:r>
              <w:rPr>
                <w:rFonts w:ascii="Aptos" w:hAnsi="Aptos"/>
                <w:b w:val="0"/>
                <w:sz w:val="18"/>
              </w:rPr>
              <w:t>Backup</w:t>
            </w:r>
          </w:p>
        </w:tc>
        <w:tc>
          <w:tcPr>
            <w:tcW w:type="dxa" w:w="3408"/>
            <w:vAlign w:val="center"/>
          </w:tcPr>
          <w:p>
            <w:r/>
            <w:r>
              <w:rPr>
                <w:rFonts w:ascii="Aptos" w:hAnsi="Aptos"/>
                <w:b w:val="0"/>
                <w:sz w:val="18"/>
              </w:rPr>
              <w:t>Regular backups are required</w:t>
            </w:r>
          </w:p>
        </w:tc>
        <w:tc>
          <w:tcPr>
            <w:tcW w:type="dxa" w:w="3408"/>
            <w:vAlign w:val="center"/>
          </w:tcPr>
          <w:p>
            <w:r/>
            <w:r>
              <w:rPr>
                <w:rFonts w:ascii="Aptos" w:hAnsi="Aptos"/>
                <w:b w:val="0"/>
                <w:sz w:val="18"/>
              </w:rPr>
              <w:t>Testing frequency unclear</w:t>
            </w:r>
          </w:p>
        </w:tc>
      </w:tr>
      <w:tr>
        <w:tc>
          <w:tcPr>
            <w:tcW w:type="dxa" w:w="3408"/>
            <w:vAlign w:val="center"/>
          </w:tcPr>
          <w:p>
            <w:r/>
            <w:r>
              <w:rPr>
                <w:rFonts w:ascii="Aptos" w:hAnsi="Aptos"/>
                <w:b w:val="0"/>
                <w:sz w:val="18"/>
              </w:rPr>
              <w:t>Third Parties</w:t>
            </w:r>
          </w:p>
        </w:tc>
        <w:tc>
          <w:tcPr>
            <w:tcW w:type="dxa" w:w="3408"/>
            <w:vAlign w:val="center"/>
          </w:tcPr>
          <w:p>
            <w:r/>
            <w:r>
              <w:rPr>
                <w:rFonts w:ascii="Aptos" w:hAnsi="Aptos"/>
                <w:b w:val="0"/>
                <w:sz w:val="18"/>
              </w:rPr>
              <w:t>Suppliers must follow security expectations</w:t>
            </w:r>
          </w:p>
        </w:tc>
        <w:tc>
          <w:tcPr>
            <w:tcW w:type="dxa" w:w="3408"/>
            <w:vAlign w:val="center"/>
          </w:tcPr>
          <w:p>
            <w:r/>
            <w:r>
              <w:rPr>
                <w:rFonts w:ascii="Aptos" w:hAnsi="Aptos"/>
                <w:b w:val="0"/>
                <w:sz w:val="18"/>
              </w:rPr>
              <w:t>Contractual detail limited</w:t>
            </w:r>
          </w:p>
        </w:tc>
      </w:tr>
      <w:tr>
        <w:tc>
          <w:tcPr>
            <w:tcW w:type="dxa" w:w="3408"/>
            <w:vAlign w:val="center"/>
          </w:tcPr>
          <w:p>
            <w:r/>
            <w:r>
              <w:rPr>
                <w:rFonts w:ascii="Aptos" w:hAnsi="Aptos"/>
                <w:b w:val="0"/>
                <w:sz w:val="18"/>
              </w:rPr>
              <w:t>Policy Governance</w:t>
            </w:r>
          </w:p>
        </w:tc>
        <w:tc>
          <w:tcPr>
            <w:tcW w:type="dxa" w:w="3408"/>
            <w:vAlign w:val="center"/>
          </w:tcPr>
          <w:p>
            <w:r/>
            <w:r>
              <w:rPr>
                <w:rFonts w:ascii="Aptos" w:hAnsi="Aptos"/>
                <w:b w:val="0"/>
                <w:sz w:val="18"/>
              </w:rPr>
              <w:t>Policy reviewed periodically</w:t>
            </w:r>
          </w:p>
        </w:tc>
        <w:tc>
          <w:tcPr>
            <w:tcW w:type="dxa" w:w="3408"/>
            <w:vAlign w:val="center"/>
          </w:tcPr>
          <w:p>
            <w:r/>
            <w:r>
              <w:rPr>
                <w:rFonts w:ascii="Aptos" w:hAnsi="Aptos"/>
                <w:b w:val="0"/>
                <w:sz w:val="18"/>
              </w:rPr>
              <w:t>Review trigger and owner unclear</w:t>
            </w:r>
          </w:p>
        </w:tc>
      </w:tr>
    </w:tbl>
    <w:p>
      <w:pPr>
        <w:pStyle w:val="Heading1"/>
      </w:pPr>
      <w:r>
        <w:t>4. Review Methodology</w:t>
      </w:r>
    </w:p>
    <w:p>
      <w:r>
        <w:t>The review follows a policy-gap-analysis approach. Each control area was examined for clarity, ownership, enforceability, measurability, review frequency, and alignment with recognized security practices.</w:t>
      </w:r>
    </w:p>
    <w:p>
      <w:pPr>
        <w:pStyle w:val="ListBullet"/>
      </w:pPr>
      <w:r>
        <w:t>Define the policy scope and organizational assumptions.</w:t>
      </w:r>
    </w:p>
    <w:p>
      <w:pPr>
        <w:pStyle w:val="ListBullet"/>
      </w:pPr>
      <w:r>
        <w:t>Map each policy area to relevant security outcomes.</w:t>
      </w:r>
    </w:p>
    <w:p>
      <w:pPr>
        <w:pStyle w:val="ListBullet"/>
      </w:pPr>
      <w:r>
        <w:t>Assess whether requirements are specific, measurable, and assigned to an owner.</w:t>
      </w:r>
    </w:p>
    <w:p>
      <w:pPr>
        <w:pStyle w:val="ListBullet"/>
      </w:pPr>
      <w:r>
        <w:t>Identify gaps, weaknesses, and areas where wording could be modernized.</w:t>
      </w:r>
    </w:p>
    <w:p>
      <w:pPr>
        <w:pStyle w:val="ListBullet"/>
      </w:pPr>
      <w:r>
        <w:t>Assign a risk priority based on likely impact and exposure.</w:t>
      </w:r>
    </w:p>
    <w:p>
      <w:pPr>
        <w:pStyle w:val="ListBullet"/>
      </w:pPr>
      <w:r>
        <w:t>Develop recommendations with rationale, expected benefit, and implementation priority.</w:t>
      </w:r>
    </w:p>
    <w:p>
      <w:pPr>
        <w:pStyle w:val="ListBullet"/>
      </w:pPr>
      <w:r>
        <w:t>Create a roadmap for short-, medium-, and long-term improvements.</w:t>
      </w:r>
    </w:p>
    <w:p>
      <w:r>
        <w:drawing>
          <wp:inline xmlns:a="http://schemas.openxmlformats.org/drawingml/2006/main" xmlns:pic="http://schemas.openxmlformats.org/drawingml/2006/picture">
            <wp:extent cx="6126480" cy="3403600"/>
            <wp:docPr id="1" name="Picture 1"/>
            <wp:cNvGraphicFramePr>
              <a:graphicFrameLocks noChangeAspect="1"/>
            </wp:cNvGraphicFramePr>
            <a:graphic>
              <a:graphicData uri="http://schemas.openxmlformats.org/drawingml/2006/picture">
                <pic:pic>
                  <pic:nvPicPr>
                    <pic:cNvPr id="0" name="policy-maturity-review.png"/>
                    <pic:cNvPicPr/>
                  </pic:nvPicPr>
                  <pic:blipFill>
                    <a:blip r:embed="rId9"/>
                    <a:stretch>
                      <a:fillRect/>
                    </a:stretch>
                  </pic:blipFill>
                  <pic:spPr>
                    <a:xfrm>
                      <a:off x="0" y="0"/>
                      <a:ext cx="6126480" cy="3403600"/>
                    </a:xfrm>
                    <a:prstGeom prst="rect"/>
                  </pic:spPr>
                </pic:pic>
              </a:graphicData>
            </a:graphic>
          </wp:inline>
        </w:drawing>
      </w:r>
    </w:p>
    <w:p>
      <w:pPr>
        <w:jc w:val="center"/>
      </w:pPr>
      <w:r>
        <w:t>Figure 1. Simulated maturity comparison between current policy coverage and target state.</w:t>
      </w:r>
    </w:p>
    <w:p>
      <w:pPr>
        <w:pStyle w:val="Heading1"/>
      </w:pPr>
      <w:r>
        <w:t>5. Policy Strengths</w:t>
      </w:r>
    </w:p>
    <w:p>
      <w:pPr>
        <w:pStyle w:val="ListBullet"/>
      </w:pPr>
      <w:r>
        <w:t>The policy recognizes role-based access and unique user accounts, providing a foundation for least-privilege access.</w:t>
      </w:r>
    </w:p>
    <w:p>
      <w:pPr>
        <w:pStyle w:val="ListBullet"/>
      </w:pPr>
      <w:r>
        <w:t>Sensitive information is identified as requiring stronger protection and encryption.</w:t>
      </w:r>
    </w:p>
    <w:p>
      <w:pPr>
        <w:pStyle w:val="ListBullet"/>
      </w:pPr>
      <w:r>
        <w:t>Incident reporting is explicitly mentioned and can be connected to the Week 3 incident-response process.</w:t>
      </w:r>
    </w:p>
    <w:p>
      <w:pPr>
        <w:pStyle w:val="ListBullet"/>
      </w:pPr>
      <w:r>
        <w:t>Acceptable-use requirements establish baseline expectations for employee behaviour.</w:t>
      </w:r>
    </w:p>
    <w:p>
      <w:pPr>
        <w:pStyle w:val="ListBullet"/>
      </w:pPr>
      <w:r>
        <w:t>Backups are recognized as a security requirement rather than only an operational activity.</w:t>
      </w:r>
    </w:p>
    <w:p>
      <w:pPr>
        <w:pStyle w:val="ListBullet"/>
      </w:pPr>
      <w:r>
        <w:t>The policy acknowledges supplier security responsibilities, creating a basis for third-party risk management.</w:t>
      </w:r>
    </w:p>
    <w:p>
      <w:pPr>
        <w:pStyle w:val="Heading1"/>
      </w:pPr>
      <w:r>
        <w:t>6. Gap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8EEF7"/>
          </w:tcPr>
          <w:p>
            <w:r/>
            <w:r>
              <w:rPr>
                <w:rFonts w:ascii="Aptos" w:hAnsi="Aptos"/>
                <w:b/>
                <w:sz w:val="18"/>
              </w:rPr>
              <w:t>ID</w:t>
            </w:r>
          </w:p>
        </w:tc>
        <w:tc>
          <w:tcPr>
            <w:tcW w:type="dxa" w:w="2045"/>
            <w:vAlign w:val="center"/>
            <w:shd w:fill="E8EEF7"/>
          </w:tcPr>
          <w:p>
            <w:r/>
            <w:r>
              <w:rPr>
                <w:rFonts w:ascii="Aptos" w:hAnsi="Aptos"/>
                <w:b/>
                <w:sz w:val="18"/>
              </w:rPr>
              <w:t>Area</w:t>
            </w:r>
          </w:p>
        </w:tc>
        <w:tc>
          <w:tcPr>
            <w:tcW w:type="dxa" w:w="2045"/>
            <w:vAlign w:val="center"/>
            <w:shd w:fill="E8EEF7"/>
          </w:tcPr>
          <w:p>
            <w:r/>
            <w:r>
              <w:rPr>
                <w:rFonts w:ascii="Aptos" w:hAnsi="Aptos"/>
                <w:b/>
                <w:sz w:val="18"/>
              </w:rPr>
              <w:t>Observed Gap</w:t>
            </w:r>
          </w:p>
        </w:tc>
        <w:tc>
          <w:tcPr>
            <w:tcW w:type="dxa" w:w="2045"/>
            <w:vAlign w:val="center"/>
            <w:shd w:fill="E8EEF7"/>
          </w:tcPr>
          <w:p>
            <w:r/>
            <w:r>
              <w:rPr>
                <w:rFonts w:ascii="Aptos" w:hAnsi="Aptos"/>
                <w:b/>
                <w:sz w:val="18"/>
              </w:rPr>
              <w:t>Security Impact</w:t>
            </w:r>
          </w:p>
        </w:tc>
        <w:tc>
          <w:tcPr>
            <w:tcW w:type="dxa" w:w="2045"/>
            <w:vAlign w:val="center"/>
            <w:shd w:fill="E8EEF7"/>
          </w:tcPr>
          <w:p>
            <w:r/>
            <w:r>
              <w:rPr>
                <w:rFonts w:ascii="Aptos" w:hAnsi="Aptos"/>
                <w:b/>
                <w:sz w:val="18"/>
              </w:rPr>
              <w:t>Priority</w:t>
            </w:r>
          </w:p>
        </w:tc>
      </w:tr>
      <w:tr>
        <w:tc>
          <w:tcPr>
            <w:tcW w:type="dxa" w:w="2045"/>
            <w:vAlign w:val="center"/>
          </w:tcPr>
          <w:p>
            <w:r/>
            <w:r>
              <w:rPr>
                <w:rFonts w:ascii="Aptos" w:hAnsi="Aptos"/>
                <w:b w:val="0"/>
                <w:sz w:val="18"/>
              </w:rPr>
              <w:t>G-01</w:t>
            </w:r>
          </w:p>
        </w:tc>
        <w:tc>
          <w:tcPr>
            <w:tcW w:type="dxa" w:w="2045"/>
            <w:vAlign w:val="center"/>
          </w:tcPr>
          <w:p>
            <w:r/>
            <w:r>
              <w:rPr>
                <w:rFonts w:ascii="Aptos" w:hAnsi="Aptos"/>
                <w:b w:val="0"/>
                <w:sz w:val="18"/>
              </w:rPr>
              <w:t>MFA</w:t>
            </w:r>
          </w:p>
        </w:tc>
        <w:tc>
          <w:tcPr>
            <w:tcW w:type="dxa" w:w="2045"/>
            <w:vAlign w:val="center"/>
          </w:tcPr>
          <w:p>
            <w:r/>
            <w:r>
              <w:rPr>
                <w:rFonts w:ascii="Aptos" w:hAnsi="Aptos"/>
                <w:b w:val="0"/>
                <w:sz w:val="18"/>
              </w:rPr>
              <w:t>MFA is optional for some users.</w:t>
            </w:r>
          </w:p>
        </w:tc>
        <w:tc>
          <w:tcPr>
            <w:tcW w:type="dxa" w:w="2045"/>
            <w:vAlign w:val="center"/>
          </w:tcPr>
          <w:p>
            <w:r/>
            <w:r>
              <w:rPr>
                <w:rFonts w:ascii="Aptos" w:hAnsi="Aptos"/>
                <w:b w:val="0"/>
                <w:sz w:val="18"/>
              </w:rPr>
              <w:t>Account compromise risk remains higher.</w:t>
            </w:r>
          </w:p>
        </w:tc>
        <w:tc>
          <w:tcPr>
            <w:tcW w:type="dxa" w:w="2045"/>
            <w:vAlign w:val="center"/>
          </w:tcPr>
          <w:p>
            <w:r/>
            <w:r>
              <w:rPr>
                <w:rFonts w:ascii="Aptos" w:hAnsi="Aptos"/>
                <w:b w:val="0"/>
                <w:sz w:val="18"/>
              </w:rPr>
              <w:t>Critical</w:t>
            </w:r>
          </w:p>
        </w:tc>
      </w:tr>
      <w:tr>
        <w:tc>
          <w:tcPr>
            <w:tcW w:type="dxa" w:w="2045"/>
            <w:vAlign w:val="center"/>
          </w:tcPr>
          <w:p>
            <w:r/>
            <w:r>
              <w:rPr>
                <w:rFonts w:ascii="Aptos" w:hAnsi="Aptos"/>
                <w:b w:val="0"/>
                <w:sz w:val="18"/>
              </w:rPr>
              <w:t>G-02</w:t>
            </w:r>
          </w:p>
        </w:tc>
        <w:tc>
          <w:tcPr>
            <w:tcW w:type="dxa" w:w="2045"/>
            <w:vAlign w:val="center"/>
          </w:tcPr>
          <w:p>
            <w:r/>
            <w:r>
              <w:rPr>
                <w:rFonts w:ascii="Aptos" w:hAnsi="Aptos"/>
                <w:b w:val="0"/>
                <w:sz w:val="18"/>
              </w:rPr>
              <w:t>Policy Governance</w:t>
            </w:r>
          </w:p>
        </w:tc>
        <w:tc>
          <w:tcPr>
            <w:tcW w:type="dxa" w:w="2045"/>
            <w:vAlign w:val="center"/>
          </w:tcPr>
          <w:p>
            <w:r/>
            <w:r>
              <w:rPr>
                <w:rFonts w:ascii="Aptos" w:hAnsi="Aptos"/>
                <w:b w:val="0"/>
                <w:sz w:val="18"/>
              </w:rPr>
              <w:t>Review cycle and policy owner are not clearly defined.</w:t>
            </w:r>
          </w:p>
        </w:tc>
        <w:tc>
          <w:tcPr>
            <w:tcW w:type="dxa" w:w="2045"/>
            <w:vAlign w:val="center"/>
          </w:tcPr>
          <w:p>
            <w:r/>
            <w:r>
              <w:rPr>
                <w:rFonts w:ascii="Aptos" w:hAnsi="Aptos"/>
                <w:b w:val="0"/>
                <w:sz w:val="18"/>
              </w:rPr>
              <w:t>Requirements may become outdated.</w:t>
            </w:r>
          </w:p>
        </w:tc>
        <w:tc>
          <w:tcPr>
            <w:tcW w:type="dxa" w:w="2045"/>
            <w:vAlign w:val="center"/>
          </w:tcPr>
          <w:p>
            <w:r/>
            <w:r>
              <w:rPr>
                <w:rFonts w:ascii="Aptos" w:hAnsi="Aptos"/>
                <w:b w:val="0"/>
                <w:sz w:val="18"/>
              </w:rPr>
              <w:t>High</w:t>
            </w:r>
          </w:p>
        </w:tc>
      </w:tr>
      <w:tr>
        <w:tc>
          <w:tcPr>
            <w:tcW w:type="dxa" w:w="2045"/>
            <w:vAlign w:val="center"/>
          </w:tcPr>
          <w:p>
            <w:r/>
            <w:r>
              <w:rPr>
                <w:rFonts w:ascii="Aptos" w:hAnsi="Aptos"/>
                <w:b w:val="0"/>
                <w:sz w:val="18"/>
              </w:rPr>
              <w:t>G-03</w:t>
            </w:r>
          </w:p>
        </w:tc>
        <w:tc>
          <w:tcPr>
            <w:tcW w:type="dxa" w:w="2045"/>
            <w:vAlign w:val="center"/>
          </w:tcPr>
          <w:p>
            <w:r/>
            <w:r>
              <w:rPr>
                <w:rFonts w:ascii="Aptos" w:hAnsi="Aptos"/>
                <w:b w:val="0"/>
                <w:sz w:val="18"/>
              </w:rPr>
              <w:t>Logging</w:t>
            </w:r>
          </w:p>
        </w:tc>
        <w:tc>
          <w:tcPr>
            <w:tcW w:type="dxa" w:w="2045"/>
            <w:vAlign w:val="center"/>
          </w:tcPr>
          <w:p>
            <w:r/>
            <w:r>
              <w:rPr>
                <w:rFonts w:ascii="Aptos" w:hAnsi="Aptos"/>
                <w:b w:val="0"/>
                <w:sz w:val="18"/>
              </w:rPr>
              <w:t>Retention, review ownership and alert thresholds are unclear.</w:t>
            </w:r>
          </w:p>
        </w:tc>
        <w:tc>
          <w:tcPr>
            <w:tcW w:type="dxa" w:w="2045"/>
            <w:vAlign w:val="center"/>
          </w:tcPr>
          <w:p>
            <w:r/>
            <w:r>
              <w:rPr>
                <w:rFonts w:ascii="Aptos" w:hAnsi="Aptos"/>
                <w:b w:val="0"/>
                <w:sz w:val="18"/>
              </w:rPr>
              <w:t>Delayed detection and weak investigations.</w:t>
            </w:r>
          </w:p>
        </w:tc>
        <w:tc>
          <w:tcPr>
            <w:tcW w:type="dxa" w:w="2045"/>
            <w:vAlign w:val="center"/>
          </w:tcPr>
          <w:p>
            <w:r/>
            <w:r>
              <w:rPr>
                <w:rFonts w:ascii="Aptos" w:hAnsi="Aptos"/>
                <w:b w:val="0"/>
                <w:sz w:val="18"/>
              </w:rPr>
              <w:t>High</w:t>
            </w:r>
          </w:p>
        </w:tc>
      </w:tr>
      <w:tr>
        <w:tc>
          <w:tcPr>
            <w:tcW w:type="dxa" w:w="2045"/>
            <w:vAlign w:val="center"/>
          </w:tcPr>
          <w:p>
            <w:r/>
            <w:r>
              <w:rPr>
                <w:rFonts w:ascii="Aptos" w:hAnsi="Aptos"/>
                <w:b w:val="0"/>
                <w:sz w:val="18"/>
              </w:rPr>
              <w:t>G-04</w:t>
            </w:r>
          </w:p>
        </w:tc>
        <w:tc>
          <w:tcPr>
            <w:tcW w:type="dxa" w:w="2045"/>
            <w:vAlign w:val="center"/>
          </w:tcPr>
          <w:p>
            <w:r/>
            <w:r>
              <w:rPr>
                <w:rFonts w:ascii="Aptos" w:hAnsi="Aptos"/>
                <w:b w:val="0"/>
                <w:sz w:val="18"/>
              </w:rPr>
              <w:t>Backup</w:t>
            </w:r>
          </w:p>
        </w:tc>
        <w:tc>
          <w:tcPr>
            <w:tcW w:type="dxa" w:w="2045"/>
            <w:vAlign w:val="center"/>
          </w:tcPr>
          <w:p>
            <w:r/>
            <w:r>
              <w:rPr>
                <w:rFonts w:ascii="Aptos" w:hAnsi="Aptos"/>
                <w:b w:val="0"/>
                <w:sz w:val="18"/>
              </w:rPr>
              <w:t>Restoration testing frequency is not specified.</w:t>
            </w:r>
          </w:p>
        </w:tc>
        <w:tc>
          <w:tcPr>
            <w:tcW w:type="dxa" w:w="2045"/>
            <w:vAlign w:val="center"/>
          </w:tcPr>
          <w:p>
            <w:r/>
            <w:r>
              <w:rPr>
                <w:rFonts w:ascii="Aptos" w:hAnsi="Aptos"/>
                <w:b w:val="0"/>
                <w:sz w:val="18"/>
              </w:rPr>
              <w:t>Backups may fail when needed.</w:t>
            </w:r>
          </w:p>
        </w:tc>
        <w:tc>
          <w:tcPr>
            <w:tcW w:type="dxa" w:w="2045"/>
            <w:vAlign w:val="center"/>
          </w:tcPr>
          <w:p>
            <w:r/>
            <w:r>
              <w:rPr>
                <w:rFonts w:ascii="Aptos" w:hAnsi="Aptos"/>
                <w:b w:val="0"/>
                <w:sz w:val="18"/>
              </w:rPr>
              <w:t>High</w:t>
            </w:r>
          </w:p>
        </w:tc>
      </w:tr>
      <w:tr>
        <w:tc>
          <w:tcPr>
            <w:tcW w:type="dxa" w:w="2045"/>
            <w:vAlign w:val="center"/>
          </w:tcPr>
          <w:p>
            <w:r/>
            <w:r>
              <w:rPr>
                <w:rFonts w:ascii="Aptos" w:hAnsi="Aptos"/>
                <w:b w:val="0"/>
                <w:sz w:val="18"/>
              </w:rPr>
              <w:t>G-05</w:t>
            </w:r>
          </w:p>
        </w:tc>
        <w:tc>
          <w:tcPr>
            <w:tcW w:type="dxa" w:w="2045"/>
            <w:vAlign w:val="center"/>
          </w:tcPr>
          <w:p>
            <w:r/>
            <w:r>
              <w:rPr>
                <w:rFonts w:ascii="Aptos" w:hAnsi="Aptos"/>
                <w:b w:val="0"/>
                <w:sz w:val="18"/>
              </w:rPr>
              <w:t>Awareness</w:t>
            </w:r>
          </w:p>
        </w:tc>
        <w:tc>
          <w:tcPr>
            <w:tcW w:type="dxa" w:w="2045"/>
            <w:vAlign w:val="center"/>
          </w:tcPr>
          <w:p>
            <w:r/>
            <w:r>
              <w:rPr>
                <w:rFonts w:ascii="Aptos" w:hAnsi="Aptos"/>
                <w:b w:val="0"/>
                <w:sz w:val="18"/>
              </w:rPr>
              <w:t>Training requirement lacks measurable completion targets.</w:t>
            </w:r>
          </w:p>
        </w:tc>
        <w:tc>
          <w:tcPr>
            <w:tcW w:type="dxa" w:w="2045"/>
            <w:vAlign w:val="center"/>
          </w:tcPr>
          <w:p>
            <w:r/>
            <w:r>
              <w:rPr>
                <w:rFonts w:ascii="Aptos" w:hAnsi="Aptos"/>
                <w:b w:val="0"/>
                <w:sz w:val="18"/>
              </w:rPr>
              <w:t>Human-error risk remains difficult to manage.</w:t>
            </w:r>
          </w:p>
        </w:tc>
        <w:tc>
          <w:tcPr>
            <w:tcW w:type="dxa" w:w="2045"/>
            <w:vAlign w:val="center"/>
          </w:tcPr>
          <w:p>
            <w:r/>
            <w:r>
              <w:rPr>
                <w:rFonts w:ascii="Aptos" w:hAnsi="Aptos"/>
                <w:b w:val="0"/>
                <w:sz w:val="18"/>
              </w:rPr>
              <w:t>Medium</w:t>
            </w:r>
          </w:p>
        </w:tc>
      </w:tr>
      <w:tr>
        <w:tc>
          <w:tcPr>
            <w:tcW w:type="dxa" w:w="2045"/>
            <w:vAlign w:val="center"/>
          </w:tcPr>
          <w:p>
            <w:r/>
            <w:r>
              <w:rPr>
                <w:rFonts w:ascii="Aptos" w:hAnsi="Aptos"/>
                <w:b w:val="0"/>
                <w:sz w:val="18"/>
              </w:rPr>
              <w:t>G-06</w:t>
            </w:r>
          </w:p>
        </w:tc>
        <w:tc>
          <w:tcPr>
            <w:tcW w:type="dxa" w:w="2045"/>
            <w:vAlign w:val="center"/>
          </w:tcPr>
          <w:p>
            <w:r/>
            <w:r>
              <w:rPr>
                <w:rFonts w:ascii="Aptos" w:hAnsi="Aptos"/>
                <w:b w:val="0"/>
                <w:sz w:val="18"/>
              </w:rPr>
              <w:t>Third Parties</w:t>
            </w:r>
          </w:p>
        </w:tc>
        <w:tc>
          <w:tcPr>
            <w:tcW w:type="dxa" w:w="2045"/>
            <w:vAlign w:val="center"/>
          </w:tcPr>
          <w:p>
            <w:r/>
            <w:r>
              <w:rPr>
                <w:rFonts w:ascii="Aptos" w:hAnsi="Aptos"/>
                <w:b w:val="0"/>
                <w:sz w:val="18"/>
              </w:rPr>
              <w:t>Security clauses are generic.</w:t>
            </w:r>
          </w:p>
        </w:tc>
        <w:tc>
          <w:tcPr>
            <w:tcW w:type="dxa" w:w="2045"/>
            <w:vAlign w:val="center"/>
          </w:tcPr>
          <w:p>
            <w:r/>
            <w:r>
              <w:rPr>
                <w:rFonts w:ascii="Aptos" w:hAnsi="Aptos"/>
                <w:b w:val="0"/>
                <w:sz w:val="18"/>
              </w:rPr>
              <w:t>Supplier-related risk may be unmanaged.</w:t>
            </w:r>
          </w:p>
        </w:tc>
        <w:tc>
          <w:tcPr>
            <w:tcW w:type="dxa" w:w="2045"/>
            <w:vAlign w:val="center"/>
          </w:tcPr>
          <w:p>
            <w:r/>
            <w:r>
              <w:rPr>
                <w:rFonts w:ascii="Aptos" w:hAnsi="Aptos"/>
                <w:b w:val="0"/>
                <w:sz w:val="18"/>
              </w:rPr>
              <w:t>Medium</w:t>
            </w:r>
          </w:p>
        </w:tc>
      </w:tr>
    </w:tbl>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policy-gap-priority.png"/>
                    <pic:cNvPicPr/>
                  </pic:nvPicPr>
                  <pic:blipFill>
                    <a:blip r:embed="rId10"/>
                    <a:stretch>
                      <a:fillRect/>
                    </a:stretch>
                  </pic:blipFill>
                  <pic:spPr>
                    <a:xfrm>
                      <a:off x="0" y="0"/>
                      <a:ext cx="5852160" cy="3511296"/>
                    </a:xfrm>
                    <a:prstGeom prst="rect"/>
                  </pic:spPr>
                </pic:pic>
              </a:graphicData>
            </a:graphic>
          </wp:inline>
        </w:drawing>
      </w:r>
    </w:p>
    <w:p>
      <w:pPr>
        <w:jc w:val="center"/>
      </w:pPr>
      <w:r>
        <w:t>Figure 2. Simulated priority ranking of identified policy gaps.</w:t>
      </w:r>
    </w:p>
    <w:p>
      <w:pPr>
        <w:pStyle w:val="Heading1"/>
      </w:pPr>
      <w:r>
        <w:t>7. Benchmark Against Industry Practices</w:t>
      </w:r>
    </w:p>
    <w:p>
      <w:r>
        <w:t>NIST CSF 2.0 provides a flexible structure for managing cybersecurity risk. NIST SP 800-53 provides a broad catalog of security and privacy controls, while ISO/IEC 27001:2022 defines requirements for an information security management system. These references are used as benchmarks rather than as claims of formal compliance.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EEF7"/>
          </w:tcPr>
          <w:p>
            <w:r/>
            <w:r>
              <w:rPr>
                <w:rFonts w:ascii="Aptos" w:hAnsi="Aptos"/>
                <w:b/>
                <w:sz w:val="18"/>
              </w:rPr>
              <w:t>Policy Area</w:t>
            </w:r>
          </w:p>
        </w:tc>
        <w:tc>
          <w:tcPr>
            <w:tcW w:type="dxa" w:w="3408"/>
            <w:vAlign w:val="center"/>
            <w:shd w:fill="E8EEF7"/>
          </w:tcPr>
          <w:p>
            <w:r/>
            <w:r>
              <w:rPr>
                <w:rFonts w:ascii="Aptos" w:hAnsi="Aptos"/>
                <w:b/>
                <w:sz w:val="18"/>
              </w:rPr>
              <w:t>Benchmark Practice</w:t>
            </w:r>
          </w:p>
        </w:tc>
        <w:tc>
          <w:tcPr>
            <w:tcW w:type="dxa" w:w="3408"/>
            <w:vAlign w:val="center"/>
            <w:shd w:fill="E8EEF7"/>
          </w:tcPr>
          <w:p>
            <w:r/>
            <w:r>
              <w:rPr>
                <w:rFonts w:ascii="Aptos" w:hAnsi="Aptos"/>
                <w:b/>
                <w:sz w:val="18"/>
              </w:rPr>
              <w:t>Assessment</w:t>
            </w:r>
          </w:p>
        </w:tc>
      </w:tr>
      <w:tr>
        <w:tc>
          <w:tcPr>
            <w:tcW w:type="dxa" w:w="3408"/>
            <w:vAlign w:val="center"/>
          </w:tcPr>
          <w:p>
            <w:r/>
            <w:r>
              <w:rPr>
                <w:rFonts w:ascii="Aptos" w:hAnsi="Aptos"/>
                <w:b w:val="0"/>
                <w:sz w:val="18"/>
              </w:rPr>
              <w:t>Governance</w:t>
            </w:r>
          </w:p>
        </w:tc>
        <w:tc>
          <w:tcPr>
            <w:tcW w:type="dxa" w:w="3408"/>
            <w:vAlign w:val="center"/>
          </w:tcPr>
          <w:p>
            <w:r/>
            <w:r>
              <w:rPr>
                <w:rFonts w:ascii="Aptos" w:hAnsi="Aptos"/>
                <w:b w:val="0"/>
                <w:sz w:val="18"/>
              </w:rPr>
              <w:t>Defined ownership, risk management and continuous improvement</w:t>
            </w:r>
          </w:p>
        </w:tc>
        <w:tc>
          <w:tcPr>
            <w:tcW w:type="dxa" w:w="3408"/>
            <w:vAlign w:val="center"/>
          </w:tcPr>
          <w:p>
            <w:r/>
            <w:r>
              <w:rPr>
                <w:rFonts w:ascii="Aptos" w:hAnsi="Aptos"/>
                <w:b w:val="0"/>
                <w:sz w:val="18"/>
              </w:rPr>
              <w:t>Needs clearer accountability</w:t>
            </w:r>
          </w:p>
        </w:tc>
      </w:tr>
      <w:tr>
        <w:tc>
          <w:tcPr>
            <w:tcW w:type="dxa" w:w="3408"/>
            <w:vAlign w:val="center"/>
          </w:tcPr>
          <w:p>
            <w:r/>
            <w:r>
              <w:rPr>
                <w:rFonts w:ascii="Aptos" w:hAnsi="Aptos"/>
                <w:b w:val="0"/>
                <w:sz w:val="18"/>
              </w:rPr>
              <w:t>Access</w:t>
            </w:r>
          </w:p>
        </w:tc>
        <w:tc>
          <w:tcPr>
            <w:tcW w:type="dxa" w:w="3408"/>
            <w:vAlign w:val="center"/>
          </w:tcPr>
          <w:p>
            <w:r/>
            <w:r>
              <w:rPr>
                <w:rFonts w:ascii="Aptos" w:hAnsi="Aptos"/>
                <w:b w:val="0"/>
                <w:sz w:val="18"/>
              </w:rPr>
              <w:t>Least privilege, strong authentication and account management</w:t>
            </w:r>
          </w:p>
        </w:tc>
        <w:tc>
          <w:tcPr>
            <w:tcW w:type="dxa" w:w="3408"/>
            <w:vAlign w:val="center"/>
          </w:tcPr>
          <w:p>
            <w:r/>
            <w:r>
              <w:rPr>
                <w:rFonts w:ascii="Aptos" w:hAnsi="Aptos"/>
                <w:b w:val="0"/>
                <w:sz w:val="18"/>
              </w:rPr>
              <w:t>MFA coverage should be expanded</w:t>
            </w:r>
          </w:p>
        </w:tc>
      </w:tr>
      <w:tr>
        <w:tc>
          <w:tcPr>
            <w:tcW w:type="dxa" w:w="3408"/>
            <w:vAlign w:val="center"/>
          </w:tcPr>
          <w:p>
            <w:r/>
            <w:r>
              <w:rPr>
                <w:rFonts w:ascii="Aptos" w:hAnsi="Aptos"/>
                <w:b w:val="0"/>
                <w:sz w:val="18"/>
              </w:rPr>
              <w:t>Data</w:t>
            </w:r>
          </w:p>
        </w:tc>
        <w:tc>
          <w:tcPr>
            <w:tcW w:type="dxa" w:w="3408"/>
            <w:vAlign w:val="center"/>
          </w:tcPr>
          <w:p>
            <w:r/>
            <w:r>
              <w:rPr>
                <w:rFonts w:ascii="Aptos" w:hAnsi="Aptos"/>
                <w:b w:val="0"/>
                <w:sz w:val="18"/>
              </w:rPr>
              <w:t>Classification, protection, retention and secure handling</w:t>
            </w:r>
          </w:p>
        </w:tc>
        <w:tc>
          <w:tcPr>
            <w:tcW w:type="dxa" w:w="3408"/>
            <w:vAlign w:val="center"/>
          </w:tcPr>
          <w:p>
            <w:r/>
            <w:r>
              <w:rPr>
                <w:rFonts w:ascii="Aptos" w:hAnsi="Aptos"/>
                <w:b w:val="0"/>
                <w:sz w:val="18"/>
              </w:rPr>
              <w:t>Baseline exists; retention needs detail</w:t>
            </w:r>
          </w:p>
        </w:tc>
      </w:tr>
      <w:tr>
        <w:tc>
          <w:tcPr>
            <w:tcW w:type="dxa" w:w="3408"/>
            <w:vAlign w:val="center"/>
          </w:tcPr>
          <w:p>
            <w:r/>
            <w:r>
              <w:rPr>
                <w:rFonts w:ascii="Aptos" w:hAnsi="Aptos"/>
                <w:b w:val="0"/>
                <w:sz w:val="18"/>
              </w:rPr>
              <w:t>Monitoring</w:t>
            </w:r>
          </w:p>
        </w:tc>
        <w:tc>
          <w:tcPr>
            <w:tcW w:type="dxa" w:w="3408"/>
            <w:vAlign w:val="center"/>
          </w:tcPr>
          <w:p>
            <w:r/>
            <w:r>
              <w:rPr>
                <w:rFonts w:ascii="Aptos" w:hAnsi="Aptos"/>
                <w:b w:val="0"/>
                <w:sz w:val="18"/>
              </w:rPr>
              <w:t>Audit logging, review and response to security events</w:t>
            </w:r>
          </w:p>
        </w:tc>
        <w:tc>
          <w:tcPr>
            <w:tcW w:type="dxa" w:w="3408"/>
            <w:vAlign w:val="center"/>
          </w:tcPr>
          <w:p>
            <w:r/>
            <w:r>
              <w:rPr>
                <w:rFonts w:ascii="Aptos" w:hAnsi="Aptos"/>
                <w:b w:val="0"/>
                <w:sz w:val="18"/>
              </w:rPr>
              <w:t>Retention/monitoring needs formalization</w:t>
            </w:r>
          </w:p>
        </w:tc>
      </w:tr>
      <w:tr>
        <w:tc>
          <w:tcPr>
            <w:tcW w:type="dxa" w:w="3408"/>
            <w:vAlign w:val="center"/>
          </w:tcPr>
          <w:p>
            <w:r/>
            <w:r>
              <w:rPr>
                <w:rFonts w:ascii="Aptos" w:hAnsi="Aptos"/>
                <w:b w:val="0"/>
                <w:sz w:val="18"/>
              </w:rPr>
              <w:t>Incident Response</w:t>
            </w:r>
          </w:p>
        </w:tc>
        <w:tc>
          <w:tcPr>
            <w:tcW w:type="dxa" w:w="3408"/>
            <w:vAlign w:val="center"/>
          </w:tcPr>
          <w:p>
            <w:r/>
            <w:r>
              <w:rPr>
                <w:rFonts w:ascii="Aptos" w:hAnsi="Aptos"/>
                <w:b w:val="0"/>
                <w:sz w:val="18"/>
              </w:rPr>
              <w:t>Defined roles, escalation and response procedures</w:t>
            </w:r>
          </w:p>
        </w:tc>
        <w:tc>
          <w:tcPr>
            <w:tcW w:type="dxa" w:w="3408"/>
            <w:vAlign w:val="center"/>
          </w:tcPr>
          <w:p>
            <w:r/>
            <w:r>
              <w:rPr>
                <w:rFonts w:ascii="Aptos" w:hAnsi="Aptos"/>
                <w:b w:val="0"/>
                <w:sz w:val="18"/>
              </w:rPr>
              <w:t>Good foundation; link to IRP</w:t>
            </w:r>
          </w:p>
        </w:tc>
      </w:tr>
      <w:tr>
        <w:tc>
          <w:tcPr>
            <w:tcW w:type="dxa" w:w="3408"/>
            <w:vAlign w:val="center"/>
          </w:tcPr>
          <w:p>
            <w:r/>
            <w:r>
              <w:rPr>
                <w:rFonts w:ascii="Aptos" w:hAnsi="Aptos"/>
                <w:b w:val="0"/>
                <w:sz w:val="18"/>
              </w:rPr>
              <w:t>Resilience</w:t>
            </w:r>
          </w:p>
        </w:tc>
        <w:tc>
          <w:tcPr>
            <w:tcW w:type="dxa" w:w="3408"/>
            <w:vAlign w:val="center"/>
          </w:tcPr>
          <w:p>
            <w:r/>
            <w:r>
              <w:rPr>
                <w:rFonts w:ascii="Aptos" w:hAnsi="Aptos"/>
                <w:b w:val="0"/>
                <w:sz w:val="18"/>
              </w:rPr>
              <w:t>Backups, restoration testing and recovery planning</w:t>
            </w:r>
          </w:p>
        </w:tc>
        <w:tc>
          <w:tcPr>
            <w:tcW w:type="dxa" w:w="3408"/>
            <w:vAlign w:val="center"/>
          </w:tcPr>
          <w:p>
            <w:r/>
            <w:r>
              <w:rPr>
                <w:rFonts w:ascii="Aptos" w:hAnsi="Aptos"/>
                <w:b w:val="0"/>
                <w:sz w:val="18"/>
              </w:rPr>
              <w:t>Testing requirement should be explicit</w:t>
            </w:r>
          </w:p>
        </w:tc>
      </w:tr>
      <w:tr>
        <w:tc>
          <w:tcPr>
            <w:tcW w:type="dxa" w:w="3408"/>
            <w:vAlign w:val="center"/>
          </w:tcPr>
          <w:p>
            <w:r/>
            <w:r>
              <w:rPr>
                <w:rFonts w:ascii="Aptos" w:hAnsi="Aptos"/>
                <w:b w:val="0"/>
                <w:sz w:val="18"/>
              </w:rPr>
              <w:t>People</w:t>
            </w:r>
          </w:p>
        </w:tc>
        <w:tc>
          <w:tcPr>
            <w:tcW w:type="dxa" w:w="3408"/>
            <w:vAlign w:val="center"/>
          </w:tcPr>
          <w:p>
            <w:r/>
            <w:r>
              <w:rPr>
                <w:rFonts w:ascii="Aptos" w:hAnsi="Aptos"/>
                <w:b w:val="0"/>
                <w:sz w:val="18"/>
              </w:rPr>
              <w:t>Security awareness and role-based training</w:t>
            </w:r>
          </w:p>
        </w:tc>
        <w:tc>
          <w:tcPr>
            <w:tcW w:type="dxa" w:w="3408"/>
            <w:vAlign w:val="center"/>
          </w:tcPr>
          <w:p>
            <w:r/>
            <w:r>
              <w:rPr>
                <w:rFonts w:ascii="Aptos" w:hAnsi="Aptos"/>
                <w:b w:val="0"/>
                <w:sz w:val="18"/>
              </w:rPr>
              <w:t>Metrics should be added</w:t>
            </w:r>
          </w:p>
        </w:tc>
      </w:tr>
      <w:tr>
        <w:tc>
          <w:tcPr>
            <w:tcW w:type="dxa" w:w="3408"/>
            <w:vAlign w:val="center"/>
          </w:tcPr>
          <w:p>
            <w:r/>
            <w:r>
              <w:rPr>
                <w:rFonts w:ascii="Aptos" w:hAnsi="Aptos"/>
                <w:b w:val="0"/>
                <w:sz w:val="18"/>
              </w:rPr>
              <w:t>Suppliers</w:t>
            </w:r>
          </w:p>
        </w:tc>
        <w:tc>
          <w:tcPr>
            <w:tcW w:type="dxa" w:w="3408"/>
            <w:vAlign w:val="center"/>
          </w:tcPr>
          <w:p>
            <w:r/>
            <w:r>
              <w:rPr>
                <w:rFonts w:ascii="Aptos" w:hAnsi="Aptos"/>
                <w:b w:val="0"/>
                <w:sz w:val="18"/>
              </w:rPr>
              <w:t>Security requirements, due diligence and ongoing review</w:t>
            </w:r>
          </w:p>
        </w:tc>
        <w:tc>
          <w:tcPr>
            <w:tcW w:type="dxa" w:w="3408"/>
            <w:vAlign w:val="center"/>
          </w:tcPr>
          <w:p>
            <w:r/>
            <w:r>
              <w:rPr>
                <w:rFonts w:ascii="Aptos" w:hAnsi="Aptos"/>
                <w:b w:val="0"/>
                <w:sz w:val="18"/>
              </w:rPr>
              <w:t>Contractual controls should be strengthened</w:t>
            </w:r>
          </w:p>
        </w:tc>
      </w:tr>
    </w:tbl>
    <w:p>
      <w:r>
        <w:t>NIST notes that its CSF is intended to help organizations understand and improve management of cybersecurity risk. NIST SP 800-53 provides a customizable control catalog. ISO/IEC 27001:2022 provides requirements for an ISMS. Together, these sources support a governance approach in which policies are owned, implemented, assessed, monitored, and improved.</w:t>
      </w:r>
    </w:p>
    <w:p>
      <w:pPr>
        <w:pStyle w:val="Heading1"/>
      </w:pPr>
      <w:r>
        <w:t>8. Improvement Recommendations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8EEF7"/>
          </w:tcPr>
          <w:p>
            <w:r/>
            <w:r>
              <w:rPr>
                <w:rFonts w:ascii="Aptos" w:hAnsi="Aptos"/>
                <w:b/>
                <w:sz w:val="18"/>
              </w:rPr>
              <w:t>ID</w:t>
            </w:r>
          </w:p>
        </w:tc>
        <w:tc>
          <w:tcPr>
            <w:tcW w:type="dxa" w:w="2045"/>
            <w:vAlign w:val="center"/>
            <w:shd w:fill="E8EEF7"/>
          </w:tcPr>
          <w:p>
            <w:r/>
            <w:r>
              <w:rPr>
                <w:rFonts w:ascii="Aptos" w:hAnsi="Aptos"/>
                <w:b/>
                <w:sz w:val="18"/>
              </w:rPr>
              <w:t>Recommendation</w:t>
            </w:r>
          </w:p>
        </w:tc>
        <w:tc>
          <w:tcPr>
            <w:tcW w:type="dxa" w:w="2045"/>
            <w:vAlign w:val="center"/>
            <w:shd w:fill="E8EEF7"/>
          </w:tcPr>
          <w:p>
            <w:r/>
            <w:r>
              <w:rPr>
                <w:rFonts w:ascii="Aptos" w:hAnsi="Aptos"/>
                <w:b/>
                <w:sz w:val="18"/>
              </w:rPr>
              <w:t>Rationale</w:t>
            </w:r>
          </w:p>
        </w:tc>
        <w:tc>
          <w:tcPr>
            <w:tcW w:type="dxa" w:w="2045"/>
            <w:vAlign w:val="center"/>
            <w:shd w:fill="E8EEF7"/>
          </w:tcPr>
          <w:p>
            <w:r/>
            <w:r>
              <w:rPr>
                <w:rFonts w:ascii="Aptos" w:hAnsi="Aptos"/>
                <w:b/>
                <w:sz w:val="18"/>
              </w:rPr>
              <w:t>Priority</w:t>
            </w:r>
          </w:p>
        </w:tc>
        <w:tc>
          <w:tcPr>
            <w:tcW w:type="dxa" w:w="2045"/>
            <w:vAlign w:val="center"/>
            <w:shd w:fill="E8EEF7"/>
          </w:tcPr>
          <w:p>
            <w:r/>
            <w:r>
              <w:rPr>
                <w:rFonts w:ascii="Aptos" w:hAnsi="Aptos"/>
                <w:b/>
                <w:sz w:val="18"/>
              </w:rPr>
              <w:t>Target</w:t>
            </w:r>
          </w:p>
        </w:tc>
      </w:tr>
      <w:tr>
        <w:tc>
          <w:tcPr>
            <w:tcW w:type="dxa" w:w="2045"/>
            <w:vAlign w:val="center"/>
          </w:tcPr>
          <w:p>
            <w:r/>
            <w:r>
              <w:rPr>
                <w:rFonts w:ascii="Aptos" w:hAnsi="Aptos"/>
                <w:b w:val="0"/>
                <w:sz w:val="18"/>
              </w:rPr>
              <w:t>R-01</w:t>
            </w:r>
          </w:p>
        </w:tc>
        <w:tc>
          <w:tcPr>
            <w:tcW w:type="dxa" w:w="2045"/>
            <w:vAlign w:val="center"/>
          </w:tcPr>
          <w:p>
            <w:r/>
            <w:r>
              <w:rPr>
                <w:rFonts w:ascii="Aptos" w:hAnsi="Aptos"/>
                <w:b w:val="0"/>
                <w:sz w:val="18"/>
              </w:rPr>
              <w:t>Enforce MFA</w:t>
            </w:r>
          </w:p>
        </w:tc>
        <w:tc>
          <w:tcPr>
            <w:tcW w:type="dxa" w:w="2045"/>
            <w:vAlign w:val="center"/>
          </w:tcPr>
          <w:p>
            <w:r/>
            <w:r>
              <w:rPr>
                <w:rFonts w:ascii="Aptos" w:hAnsi="Aptos"/>
                <w:b w:val="0"/>
                <w:sz w:val="18"/>
              </w:rPr>
              <w:t>Require MFA for privileged, remote, administrative and other high-risk access. Use phishing-resistant methods where practical.</w:t>
            </w:r>
          </w:p>
        </w:tc>
        <w:tc>
          <w:tcPr>
            <w:tcW w:type="dxa" w:w="2045"/>
            <w:vAlign w:val="center"/>
          </w:tcPr>
          <w:p>
            <w:r/>
            <w:r>
              <w:rPr>
                <w:rFonts w:ascii="Aptos" w:hAnsi="Aptos"/>
                <w:b w:val="0"/>
                <w:sz w:val="18"/>
              </w:rPr>
              <w:t>Critical</w:t>
            </w:r>
          </w:p>
        </w:tc>
        <w:tc>
          <w:tcPr>
            <w:tcW w:type="dxa" w:w="2045"/>
            <w:vAlign w:val="center"/>
          </w:tcPr>
          <w:p>
            <w:r/>
            <w:r>
              <w:rPr>
                <w:rFonts w:ascii="Aptos" w:hAnsi="Aptos"/>
                <w:b w:val="0"/>
                <w:sz w:val="18"/>
              </w:rPr>
              <w:t>0–30 days</w:t>
            </w:r>
          </w:p>
        </w:tc>
      </w:tr>
      <w:tr>
        <w:tc>
          <w:tcPr>
            <w:tcW w:type="dxa" w:w="2045"/>
            <w:vAlign w:val="center"/>
          </w:tcPr>
          <w:p>
            <w:r/>
            <w:r>
              <w:rPr>
                <w:rFonts w:ascii="Aptos" w:hAnsi="Aptos"/>
                <w:b w:val="0"/>
                <w:sz w:val="18"/>
              </w:rPr>
              <w:t>R-02</w:t>
            </w:r>
          </w:p>
        </w:tc>
        <w:tc>
          <w:tcPr>
            <w:tcW w:type="dxa" w:w="2045"/>
            <w:vAlign w:val="center"/>
          </w:tcPr>
          <w:p>
            <w:r/>
            <w:r>
              <w:rPr>
                <w:rFonts w:ascii="Aptos" w:hAnsi="Aptos"/>
                <w:b w:val="0"/>
                <w:sz w:val="18"/>
              </w:rPr>
              <w:t>Formalize Policy Governance</w:t>
            </w:r>
          </w:p>
        </w:tc>
        <w:tc>
          <w:tcPr>
            <w:tcW w:type="dxa" w:w="2045"/>
            <w:vAlign w:val="center"/>
          </w:tcPr>
          <w:p>
            <w:r/>
            <w:r>
              <w:rPr>
                <w:rFonts w:ascii="Aptos" w:hAnsi="Aptos"/>
                <w:b w:val="0"/>
                <w:sz w:val="18"/>
              </w:rPr>
              <w:t>Assign a policy owner, annual review date, approval authority, version history and event-driven review triggers.</w:t>
            </w:r>
          </w:p>
        </w:tc>
        <w:tc>
          <w:tcPr>
            <w:tcW w:type="dxa" w:w="2045"/>
            <w:vAlign w:val="center"/>
          </w:tcPr>
          <w:p>
            <w:r/>
            <w:r>
              <w:rPr>
                <w:rFonts w:ascii="Aptos" w:hAnsi="Aptos"/>
                <w:b w:val="0"/>
                <w:sz w:val="18"/>
              </w:rPr>
              <w:t>High</w:t>
            </w:r>
          </w:p>
        </w:tc>
        <w:tc>
          <w:tcPr>
            <w:tcW w:type="dxa" w:w="2045"/>
            <w:vAlign w:val="center"/>
          </w:tcPr>
          <w:p>
            <w:r/>
            <w:r>
              <w:rPr>
                <w:rFonts w:ascii="Aptos" w:hAnsi="Aptos"/>
                <w:b w:val="0"/>
                <w:sz w:val="18"/>
              </w:rPr>
              <w:t>0–30 days</w:t>
            </w:r>
          </w:p>
        </w:tc>
      </w:tr>
      <w:tr>
        <w:tc>
          <w:tcPr>
            <w:tcW w:type="dxa" w:w="2045"/>
            <w:vAlign w:val="center"/>
          </w:tcPr>
          <w:p>
            <w:r/>
            <w:r>
              <w:rPr>
                <w:rFonts w:ascii="Aptos" w:hAnsi="Aptos"/>
                <w:b w:val="0"/>
                <w:sz w:val="18"/>
              </w:rPr>
              <w:t>R-03</w:t>
            </w:r>
          </w:p>
        </w:tc>
        <w:tc>
          <w:tcPr>
            <w:tcW w:type="dxa" w:w="2045"/>
            <w:vAlign w:val="center"/>
          </w:tcPr>
          <w:p>
            <w:r/>
            <w:r>
              <w:rPr>
                <w:rFonts w:ascii="Aptos" w:hAnsi="Aptos"/>
                <w:b w:val="0"/>
                <w:sz w:val="18"/>
              </w:rPr>
              <w:t>Define Logging Standard</w:t>
            </w:r>
          </w:p>
        </w:tc>
        <w:tc>
          <w:tcPr>
            <w:tcW w:type="dxa" w:w="2045"/>
            <w:vAlign w:val="center"/>
          </w:tcPr>
          <w:p>
            <w:r/>
            <w:r>
              <w:rPr>
                <w:rFonts w:ascii="Aptos" w:hAnsi="Aptos"/>
                <w:b w:val="0"/>
                <w:sz w:val="18"/>
              </w:rPr>
              <w:t>Specify critical log sources, minimum retention, access restrictions, monitoring ownership and escalation thresholds.</w:t>
            </w:r>
          </w:p>
        </w:tc>
        <w:tc>
          <w:tcPr>
            <w:tcW w:type="dxa" w:w="2045"/>
            <w:vAlign w:val="center"/>
          </w:tcPr>
          <w:p>
            <w:r/>
            <w:r>
              <w:rPr>
                <w:rFonts w:ascii="Aptos" w:hAnsi="Aptos"/>
                <w:b w:val="0"/>
                <w:sz w:val="18"/>
              </w:rPr>
              <w:t>High</w:t>
            </w:r>
          </w:p>
        </w:tc>
        <w:tc>
          <w:tcPr>
            <w:tcW w:type="dxa" w:w="2045"/>
            <w:vAlign w:val="center"/>
          </w:tcPr>
          <w:p>
            <w:r/>
            <w:r>
              <w:rPr>
                <w:rFonts w:ascii="Aptos" w:hAnsi="Aptos"/>
                <w:b w:val="0"/>
                <w:sz w:val="18"/>
              </w:rPr>
              <w:t>0–60 days</w:t>
            </w:r>
          </w:p>
        </w:tc>
      </w:tr>
      <w:tr>
        <w:tc>
          <w:tcPr>
            <w:tcW w:type="dxa" w:w="2045"/>
            <w:vAlign w:val="center"/>
          </w:tcPr>
          <w:p>
            <w:r/>
            <w:r>
              <w:rPr>
                <w:rFonts w:ascii="Aptos" w:hAnsi="Aptos"/>
                <w:b w:val="0"/>
                <w:sz w:val="18"/>
              </w:rPr>
              <w:t>R-04</w:t>
            </w:r>
          </w:p>
        </w:tc>
        <w:tc>
          <w:tcPr>
            <w:tcW w:type="dxa" w:w="2045"/>
            <w:vAlign w:val="center"/>
          </w:tcPr>
          <w:p>
            <w:r/>
            <w:r>
              <w:rPr>
                <w:rFonts w:ascii="Aptos" w:hAnsi="Aptos"/>
                <w:b w:val="0"/>
                <w:sz w:val="18"/>
              </w:rPr>
              <w:t>Test Backup Restoration</w:t>
            </w:r>
          </w:p>
        </w:tc>
        <w:tc>
          <w:tcPr>
            <w:tcW w:type="dxa" w:w="2045"/>
            <w:vAlign w:val="center"/>
          </w:tcPr>
          <w:p>
            <w:r/>
            <w:r>
              <w:rPr>
                <w:rFonts w:ascii="Aptos" w:hAnsi="Aptos"/>
                <w:b w:val="0"/>
                <w:sz w:val="18"/>
              </w:rPr>
              <w:t>Define restoration tests at least periodically and record success/failure, recovery time and corrective actions.</w:t>
            </w:r>
          </w:p>
        </w:tc>
        <w:tc>
          <w:tcPr>
            <w:tcW w:type="dxa" w:w="2045"/>
            <w:vAlign w:val="center"/>
          </w:tcPr>
          <w:p>
            <w:r/>
            <w:r>
              <w:rPr>
                <w:rFonts w:ascii="Aptos" w:hAnsi="Aptos"/>
                <w:b w:val="0"/>
                <w:sz w:val="18"/>
              </w:rPr>
              <w:t>High</w:t>
            </w:r>
          </w:p>
        </w:tc>
        <w:tc>
          <w:tcPr>
            <w:tcW w:type="dxa" w:w="2045"/>
            <w:vAlign w:val="center"/>
          </w:tcPr>
          <w:p>
            <w:r/>
            <w:r>
              <w:rPr>
                <w:rFonts w:ascii="Aptos" w:hAnsi="Aptos"/>
                <w:b w:val="0"/>
                <w:sz w:val="18"/>
              </w:rPr>
              <w:t>30–90 days</w:t>
            </w:r>
          </w:p>
        </w:tc>
      </w:tr>
      <w:tr>
        <w:tc>
          <w:tcPr>
            <w:tcW w:type="dxa" w:w="2045"/>
            <w:vAlign w:val="center"/>
          </w:tcPr>
          <w:p>
            <w:r/>
            <w:r>
              <w:rPr>
                <w:rFonts w:ascii="Aptos" w:hAnsi="Aptos"/>
                <w:b w:val="0"/>
                <w:sz w:val="18"/>
              </w:rPr>
              <w:t>R-05</w:t>
            </w:r>
          </w:p>
        </w:tc>
        <w:tc>
          <w:tcPr>
            <w:tcW w:type="dxa" w:w="2045"/>
            <w:vAlign w:val="center"/>
          </w:tcPr>
          <w:p>
            <w:r/>
            <w:r>
              <w:rPr>
                <w:rFonts w:ascii="Aptos" w:hAnsi="Aptos"/>
                <w:b w:val="0"/>
                <w:sz w:val="18"/>
              </w:rPr>
              <w:t>Measure Awareness</w:t>
            </w:r>
          </w:p>
        </w:tc>
        <w:tc>
          <w:tcPr>
            <w:tcW w:type="dxa" w:w="2045"/>
            <w:vAlign w:val="center"/>
          </w:tcPr>
          <w:p>
            <w:r/>
            <w:r>
              <w:rPr>
                <w:rFonts w:ascii="Aptos" w:hAnsi="Aptos"/>
                <w:b w:val="0"/>
                <w:sz w:val="18"/>
              </w:rPr>
              <w:t>Require onboarding and recurring awareness training with completion targets and phishing-awareness exercises.</w:t>
            </w:r>
          </w:p>
        </w:tc>
        <w:tc>
          <w:tcPr>
            <w:tcW w:type="dxa" w:w="2045"/>
            <w:vAlign w:val="center"/>
          </w:tcPr>
          <w:p>
            <w:r/>
            <w:r>
              <w:rPr>
                <w:rFonts w:ascii="Aptos" w:hAnsi="Aptos"/>
                <w:b w:val="0"/>
                <w:sz w:val="18"/>
              </w:rPr>
              <w:t>Medium</w:t>
            </w:r>
          </w:p>
        </w:tc>
        <w:tc>
          <w:tcPr>
            <w:tcW w:type="dxa" w:w="2045"/>
            <w:vAlign w:val="center"/>
          </w:tcPr>
          <w:p>
            <w:r/>
            <w:r>
              <w:rPr>
                <w:rFonts w:ascii="Aptos" w:hAnsi="Aptos"/>
                <w:b w:val="0"/>
                <w:sz w:val="18"/>
              </w:rPr>
              <w:t>30–90 days</w:t>
            </w:r>
          </w:p>
        </w:tc>
      </w:tr>
      <w:tr>
        <w:tc>
          <w:tcPr>
            <w:tcW w:type="dxa" w:w="2045"/>
            <w:vAlign w:val="center"/>
          </w:tcPr>
          <w:p>
            <w:r/>
            <w:r>
              <w:rPr>
                <w:rFonts w:ascii="Aptos" w:hAnsi="Aptos"/>
                <w:b w:val="0"/>
                <w:sz w:val="18"/>
              </w:rPr>
              <w:t>R-06</w:t>
            </w:r>
          </w:p>
        </w:tc>
        <w:tc>
          <w:tcPr>
            <w:tcW w:type="dxa" w:w="2045"/>
            <w:vAlign w:val="center"/>
          </w:tcPr>
          <w:p>
            <w:r/>
            <w:r>
              <w:rPr>
                <w:rFonts w:ascii="Aptos" w:hAnsi="Aptos"/>
                <w:b w:val="0"/>
                <w:sz w:val="18"/>
              </w:rPr>
              <w:t>Strengthen Supplier Controls</w:t>
            </w:r>
          </w:p>
        </w:tc>
        <w:tc>
          <w:tcPr>
            <w:tcW w:type="dxa" w:w="2045"/>
            <w:vAlign w:val="center"/>
          </w:tcPr>
          <w:p>
            <w:r/>
            <w:r>
              <w:rPr>
                <w:rFonts w:ascii="Aptos" w:hAnsi="Aptos"/>
                <w:b w:val="0"/>
                <w:sz w:val="18"/>
              </w:rPr>
              <w:t>Add security requirements covering access, incident notification, data protection, vulnerability management and offboarding.</w:t>
            </w:r>
          </w:p>
        </w:tc>
        <w:tc>
          <w:tcPr>
            <w:tcW w:type="dxa" w:w="2045"/>
            <w:vAlign w:val="center"/>
          </w:tcPr>
          <w:p>
            <w:r/>
            <w:r>
              <w:rPr>
                <w:rFonts w:ascii="Aptos" w:hAnsi="Aptos"/>
                <w:b w:val="0"/>
                <w:sz w:val="18"/>
              </w:rPr>
              <w:t>Medium</w:t>
            </w:r>
          </w:p>
        </w:tc>
        <w:tc>
          <w:tcPr>
            <w:tcW w:type="dxa" w:w="2045"/>
            <w:vAlign w:val="center"/>
          </w:tcPr>
          <w:p>
            <w:r/>
            <w:r>
              <w:rPr>
                <w:rFonts w:ascii="Aptos" w:hAnsi="Aptos"/>
                <w:b w:val="0"/>
                <w:sz w:val="18"/>
              </w:rPr>
              <w:t>60–120 days</w:t>
            </w:r>
          </w:p>
        </w:tc>
      </w:tr>
      <w:tr>
        <w:tc>
          <w:tcPr>
            <w:tcW w:type="dxa" w:w="2045"/>
            <w:vAlign w:val="center"/>
          </w:tcPr>
          <w:p>
            <w:r/>
            <w:r>
              <w:rPr>
                <w:rFonts w:ascii="Aptos" w:hAnsi="Aptos"/>
                <w:b w:val="0"/>
                <w:sz w:val="18"/>
              </w:rPr>
              <w:t>R-07</w:t>
            </w:r>
          </w:p>
        </w:tc>
        <w:tc>
          <w:tcPr>
            <w:tcW w:type="dxa" w:w="2045"/>
            <w:vAlign w:val="center"/>
          </w:tcPr>
          <w:p>
            <w:r/>
            <w:r>
              <w:rPr>
                <w:rFonts w:ascii="Aptos" w:hAnsi="Aptos"/>
                <w:b w:val="0"/>
                <w:sz w:val="18"/>
              </w:rPr>
              <w:t>Add Exception Management</w:t>
            </w:r>
          </w:p>
        </w:tc>
        <w:tc>
          <w:tcPr>
            <w:tcW w:type="dxa" w:w="2045"/>
            <w:vAlign w:val="center"/>
          </w:tcPr>
          <w:p>
            <w:r/>
            <w:r>
              <w:rPr>
                <w:rFonts w:ascii="Aptos" w:hAnsi="Aptos"/>
                <w:b w:val="0"/>
                <w:sz w:val="18"/>
              </w:rPr>
              <w:t>Require documented risk acceptance and expiry dates for policy exceptions.</w:t>
            </w:r>
          </w:p>
        </w:tc>
        <w:tc>
          <w:tcPr>
            <w:tcW w:type="dxa" w:w="2045"/>
            <w:vAlign w:val="center"/>
          </w:tcPr>
          <w:p>
            <w:r/>
            <w:r>
              <w:rPr>
                <w:rFonts w:ascii="Aptos" w:hAnsi="Aptos"/>
                <w:b w:val="0"/>
                <w:sz w:val="18"/>
              </w:rPr>
              <w:t>Medium</w:t>
            </w:r>
          </w:p>
        </w:tc>
        <w:tc>
          <w:tcPr>
            <w:tcW w:type="dxa" w:w="2045"/>
            <w:vAlign w:val="center"/>
          </w:tcPr>
          <w:p>
            <w:r/>
            <w:r>
              <w:rPr>
                <w:rFonts w:ascii="Aptos" w:hAnsi="Aptos"/>
                <w:b w:val="0"/>
                <w:sz w:val="18"/>
              </w:rPr>
              <w:t>60–120 days</w:t>
            </w:r>
          </w:p>
        </w:tc>
      </w:tr>
    </w:tbl>
    <w:p>
      <w:pPr>
        <w:pStyle w:val="Heading1"/>
      </w:pPr>
      <w:r>
        <w:t>9. Prioritized Improvement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8EEF7"/>
          </w:tcPr>
          <w:p>
            <w:r/>
            <w:r>
              <w:rPr>
                <w:rFonts w:ascii="Aptos" w:hAnsi="Aptos"/>
                <w:b/>
                <w:sz w:val="18"/>
              </w:rPr>
              <w:t>Phase</w:t>
            </w:r>
          </w:p>
        </w:tc>
        <w:tc>
          <w:tcPr>
            <w:tcW w:type="dxa" w:w="2556"/>
            <w:vAlign w:val="center"/>
            <w:shd w:fill="E8EEF7"/>
          </w:tcPr>
          <w:p>
            <w:r/>
            <w:r>
              <w:rPr>
                <w:rFonts w:ascii="Aptos" w:hAnsi="Aptos"/>
                <w:b/>
                <w:sz w:val="18"/>
              </w:rPr>
              <w:t>Timeline</w:t>
            </w:r>
          </w:p>
        </w:tc>
        <w:tc>
          <w:tcPr>
            <w:tcW w:type="dxa" w:w="2556"/>
            <w:vAlign w:val="center"/>
            <w:shd w:fill="E8EEF7"/>
          </w:tcPr>
          <w:p>
            <w:r/>
            <w:r>
              <w:rPr>
                <w:rFonts w:ascii="Aptos" w:hAnsi="Aptos"/>
                <w:b/>
                <w:sz w:val="18"/>
              </w:rPr>
              <w:t>Key Actions</w:t>
            </w:r>
          </w:p>
        </w:tc>
        <w:tc>
          <w:tcPr>
            <w:tcW w:type="dxa" w:w="2556"/>
            <w:vAlign w:val="center"/>
            <w:shd w:fill="E8EEF7"/>
          </w:tcPr>
          <w:p>
            <w:r/>
            <w:r>
              <w:rPr>
                <w:rFonts w:ascii="Aptos" w:hAnsi="Aptos"/>
                <w:b/>
                <w:sz w:val="18"/>
              </w:rPr>
              <w:t>Expected Outcome</w:t>
            </w:r>
          </w:p>
        </w:tc>
      </w:tr>
      <w:tr>
        <w:tc>
          <w:tcPr>
            <w:tcW w:type="dxa" w:w="2556"/>
            <w:vAlign w:val="center"/>
          </w:tcPr>
          <w:p>
            <w:r/>
            <w:r>
              <w:rPr>
                <w:rFonts w:ascii="Aptos" w:hAnsi="Aptos"/>
                <w:b w:val="0"/>
                <w:sz w:val="18"/>
              </w:rPr>
              <w:t>Phase 1</w:t>
            </w:r>
          </w:p>
        </w:tc>
        <w:tc>
          <w:tcPr>
            <w:tcW w:type="dxa" w:w="2556"/>
            <w:vAlign w:val="center"/>
          </w:tcPr>
          <w:p>
            <w:r/>
            <w:r>
              <w:rPr>
                <w:rFonts w:ascii="Aptos" w:hAnsi="Aptos"/>
                <w:b w:val="0"/>
                <w:sz w:val="18"/>
              </w:rPr>
              <w:t>0–30 days</w:t>
            </w:r>
          </w:p>
        </w:tc>
        <w:tc>
          <w:tcPr>
            <w:tcW w:type="dxa" w:w="2556"/>
            <w:vAlign w:val="center"/>
          </w:tcPr>
          <w:p>
            <w:r/>
            <w:r>
              <w:rPr>
                <w:rFonts w:ascii="Aptos" w:hAnsi="Aptos"/>
                <w:b w:val="0"/>
                <w:sz w:val="18"/>
              </w:rPr>
              <w:t>MFA expansion; assign policy owners; approve review calendar</w:t>
            </w:r>
          </w:p>
        </w:tc>
        <w:tc>
          <w:tcPr>
            <w:tcW w:type="dxa" w:w="2556"/>
            <w:vAlign w:val="center"/>
          </w:tcPr>
          <w:p>
            <w:r/>
            <w:r>
              <w:rPr>
                <w:rFonts w:ascii="Aptos" w:hAnsi="Aptos"/>
                <w:b w:val="0"/>
                <w:sz w:val="18"/>
              </w:rPr>
              <w:t>Immediate reduction of high-risk gaps</w:t>
            </w:r>
          </w:p>
        </w:tc>
      </w:tr>
      <w:tr>
        <w:tc>
          <w:tcPr>
            <w:tcW w:type="dxa" w:w="2556"/>
            <w:vAlign w:val="center"/>
          </w:tcPr>
          <w:p>
            <w:r/>
            <w:r>
              <w:rPr>
                <w:rFonts w:ascii="Aptos" w:hAnsi="Aptos"/>
                <w:b w:val="0"/>
                <w:sz w:val="18"/>
              </w:rPr>
              <w:t>Phase 2</w:t>
            </w:r>
          </w:p>
        </w:tc>
        <w:tc>
          <w:tcPr>
            <w:tcW w:type="dxa" w:w="2556"/>
            <w:vAlign w:val="center"/>
          </w:tcPr>
          <w:p>
            <w:r/>
            <w:r>
              <w:rPr>
                <w:rFonts w:ascii="Aptos" w:hAnsi="Aptos"/>
                <w:b w:val="0"/>
                <w:sz w:val="18"/>
              </w:rPr>
              <w:t>30–60 days</w:t>
            </w:r>
          </w:p>
        </w:tc>
        <w:tc>
          <w:tcPr>
            <w:tcW w:type="dxa" w:w="2556"/>
            <w:vAlign w:val="center"/>
          </w:tcPr>
          <w:p>
            <w:r/>
            <w:r>
              <w:rPr>
                <w:rFonts w:ascii="Aptos" w:hAnsi="Aptos"/>
                <w:b w:val="0"/>
                <w:sz w:val="18"/>
              </w:rPr>
              <w:t>Logging standard; awareness metrics; backup test plan</w:t>
            </w:r>
          </w:p>
        </w:tc>
        <w:tc>
          <w:tcPr>
            <w:tcW w:type="dxa" w:w="2556"/>
            <w:vAlign w:val="center"/>
          </w:tcPr>
          <w:p>
            <w:r/>
            <w:r>
              <w:rPr>
                <w:rFonts w:ascii="Aptos" w:hAnsi="Aptos"/>
                <w:b w:val="0"/>
                <w:sz w:val="18"/>
              </w:rPr>
              <w:t>Better detection and resilience</w:t>
            </w:r>
          </w:p>
        </w:tc>
      </w:tr>
      <w:tr>
        <w:tc>
          <w:tcPr>
            <w:tcW w:type="dxa" w:w="2556"/>
            <w:vAlign w:val="center"/>
          </w:tcPr>
          <w:p>
            <w:r/>
            <w:r>
              <w:rPr>
                <w:rFonts w:ascii="Aptos" w:hAnsi="Aptos"/>
                <w:b w:val="0"/>
                <w:sz w:val="18"/>
              </w:rPr>
              <w:t>Phase 3</w:t>
            </w:r>
          </w:p>
        </w:tc>
        <w:tc>
          <w:tcPr>
            <w:tcW w:type="dxa" w:w="2556"/>
            <w:vAlign w:val="center"/>
          </w:tcPr>
          <w:p>
            <w:r/>
            <w:r>
              <w:rPr>
                <w:rFonts w:ascii="Aptos" w:hAnsi="Aptos"/>
                <w:b w:val="0"/>
                <w:sz w:val="18"/>
              </w:rPr>
              <w:t>60–120 days</w:t>
            </w:r>
          </w:p>
        </w:tc>
        <w:tc>
          <w:tcPr>
            <w:tcW w:type="dxa" w:w="2556"/>
            <w:vAlign w:val="center"/>
          </w:tcPr>
          <w:p>
            <w:r/>
            <w:r>
              <w:rPr>
                <w:rFonts w:ascii="Aptos" w:hAnsi="Aptos"/>
                <w:b w:val="0"/>
                <w:sz w:val="18"/>
              </w:rPr>
              <w:t>Supplier clauses; exception process; evidence tracking</w:t>
            </w:r>
          </w:p>
        </w:tc>
        <w:tc>
          <w:tcPr>
            <w:tcW w:type="dxa" w:w="2556"/>
            <w:vAlign w:val="center"/>
          </w:tcPr>
          <w:p>
            <w:r/>
            <w:r>
              <w:rPr>
                <w:rFonts w:ascii="Aptos" w:hAnsi="Aptos"/>
                <w:b w:val="0"/>
                <w:sz w:val="18"/>
              </w:rPr>
              <w:t>Stronger governance and third-party control</w:t>
            </w:r>
          </w:p>
        </w:tc>
      </w:tr>
      <w:tr>
        <w:tc>
          <w:tcPr>
            <w:tcW w:type="dxa" w:w="2556"/>
            <w:vAlign w:val="center"/>
          </w:tcPr>
          <w:p>
            <w:r/>
            <w:r>
              <w:rPr>
                <w:rFonts w:ascii="Aptos" w:hAnsi="Aptos"/>
                <w:b w:val="0"/>
                <w:sz w:val="18"/>
              </w:rPr>
              <w:t>Phase 4</w:t>
            </w:r>
          </w:p>
        </w:tc>
        <w:tc>
          <w:tcPr>
            <w:tcW w:type="dxa" w:w="2556"/>
            <w:vAlign w:val="center"/>
          </w:tcPr>
          <w:p>
            <w:r/>
            <w:r>
              <w:rPr>
                <w:rFonts w:ascii="Aptos" w:hAnsi="Aptos"/>
                <w:b w:val="0"/>
                <w:sz w:val="18"/>
              </w:rPr>
              <w:t>Quarterly</w:t>
            </w:r>
          </w:p>
        </w:tc>
        <w:tc>
          <w:tcPr>
            <w:tcW w:type="dxa" w:w="2556"/>
            <w:vAlign w:val="center"/>
          </w:tcPr>
          <w:p>
            <w:r/>
            <w:r>
              <w:rPr>
                <w:rFonts w:ascii="Aptos" w:hAnsi="Aptos"/>
                <w:b w:val="0"/>
                <w:sz w:val="18"/>
              </w:rPr>
              <w:t>Control testing, KPI review, policy updates and management reporting</w:t>
            </w:r>
          </w:p>
        </w:tc>
        <w:tc>
          <w:tcPr>
            <w:tcW w:type="dxa" w:w="2556"/>
            <w:vAlign w:val="center"/>
          </w:tcPr>
          <w:p>
            <w:r/>
            <w:r>
              <w:rPr>
                <w:rFonts w:ascii="Aptos" w:hAnsi="Aptos"/>
                <w:b w:val="0"/>
                <w:sz w:val="18"/>
              </w:rPr>
              <w:t>Continuous improvement</w:t>
            </w:r>
          </w:p>
        </w:tc>
      </w:tr>
    </w:tbl>
    <w:p>
      <w:r>
        <w:t>Implementation should be risk-based. Critical items should receive executive sponsorship and measurable completion criteria. Lower-priority improvements can be scheduled alongside normal governance and technology refresh cycles.</w:t>
      </w:r>
    </w:p>
    <w:p>
      <w:pPr>
        <w:pStyle w:val="Heading1"/>
      </w:pPr>
      <w:r>
        <w:t>10. Governance and Review Cycle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8EEF7"/>
          </w:tcPr>
          <w:p>
            <w:r/>
            <w:r>
              <w:rPr>
                <w:rFonts w:ascii="Aptos" w:hAnsi="Aptos"/>
                <w:b/>
                <w:sz w:val="18"/>
              </w:rPr>
              <w:t>Activity</w:t>
            </w:r>
          </w:p>
        </w:tc>
        <w:tc>
          <w:tcPr>
            <w:tcW w:type="dxa" w:w="2556"/>
            <w:vAlign w:val="center"/>
            <w:shd w:fill="E8EEF7"/>
          </w:tcPr>
          <w:p>
            <w:r/>
            <w:r>
              <w:rPr>
                <w:rFonts w:ascii="Aptos" w:hAnsi="Aptos"/>
                <w:b/>
                <w:sz w:val="18"/>
              </w:rPr>
              <w:t>Owner</w:t>
            </w:r>
          </w:p>
        </w:tc>
        <w:tc>
          <w:tcPr>
            <w:tcW w:type="dxa" w:w="2556"/>
            <w:vAlign w:val="center"/>
            <w:shd w:fill="E8EEF7"/>
          </w:tcPr>
          <w:p>
            <w:r/>
            <w:r>
              <w:rPr>
                <w:rFonts w:ascii="Aptos" w:hAnsi="Aptos"/>
                <w:b/>
                <w:sz w:val="18"/>
              </w:rPr>
              <w:t>Frequency</w:t>
            </w:r>
          </w:p>
        </w:tc>
        <w:tc>
          <w:tcPr>
            <w:tcW w:type="dxa" w:w="2556"/>
            <w:vAlign w:val="center"/>
            <w:shd w:fill="E8EEF7"/>
          </w:tcPr>
          <w:p>
            <w:r/>
            <w:r>
              <w:rPr>
                <w:rFonts w:ascii="Aptos" w:hAnsi="Aptos"/>
                <w:b/>
                <w:sz w:val="18"/>
              </w:rPr>
              <w:t>Evidence</w:t>
            </w:r>
          </w:p>
        </w:tc>
      </w:tr>
      <w:tr>
        <w:tc>
          <w:tcPr>
            <w:tcW w:type="dxa" w:w="2556"/>
            <w:vAlign w:val="center"/>
          </w:tcPr>
          <w:p>
            <w:r/>
            <w:r>
              <w:rPr>
                <w:rFonts w:ascii="Aptos" w:hAnsi="Aptos"/>
                <w:b w:val="0"/>
                <w:sz w:val="18"/>
              </w:rPr>
              <w:t>Policy review</w:t>
            </w:r>
          </w:p>
        </w:tc>
        <w:tc>
          <w:tcPr>
            <w:tcW w:type="dxa" w:w="2556"/>
            <w:vAlign w:val="center"/>
          </w:tcPr>
          <w:p>
            <w:r/>
            <w:r>
              <w:rPr>
                <w:rFonts w:ascii="Aptos" w:hAnsi="Aptos"/>
                <w:b w:val="0"/>
                <w:sz w:val="18"/>
              </w:rPr>
              <w:t>Security/IT owner</w:t>
            </w:r>
          </w:p>
        </w:tc>
        <w:tc>
          <w:tcPr>
            <w:tcW w:type="dxa" w:w="2556"/>
            <w:vAlign w:val="center"/>
          </w:tcPr>
          <w:p>
            <w:r/>
            <w:r>
              <w:rPr>
                <w:rFonts w:ascii="Aptos" w:hAnsi="Aptos"/>
                <w:b w:val="0"/>
                <w:sz w:val="18"/>
              </w:rPr>
              <w:t>Annual + after major changes</w:t>
            </w:r>
          </w:p>
        </w:tc>
        <w:tc>
          <w:tcPr>
            <w:tcW w:type="dxa" w:w="2556"/>
            <w:vAlign w:val="center"/>
          </w:tcPr>
          <w:p>
            <w:r/>
            <w:r>
              <w:rPr>
                <w:rFonts w:ascii="Aptos" w:hAnsi="Aptos"/>
                <w:b w:val="0"/>
                <w:sz w:val="18"/>
              </w:rPr>
              <w:t>Approved version and review record</w:t>
            </w:r>
          </w:p>
        </w:tc>
      </w:tr>
      <w:tr>
        <w:tc>
          <w:tcPr>
            <w:tcW w:type="dxa" w:w="2556"/>
            <w:vAlign w:val="center"/>
          </w:tcPr>
          <w:p>
            <w:r/>
            <w:r>
              <w:rPr>
                <w:rFonts w:ascii="Aptos" w:hAnsi="Aptos"/>
                <w:b w:val="0"/>
                <w:sz w:val="18"/>
              </w:rPr>
              <w:t>Access review</w:t>
            </w:r>
          </w:p>
        </w:tc>
        <w:tc>
          <w:tcPr>
            <w:tcW w:type="dxa" w:w="2556"/>
            <w:vAlign w:val="center"/>
          </w:tcPr>
          <w:p>
            <w:r/>
            <w:r>
              <w:rPr>
                <w:rFonts w:ascii="Aptos" w:hAnsi="Aptos"/>
                <w:b w:val="0"/>
                <w:sz w:val="18"/>
              </w:rPr>
              <w:t>System/data owners</w:t>
            </w:r>
          </w:p>
        </w:tc>
        <w:tc>
          <w:tcPr>
            <w:tcW w:type="dxa" w:w="2556"/>
            <w:vAlign w:val="center"/>
          </w:tcPr>
          <w:p>
            <w:r/>
            <w:r>
              <w:rPr>
                <w:rFonts w:ascii="Aptos" w:hAnsi="Aptos"/>
                <w:b w:val="0"/>
                <w:sz w:val="18"/>
              </w:rPr>
              <w:t>Quarterly</w:t>
            </w:r>
          </w:p>
        </w:tc>
        <w:tc>
          <w:tcPr>
            <w:tcW w:type="dxa" w:w="2556"/>
            <w:vAlign w:val="center"/>
          </w:tcPr>
          <w:p>
            <w:r/>
            <w:r>
              <w:rPr>
                <w:rFonts w:ascii="Aptos" w:hAnsi="Aptos"/>
                <w:b w:val="0"/>
                <w:sz w:val="18"/>
              </w:rPr>
              <w:t>Access review report</w:t>
            </w:r>
          </w:p>
        </w:tc>
      </w:tr>
      <w:tr>
        <w:tc>
          <w:tcPr>
            <w:tcW w:type="dxa" w:w="2556"/>
            <w:vAlign w:val="center"/>
          </w:tcPr>
          <w:p>
            <w:r/>
            <w:r>
              <w:rPr>
                <w:rFonts w:ascii="Aptos" w:hAnsi="Aptos"/>
                <w:b w:val="0"/>
                <w:sz w:val="18"/>
              </w:rPr>
              <w:t>MFA coverage check</w:t>
            </w:r>
          </w:p>
        </w:tc>
        <w:tc>
          <w:tcPr>
            <w:tcW w:type="dxa" w:w="2556"/>
            <w:vAlign w:val="center"/>
          </w:tcPr>
          <w:p>
            <w:r/>
            <w:r>
              <w:rPr>
                <w:rFonts w:ascii="Aptos" w:hAnsi="Aptos"/>
                <w:b w:val="0"/>
                <w:sz w:val="18"/>
              </w:rPr>
              <w:t>Identity/security team</w:t>
            </w:r>
          </w:p>
        </w:tc>
        <w:tc>
          <w:tcPr>
            <w:tcW w:type="dxa" w:w="2556"/>
            <w:vAlign w:val="center"/>
          </w:tcPr>
          <w:p>
            <w:r/>
            <w:r>
              <w:rPr>
                <w:rFonts w:ascii="Aptos" w:hAnsi="Aptos"/>
                <w:b w:val="0"/>
                <w:sz w:val="18"/>
              </w:rPr>
              <w:t>Monthly</w:t>
            </w:r>
          </w:p>
        </w:tc>
        <w:tc>
          <w:tcPr>
            <w:tcW w:type="dxa" w:w="2556"/>
            <w:vAlign w:val="center"/>
          </w:tcPr>
          <w:p>
            <w:r/>
            <w:r>
              <w:rPr>
                <w:rFonts w:ascii="Aptos" w:hAnsi="Aptos"/>
                <w:b w:val="0"/>
                <w:sz w:val="18"/>
              </w:rPr>
              <w:t>Coverage dashboard</w:t>
            </w:r>
          </w:p>
        </w:tc>
      </w:tr>
      <w:tr>
        <w:tc>
          <w:tcPr>
            <w:tcW w:type="dxa" w:w="2556"/>
            <w:vAlign w:val="center"/>
          </w:tcPr>
          <w:p>
            <w:r/>
            <w:r>
              <w:rPr>
                <w:rFonts w:ascii="Aptos" w:hAnsi="Aptos"/>
                <w:b w:val="0"/>
                <w:sz w:val="18"/>
              </w:rPr>
              <w:t>Backup restoration test</w:t>
            </w:r>
          </w:p>
        </w:tc>
        <w:tc>
          <w:tcPr>
            <w:tcW w:type="dxa" w:w="2556"/>
            <w:vAlign w:val="center"/>
          </w:tcPr>
          <w:p>
            <w:r/>
            <w:r>
              <w:rPr>
                <w:rFonts w:ascii="Aptos" w:hAnsi="Aptos"/>
                <w:b w:val="0"/>
                <w:sz w:val="18"/>
              </w:rPr>
              <w:t>IT operations</w:t>
            </w:r>
          </w:p>
        </w:tc>
        <w:tc>
          <w:tcPr>
            <w:tcW w:type="dxa" w:w="2556"/>
            <w:vAlign w:val="center"/>
          </w:tcPr>
          <w:p>
            <w:r/>
            <w:r>
              <w:rPr>
                <w:rFonts w:ascii="Aptos" w:hAnsi="Aptos"/>
                <w:b w:val="0"/>
                <w:sz w:val="18"/>
              </w:rPr>
              <w:t>Quarterly</w:t>
            </w:r>
          </w:p>
        </w:tc>
        <w:tc>
          <w:tcPr>
            <w:tcW w:type="dxa" w:w="2556"/>
            <w:vAlign w:val="center"/>
          </w:tcPr>
          <w:p>
            <w:r/>
            <w:r>
              <w:rPr>
                <w:rFonts w:ascii="Aptos" w:hAnsi="Aptos"/>
                <w:b w:val="0"/>
                <w:sz w:val="18"/>
              </w:rPr>
              <w:t>Test results and corrective actions</w:t>
            </w:r>
          </w:p>
        </w:tc>
      </w:tr>
      <w:tr>
        <w:tc>
          <w:tcPr>
            <w:tcW w:type="dxa" w:w="2556"/>
            <w:vAlign w:val="center"/>
          </w:tcPr>
          <w:p>
            <w:r/>
            <w:r>
              <w:rPr>
                <w:rFonts w:ascii="Aptos" w:hAnsi="Aptos"/>
                <w:b w:val="0"/>
                <w:sz w:val="18"/>
              </w:rPr>
              <w:t>Log/monitoring review</w:t>
            </w:r>
          </w:p>
        </w:tc>
        <w:tc>
          <w:tcPr>
            <w:tcW w:type="dxa" w:w="2556"/>
            <w:vAlign w:val="center"/>
          </w:tcPr>
          <w:p>
            <w:r/>
            <w:r>
              <w:rPr>
                <w:rFonts w:ascii="Aptos" w:hAnsi="Aptos"/>
                <w:b w:val="0"/>
                <w:sz w:val="18"/>
              </w:rPr>
              <w:t>Security operations</w:t>
            </w:r>
          </w:p>
        </w:tc>
        <w:tc>
          <w:tcPr>
            <w:tcW w:type="dxa" w:w="2556"/>
            <w:vAlign w:val="center"/>
          </w:tcPr>
          <w:p>
            <w:r/>
            <w:r>
              <w:rPr>
                <w:rFonts w:ascii="Aptos" w:hAnsi="Aptos"/>
                <w:b w:val="0"/>
                <w:sz w:val="18"/>
              </w:rPr>
              <w:t>Monthly</w:t>
            </w:r>
          </w:p>
        </w:tc>
        <w:tc>
          <w:tcPr>
            <w:tcW w:type="dxa" w:w="2556"/>
            <w:vAlign w:val="center"/>
          </w:tcPr>
          <w:p>
            <w:r/>
            <w:r>
              <w:rPr>
                <w:rFonts w:ascii="Aptos" w:hAnsi="Aptos"/>
                <w:b w:val="0"/>
                <w:sz w:val="18"/>
              </w:rPr>
              <w:t>Review/alert records</w:t>
            </w:r>
          </w:p>
        </w:tc>
      </w:tr>
      <w:tr>
        <w:tc>
          <w:tcPr>
            <w:tcW w:type="dxa" w:w="2556"/>
            <w:vAlign w:val="center"/>
          </w:tcPr>
          <w:p>
            <w:r/>
            <w:r>
              <w:rPr>
                <w:rFonts w:ascii="Aptos" w:hAnsi="Aptos"/>
                <w:b w:val="0"/>
                <w:sz w:val="18"/>
              </w:rPr>
              <w:t>Supplier security review</w:t>
            </w:r>
          </w:p>
        </w:tc>
        <w:tc>
          <w:tcPr>
            <w:tcW w:type="dxa" w:w="2556"/>
            <w:vAlign w:val="center"/>
          </w:tcPr>
          <w:p>
            <w:r/>
            <w:r>
              <w:rPr>
                <w:rFonts w:ascii="Aptos" w:hAnsi="Aptos"/>
                <w:b w:val="0"/>
                <w:sz w:val="18"/>
              </w:rPr>
              <w:t>Procurement + security</w:t>
            </w:r>
          </w:p>
        </w:tc>
        <w:tc>
          <w:tcPr>
            <w:tcW w:type="dxa" w:w="2556"/>
            <w:vAlign w:val="center"/>
          </w:tcPr>
          <w:p>
            <w:r/>
            <w:r>
              <w:rPr>
                <w:rFonts w:ascii="Aptos" w:hAnsi="Aptos"/>
                <w:b w:val="0"/>
                <w:sz w:val="18"/>
              </w:rPr>
              <w:t>Annual / renewal</w:t>
            </w:r>
          </w:p>
        </w:tc>
        <w:tc>
          <w:tcPr>
            <w:tcW w:type="dxa" w:w="2556"/>
            <w:vAlign w:val="center"/>
          </w:tcPr>
          <w:p>
            <w:r/>
            <w:r>
              <w:rPr>
                <w:rFonts w:ascii="Aptos" w:hAnsi="Aptos"/>
                <w:b w:val="0"/>
                <w:sz w:val="18"/>
              </w:rPr>
              <w:t>Supplier assessment</w:t>
            </w:r>
          </w:p>
        </w:tc>
      </w:tr>
      <w:tr>
        <w:tc>
          <w:tcPr>
            <w:tcW w:type="dxa" w:w="2556"/>
            <w:vAlign w:val="center"/>
          </w:tcPr>
          <w:p>
            <w:r/>
            <w:r>
              <w:rPr>
                <w:rFonts w:ascii="Aptos" w:hAnsi="Aptos"/>
                <w:b w:val="0"/>
                <w:sz w:val="18"/>
              </w:rPr>
              <w:t>Incident exercise</w:t>
            </w:r>
          </w:p>
        </w:tc>
        <w:tc>
          <w:tcPr>
            <w:tcW w:type="dxa" w:w="2556"/>
            <w:vAlign w:val="center"/>
          </w:tcPr>
          <w:p>
            <w:r/>
            <w:r>
              <w:rPr>
                <w:rFonts w:ascii="Aptos" w:hAnsi="Aptos"/>
                <w:b w:val="0"/>
                <w:sz w:val="18"/>
              </w:rPr>
              <w:t>Security + business teams</w:t>
            </w:r>
          </w:p>
        </w:tc>
        <w:tc>
          <w:tcPr>
            <w:tcW w:type="dxa" w:w="2556"/>
            <w:vAlign w:val="center"/>
          </w:tcPr>
          <w:p>
            <w:r/>
            <w:r>
              <w:rPr>
                <w:rFonts w:ascii="Aptos" w:hAnsi="Aptos"/>
                <w:b w:val="0"/>
                <w:sz w:val="18"/>
              </w:rPr>
              <w:t>At least annually</w:t>
            </w:r>
          </w:p>
        </w:tc>
        <w:tc>
          <w:tcPr>
            <w:tcW w:type="dxa" w:w="2556"/>
            <w:vAlign w:val="center"/>
          </w:tcPr>
          <w:p>
            <w:r/>
            <w:r>
              <w:rPr>
                <w:rFonts w:ascii="Aptos" w:hAnsi="Aptos"/>
                <w:b w:val="0"/>
                <w:sz w:val="18"/>
              </w:rPr>
              <w:t>Exercise report and lessons learned</w:t>
            </w:r>
          </w:p>
        </w:tc>
      </w:tr>
    </w:tbl>
    <w:p>
      <w:pPr>
        <w:pStyle w:val="Heading1"/>
      </w:pPr>
      <w:r>
        <w:t>11. Metrics and Assurance</w:t>
      </w:r>
    </w:p>
    <w:p>
      <w:pPr>
        <w:pStyle w:val="ListBullet"/>
      </w:pPr>
      <w:r>
        <w:t>MFA coverage percentage for privileged and remote accounts.</w:t>
      </w:r>
    </w:p>
    <w:p>
      <w:pPr>
        <w:pStyle w:val="ListBullet"/>
      </w:pPr>
      <w:r>
        <w:t>Percentage of users completing required security awareness training.</w:t>
      </w:r>
    </w:p>
    <w:p>
      <w:pPr>
        <w:pStyle w:val="ListBullet"/>
      </w:pPr>
      <w:r>
        <w:t>Percentage of critical systems with defined and monitored security logs.</w:t>
      </w:r>
    </w:p>
    <w:p>
      <w:pPr>
        <w:pStyle w:val="ListBullet"/>
      </w:pPr>
      <w:r>
        <w:t>Backup restoration test success rate and average recovery time.</w:t>
      </w:r>
    </w:p>
    <w:p>
      <w:pPr>
        <w:pStyle w:val="ListBullet"/>
      </w:pPr>
      <w:r>
        <w:t>Percentage of active suppliers reviewed against security requirements.</w:t>
      </w:r>
    </w:p>
    <w:p>
      <w:pPr>
        <w:pStyle w:val="ListBullet"/>
      </w:pPr>
      <w:r>
        <w:t>Number and age of open policy exceptions.</w:t>
      </w:r>
    </w:p>
    <w:p>
      <w:pPr>
        <w:pStyle w:val="ListBullet"/>
      </w:pPr>
      <w:r>
        <w:t>Time taken to close high-risk policy findings.</w:t>
      </w:r>
    </w:p>
    <w:p>
      <w:pPr>
        <w:pStyle w:val="ListBullet"/>
      </w:pPr>
      <w:r>
        <w:t>Percentage of scheduled policy reviews completed on time.</w:t>
      </w:r>
    </w:p>
    <w:p>
      <w:r>
        <w:t>Metrics should be reviewed by responsible owners and summarized for management. A metric is useful only when it has a defined owner, target, measurement method, and action when performance falls below target.</w:t>
      </w:r>
    </w:p>
    <w:p>
      <w:pPr>
        <w:pStyle w:val="Heading1"/>
      </w:pPr>
      <w:r>
        <w:t>12. Conclusion</w:t>
      </w:r>
    </w:p>
    <w:p>
      <w:r>
        <w:t>The simulated security policy provides a useful baseline, but several requirements are too general to provide strong assurance in a modern threat environment. The largest weaknesses concern authentication, governance, monitoring, backup validation, and third-party security. The recommended improvements convert broad statements into measurable controls with clear ownership and review cycles.</w:t>
      </w:r>
    </w:p>
    <w:p>
      <w:r>
        <w:t>The overall recommendation is to treat security policy as a living governance document rather than a one-time document. Regular assessment, evidence collection, metrics, incident lessons learned, and changes in technology or business risk should feed the next policy revision. This approach supports continuous improvement and better alignment with recognized cybersecurity practices.</w:t>
      </w:r>
    </w:p>
    <w:p>
      <w:pPr>
        <w:pStyle w:val="Heading1"/>
      </w:pPr>
      <w:r>
        <w:t>13. References</w:t>
      </w:r>
    </w:p>
    <w:p>
      <w:pPr>
        <w:pStyle w:val="ListBullet"/>
      </w:pPr>
      <w:r>
        <w:rPr>
          <w:b/>
        </w:rPr>
        <w:t xml:space="preserve">NIST Cybersecurity Framework 2.0 — </w:t>
      </w:r>
      <w:r>
        <w:t>https://www.nist.gov/cyberframework</w:t>
      </w:r>
    </w:p>
    <w:p>
      <w:pPr>
        <w:pStyle w:val="ListBullet"/>
      </w:pPr>
      <w:r>
        <w:rPr>
          <w:b/>
        </w:rPr>
        <w:t xml:space="preserve">NIST SP 800-53 Rev. 5 / current updates — </w:t>
      </w:r>
      <w:r>
        <w:t>https://csrc.nist.gov/pubs/sp/800/53/r5/final</w:t>
      </w:r>
    </w:p>
    <w:p>
      <w:pPr>
        <w:pStyle w:val="ListBullet"/>
      </w:pPr>
      <w:r>
        <w:rPr>
          <w:b/>
        </w:rPr>
        <w:t xml:space="preserve">NIST SP 800-53 control downloads and RMF resources — </w:t>
      </w:r>
      <w:r>
        <w:t>https://csrc.nist.gov/projects/risk-management/sp800-53-controls/downloads</w:t>
      </w:r>
    </w:p>
    <w:p>
      <w:pPr>
        <w:pStyle w:val="ListBullet"/>
      </w:pPr>
      <w:r>
        <w:rPr>
          <w:b/>
        </w:rPr>
        <w:t xml:space="preserve">ISO/IEC 27000 family – Information security management — </w:t>
      </w:r>
      <w:r>
        <w:t>https://www.iso.org/standard/iso-iec-27000-family</w:t>
      </w:r>
    </w:p>
    <w:p>
      <w:pPr>
        <w:pStyle w:val="ListBullet"/>
      </w:pPr>
      <w:r>
        <w:rPr>
          <w:b/>
        </w:rPr>
        <w:t xml:space="preserve">ISO/IEC 27001:2022 – Information security management systems requirements — </w:t>
      </w:r>
      <w:r>
        <w:t>https://www.iso.org/management-system-standards-list.html</w:t>
      </w:r>
    </w:p>
    <w:p/>
    <w:p>
      <w:pPr>
        <w:jc w:val="center"/>
      </w:pPr>
      <w:r>
        <w:rPr>
          <w:b/>
        </w:rPr>
        <w:t>End of Report</w:t>
      </w:r>
    </w:p>
    <w:sectPr w:rsidR="00FC693F" w:rsidRPr="0006063C" w:rsidSect="00034616">
      <w:headerReference w:type="default" r:id="rId11"/>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Cyber Security Analyst – Online Virtual Internship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Week 4 | Security Policy Review &amp; Improvement Recommendations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