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1AB7E" w14:textId="77777777" w:rsidR="006F1B30" w:rsidRDefault="006F1B30" w:rsidP="006F1B30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  <w:r>
        <w:rPr>
          <w:rFonts w:ascii="LMRoman12-Bold" w:hAnsi="LMRoman12-Bold" w:cs="LMRoman12-Bold"/>
          <w:b/>
          <w:bCs/>
          <w:kern w:val="0"/>
          <w:sz w:val="29"/>
          <w:szCs w:val="29"/>
        </w:rPr>
        <w:t>Application</w:t>
      </w:r>
    </w:p>
    <w:p w14:paraId="13D6EC57" w14:textId="5E769395" w:rsidR="00DC04AF" w:rsidRDefault="006F1B30" w:rsidP="00625D6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Refer to the Air Quality data described previously, and the analyses we have done with </w:t>
      </w:r>
      <w:r>
        <w:rPr>
          <w:rFonts w:ascii="LMMono12-Regular" w:hAnsi="LMMono12-Regular" w:cs="LMMono12-Regular"/>
          <w:kern w:val="0"/>
          <w:sz w:val="24"/>
          <w:szCs w:val="24"/>
        </w:rPr>
        <w:t>Ozone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as the response variable,</w:t>
      </w:r>
      <w:r w:rsidR="00625D61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625D61">
        <w:rPr>
          <w:rFonts w:ascii="LMRoman12-Regular" w:hAnsi="LMRoman12-Regular" w:cs="LMRoman12-Regular"/>
          <w:kern w:val="0"/>
          <w:sz w:val="24"/>
          <w:szCs w:val="24"/>
        </w:rPr>
        <w:t>and the five explanatory variables (including the two engineered</w:t>
      </w:r>
      <w:r w:rsidR="00625D61">
        <w:rPr>
          <w:rFonts w:ascii="LMRoman12-Regular" w:hAnsi="LMRoman12-Regular" w:cs="LMRoman12-Regular" w:hint="eastAsia"/>
          <w:kern w:val="0"/>
          <w:sz w:val="24"/>
          <w:szCs w:val="24"/>
        </w:rPr>
        <w:t xml:space="preserve"> </w:t>
      </w:r>
      <w:r w:rsidR="00625D61">
        <w:rPr>
          <w:rFonts w:ascii="LMRoman12-Regular" w:hAnsi="LMRoman12-Regular" w:cs="LMRoman12-Regular"/>
          <w:kern w:val="0"/>
          <w:sz w:val="24"/>
          <w:szCs w:val="24"/>
        </w:rPr>
        <w:t>features).</w:t>
      </w:r>
    </w:p>
    <w:p w14:paraId="0608A83A" w14:textId="152A7E88" w:rsidR="00625D61" w:rsidRDefault="00625D61" w:rsidP="00625D6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505FFC29" w14:textId="77777777" w:rsidR="00625D61" w:rsidRDefault="00625D61" w:rsidP="00625D6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2. Add GAM on all variables to the 10-fold CV comparison that has been used for LASSO,</w:t>
      </w:r>
    </w:p>
    <w:p w14:paraId="0D5986FE" w14:textId="77777777" w:rsidR="00625D61" w:rsidRDefault="00625D61" w:rsidP="00625D6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Ridge, and other methods. Use the same folds for GAM that were used for the other</w:t>
      </w:r>
    </w:p>
    <w:p w14:paraId="1A44E97F" w14:textId="111297F4" w:rsidR="00625D61" w:rsidRDefault="00625D61" w:rsidP="00625D6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methods.</w:t>
      </w:r>
    </w:p>
    <w:p w14:paraId="115C2723" w14:textId="66831828" w:rsidR="00625D61" w:rsidRDefault="00E86022" w:rsidP="00625D6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E86022">
        <w:drawing>
          <wp:inline distT="0" distB="0" distL="0" distR="0" wp14:anchorId="1B2812E3" wp14:editId="0DA3F88E">
            <wp:extent cx="5731510" cy="50577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95B1" w14:textId="7D7376E0" w:rsidR="00E86022" w:rsidRDefault="00E86022" w:rsidP="00625D6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E86022">
        <w:lastRenderedPageBreak/>
        <w:drawing>
          <wp:inline distT="0" distB="0" distL="0" distR="0" wp14:anchorId="5F715AE4" wp14:editId="7E9A386C">
            <wp:extent cx="5731510" cy="55619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6217" w14:textId="305358E3" w:rsidR="00E86022" w:rsidRDefault="00E86022" w:rsidP="00625D6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E86022">
        <w:lastRenderedPageBreak/>
        <w:drawing>
          <wp:inline distT="0" distB="0" distL="0" distR="0" wp14:anchorId="5ACCB8E4" wp14:editId="1635288F">
            <wp:extent cx="5387340" cy="5069806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245" cy="50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B903" w14:textId="246DA552" w:rsidR="00E86022" w:rsidRDefault="00E86022" w:rsidP="00625D6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  <w:r w:rsidRPr="00E86022">
        <w:drawing>
          <wp:inline distT="0" distB="0" distL="0" distR="0" wp14:anchorId="1D6C05A5" wp14:editId="6320E4E7">
            <wp:extent cx="5189220" cy="3502982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122" cy="350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C2C5" w14:textId="77777777" w:rsidR="00625D61" w:rsidRDefault="00625D61" w:rsidP="00625D61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lastRenderedPageBreak/>
        <w:t xml:space="preserve">(a)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Report the separate MSPEs from each fold, </w:t>
      </w:r>
      <w:proofErr w:type="spellStart"/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MSPE</w:t>
      </w:r>
      <w:r>
        <w:rPr>
          <w:rFonts w:ascii="LMMathItalic8-Regular" w:hAnsi="LMMathItalic8-Regular" w:cs="LMMathItalic8-Regular"/>
          <w:i/>
          <w:iCs/>
          <w:kern w:val="0"/>
          <w:sz w:val="16"/>
          <w:szCs w:val="16"/>
        </w:rPr>
        <w:t>v</w:t>
      </w:r>
      <w:proofErr w:type="spellEnd"/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, v </w:t>
      </w:r>
      <w:r>
        <w:rPr>
          <w:rFonts w:ascii="LMRoman12-Regular" w:hAnsi="LMRoman12-Regular" w:cs="LMRoman12-Regular"/>
          <w:kern w:val="0"/>
          <w:sz w:val="24"/>
          <w:szCs w:val="24"/>
        </w:rPr>
        <w:t>= 1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, . . . ,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10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and</w:t>
      </w:r>
    </w:p>
    <w:p w14:paraId="5EF263BA" w14:textId="5A2D3D6A" w:rsidR="00625D61" w:rsidRDefault="00625D61" w:rsidP="00625D61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the MSPE for the full data.</w:t>
      </w:r>
    </w:p>
    <w:p w14:paraId="1499F503" w14:textId="7A5F6D4E" w:rsidR="003B3B41" w:rsidRDefault="00E86022" w:rsidP="00625D61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9F14E09" wp14:editId="794B7D1E">
            <wp:extent cx="1085850" cy="2143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4CCF" w14:textId="77777777" w:rsidR="003B3B41" w:rsidRDefault="003B3B41" w:rsidP="003B3B41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(b)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Starting with boxplots the plots made earlier for least squares, hybrid</w:t>
      </w:r>
    </w:p>
    <w:p w14:paraId="28706935" w14:textId="77777777" w:rsidR="003B3B41" w:rsidRDefault="003B3B41" w:rsidP="003B3B41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stepwise, ridge, and LASSO, ADD a boxplot of the 10 CV error estimates</w:t>
      </w:r>
    </w:p>
    <w:p w14:paraId="7B80DF15" w14:textId="77777777" w:rsidR="003B3B41" w:rsidRDefault="003B3B41" w:rsidP="003B3B41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for GAM as the last box on the right. Comment on how GAM</w:t>
      </w:r>
    </w:p>
    <w:p w14:paraId="02DFC7E8" w14:textId="50CAE29C" w:rsidR="003B3B41" w:rsidRDefault="003B3B41" w:rsidP="003B3B41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compares to other methods</w:t>
      </w:r>
    </w:p>
    <w:p w14:paraId="12646DEA" w14:textId="2B58AAB1" w:rsidR="003B3B41" w:rsidRDefault="00FE4CC0" w:rsidP="003B3B41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FE4CC0">
        <w:drawing>
          <wp:inline distT="0" distB="0" distL="0" distR="0" wp14:anchorId="0399200C" wp14:editId="29FE1BC2">
            <wp:extent cx="5731510" cy="365379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6126" w14:textId="77777777" w:rsidR="00FE4CC0" w:rsidRDefault="00FE4CC0" w:rsidP="003B3B4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045BF071" w14:textId="77777777" w:rsidR="00FE4CC0" w:rsidRDefault="00FE4CC0" w:rsidP="003B3B4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34EEF222" w14:textId="77777777" w:rsidR="00FE4CC0" w:rsidRDefault="00FE4CC0" w:rsidP="003B3B4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1F6C6541" w14:textId="77777777" w:rsidR="00FE4CC0" w:rsidRDefault="00FE4CC0" w:rsidP="003B3B4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553397D2" w14:textId="77777777" w:rsidR="00FE4CC0" w:rsidRDefault="00FE4CC0" w:rsidP="003B3B4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325CE7C9" w14:textId="77777777" w:rsidR="00FE4CC0" w:rsidRDefault="00FE4CC0" w:rsidP="003B3B4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50A3F3CE" w14:textId="77777777" w:rsidR="00FE4CC0" w:rsidRDefault="00FE4CC0" w:rsidP="003B3B4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22817E9B" w14:textId="77777777" w:rsidR="00FE4CC0" w:rsidRDefault="00FE4CC0" w:rsidP="003B3B4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0000F8BB" w14:textId="77777777" w:rsidR="00FE4CC0" w:rsidRDefault="00FE4CC0" w:rsidP="003B3B4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7CFAD7A9" w14:textId="5CE2B32F" w:rsidR="003B3B41" w:rsidRDefault="003B3B41" w:rsidP="003B3B41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lastRenderedPageBreak/>
        <w:t xml:space="preserve">(c)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Repeat this using relative MSPE.</w:t>
      </w:r>
    </w:p>
    <w:p w14:paraId="3319974B" w14:textId="0AA81748" w:rsidR="003B3B41" w:rsidRDefault="00FE4CC0" w:rsidP="003B3B41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FE4CC0">
        <w:drawing>
          <wp:inline distT="0" distB="0" distL="0" distR="0" wp14:anchorId="6D91CA3E" wp14:editId="3BBAA5E4">
            <wp:extent cx="5731510" cy="365379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9549" w14:textId="77777777" w:rsidR="003B3B41" w:rsidRDefault="003B3B41" w:rsidP="003B3B4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(d) Using the knowledge gained from the analysis you did in Question 1, give a 1-</w:t>
      </w:r>
    </w:p>
    <w:p w14:paraId="289DEA76" w14:textId="77777777" w:rsidR="003B3B41" w:rsidRDefault="003B3B41" w:rsidP="003B3B4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sentence explanation for why GAM performs as it does. (If it is better than other</w:t>
      </w:r>
    </w:p>
    <w:p w14:paraId="2EA297A5" w14:textId="5BB36B69" w:rsidR="003B3B41" w:rsidRDefault="003B3B41" w:rsidP="003B3B4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methods, why? If it is no better than other methods, why?)</w:t>
      </w:r>
    </w:p>
    <w:p w14:paraId="0D2C8206" w14:textId="1422DF26" w:rsidR="005751C3" w:rsidRPr="005751C3" w:rsidRDefault="005751C3" w:rsidP="005751C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  <w:r>
        <w:rPr>
          <w:rFonts w:ascii="LMRoman12-Regular" w:hAnsi="LMRoman12-Regular" w:cs="LMRoman12-Regular" w:hint="eastAsia"/>
          <w:kern w:val="0"/>
          <w:sz w:val="24"/>
          <w:szCs w:val="24"/>
        </w:rPr>
        <w:t>G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am may not be the best model if the variables are interactive, however we include two interactions so it covers it. </w:t>
      </w:r>
    </w:p>
    <w:sectPr w:rsidR="005751C3" w:rsidRPr="005751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A3C96"/>
    <w:multiLevelType w:val="hybridMultilevel"/>
    <w:tmpl w:val="AAC86484"/>
    <w:lvl w:ilvl="0" w:tplc="49944B22">
      <w:start w:val="3"/>
      <w:numFmt w:val="bullet"/>
      <w:lvlText w:val="-"/>
      <w:lvlJc w:val="left"/>
      <w:pPr>
        <w:ind w:left="760" w:hanging="360"/>
      </w:pPr>
      <w:rPr>
        <w:rFonts w:ascii="LMRoman12-Regular" w:eastAsiaTheme="minorEastAsia" w:hAnsi="LMRoman12-Regular" w:cs="LMRoman12-Regular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9B7B3C"/>
    <w:multiLevelType w:val="hybridMultilevel"/>
    <w:tmpl w:val="97CCF7D4"/>
    <w:lvl w:ilvl="0" w:tplc="DA1869BA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="LMRoman12-Regular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9D"/>
    <w:rsid w:val="00351C9D"/>
    <w:rsid w:val="003B3B41"/>
    <w:rsid w:val="005751C3"/>
    <w:rsid w:val="00625D61"/>
    <w:rsid w:val="006F1B30"/>
    <w:rsid w:val="00DC04AF"/>
    <w:rsid w:val="00E86022"/>
    <w:rsid w:val="00FE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713D"/>
  <w15:chartTrackingRefBased/>
  <w15:docId w15:val="{D2D09C86-4AF1-453D-9870-D8ED8929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1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9</cp:revision>
  <dcterms:created xsi:type="dcterms:W3CDTF">2020-10-25T12:55:00Z</dcterms:created>
  <dcterms:modified xsi:type="dcterms:W3CDTF">2020-10-25T13:22:00Z</dcterms:modified>
</cp:coreProperties>
</file>