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BE725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课程编号：</w:t>
      </w:r>
    </w:p>
    <w:p w14:paraId="59D645BA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53DA7864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5ADA303F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2714D1FA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 w14:paraId="7DE5FF11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65BCCFF9">
      <w:pPr>
        <w:jc w:val="center"/>
        <w:rPr>
          <w:rFonts w:ascii="宋体"/>
          <w:sz w:val="28"/>
          <w:szCs w:val="28"/>
        </w:rPr>
      </w:pPr>
    </w:p>
    <w:p w14:paraId="38070D04">
      <w:pPr>
        <w:jc w:val="center"/>
        <w:rPr>
          <w:rFonts w:ascii="宋体"/>
          <w:sz w:val="28"/>
          <w:szCs w:val="28"/>
        </w:rPr>
      </w:pPr>
    </w:p>
    <w:p w14:paraId="2D0BEF22">
      <w:pPr>
        <w:jc w:val="center"/>
        <w:rPr>
          <w:rFonts w:ascii="宋体"/>
          <w:sz w:val="28"/>
          <w:szCs w:val="28"/>
        </w:rPr>
      </w:pPr>
    </w:p>
    <w:p w14:paraId="7BF64B85">
      <w:pPr>
        <w:jc w:val="center"/>
        <w:rPr>
          <w:rFonts w:ascii="宋体"/>
          <w:sz w:val="28"/>
          <w:szCs w:val="28"/>
        </w:rPr>
      </w:pPr>
    </w:p>
    <w:p w14:paraId="5554D4A8">
      <w:pPr>
        <w:jc w:val="center"/>
        <w:rPr>
          <w:rFonts w:ascii="宋体"/>
          <w:sz w:val="28"/>
          <w:szCs w:val="28"/>
        </w:rPr>
      </w:pPr>
    </w:p>
    <w:p w14:paraId="74FAD0F5">
      <w:pPr>
        <w:rPr>
          <w:rFonts w:ascii="仿宋_GB2312" w:eastAsia="仿宋_GB2312"/>
        </w:rPr>
      </w:pPr>
    </w:p>
    <w:p w14:paraId="74D37286">
      <w:pPr>
        <w:rPr>
          <w:rFonts w:ascii="仿宋_GB2312" w:eastAsia="仿宋_GB2312"/>
        </w:rPr>
      </w:pPr>
    </w:p>
    <w:p w14:paraId="44DFBF82">
      <w:pPr>
        <w:rPr>
          <w:rFonts w:ascii="仿宋_GB2312" w:eastAsia="仿宋_GB2312"/>
        </w:rPr>
      </w:pPr>
    </w:p>
    <w:p w14:paraId="67F2E026">
      <w:pPr>
        <w:rPr>
          <w:rFonts w:ascii="仿宋_GB2312" w:eastAsia="仿宋_GB2312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CEAD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0A0F99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2E4254E9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潘品霏</w:t>
            </w:r>
          </w:p>
        </w:tc>
        <w:tc>
          <w:tcPr>
            <w:tcW w:w="2201" w:type="dxa"/>
            <w:gridSpan w:val="2"/>
            <w:vAlign w:val="center"/>
          </w:tcPr>
          <w:p w14:paraId="2A32E23C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4533BD61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F25015311</w:t>
            </w:r>
          </w:p>
        </w:tc>
      </w:tr>
      <w:tr w14:paraId="42744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060D60AC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200E289C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F250117</w:t>
            </w:r>
          </w:p>
        </w:tc>
        <w:tc>
          <w:tcPr>
            <w:tcW w:w="2201" w:type="dxa"/>
            <w:gridSpan w:val="2"/>
            <w:vAlign w:val="center"/>
          </w:tcPr>
          <w:p w14:paraId="72B4B476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5FACF976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33BF4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52367FDA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5CC7EB0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16909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1F5BD8F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5CA4CEC9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041D2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52F63753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09D6A784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2026年10月29日</w:t>
            </w:r>
          </w:p>
        </w:tc>
      </w:tr>
      <w:tr w14:paraId="60EC5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3CCBFBF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2E076028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446A59FD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2CA9084B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1239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76267DF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057FAE94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6C5AB0E7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A7E5374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110AED06">
      <w:pPr>
        <w:widowControl/>
        <w:jc w:val="center"/>
        <w:rPr>
          <w:rFonts w:ascii="仿宋_GB2312" w:hAnsi="宋体" w:eastAsia="仿宋_GB2312"/>
          <w:b/>
          <w:bCs/>
          <w:sz w:val="28"/>
          <w:szCs w:val="28"/>
        </w:rPr>
      </w:pPr>
    </w:p>
    <w:p w14:paraId="7FA8731D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p w14:paraId="2A7099E6">
      <w:pPr>
        <w:widowControl/>
        <w:jc w:val="left"/>
        <w:rPr>
          <w:rFonts w:ascii="仿宋_GB2312" w:hAnsi="宋体" w:eastAsia="仿宋_GB2312"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639E153C">
      <w:pPr>
        <w:spacing w:before="120" w:after="60" w:line="300" w:lineRule="auto"/>
      </w:pPr>
      <w:r>
        <w:rPr>
          <w:rFonts w:ascii="Times New Roman" w:hAnsi="Times New Roman" w:eastAsia="宋体"/>
          <w:b/>
          <w:color w:val="000000"/>
          <w:sz w:val="21"/>
        </w:rPr>
        <w:t>1、基本信息（项目选取和工具部署）</w:t>
      </w:r>
    </w:p>
    <w:p w14:paraId="15B72D4A">
      <w:pPr>
        <w:spacing w:before="0" w:after="0" w:line="300" w:lineRule="auto"/>
        <w:ind w:firstLine="420"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本次作业选取 Apache 软件基金会（ASF）旗下的开源项目 </w:t>
      </w:r>
      <w:bookmarkStart w:id="0" w:name="_GoBack"/>
      <w:r>
        <w:rPr>
          <w:rFonts w:ascii="Times New Roman" w:hAnsi="Times New Roman" w:eastAsia="宋体"/>
          <w:b w:val="0"/>
          <w:color w:val="000000"/>
          <w:sz w:val="21"/>
        </w:rPr>
        <w:t>Apache Tomcat 10.1.61</w:t>
      </w:r>
      <w:bookmarkEnd w:id="0"/>
      <w:r>
        <w:rPr>
          <w:rFonts w:ascii="Times New Roman" w:hAnsi="Times New Roman" w:eastAsia="宋体"/>
          <w:b w:val="0"/>
          <w:color w:val="000000"/>
          <w:sz w:val="21"/>
        </w:rPr>
        <w:t xml:space="preserve"> 作为扫描对象。Tomcat 是 Jakarta Servlet、Jakarta Server Pages 等规范的参考实现，也是应用最广泛的开源 Web 应用服务器之一。项目整体以 Apache-2.0 许可证发布，源码树中混有来自 Oracle、Eclipse 基金会等第三方的 Schema 资源、示例应用捆绑 jar 及生成代码，是检验开源许可证合规检测工具的典型真实样本。</w:t>
      </w:r>
    </w:p>
    <w:p w14:paraId="54D47FFB">
      <w:pPr>
        <w:spacing w:before="0" w:after="0" w:line="300" w:lineRule="auto"/>
        <w:ind w:firstLine="420"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合规检测工具选用 AboutCode 项目官网（https://www.aboutcode.org/，许可证 Apache-2.0）提供的 AboutCode Toolkit 工具链。该工具链由两个核心命令行工具组成：ScanCode Toolkit 负责对源码树进行许可证、版权与包元数据检测；AboutCode Toolkit（attributecode）负责生成 .ABOUT 元数据文件、第三方归属声明（Attribution），并可识别项目中可再分发的源代码。工具部署在独立的 Python 虚拟环境中完成，部署信息见表 1。</w:t>
      </w:r>
    </w:p>
    <w:p w14:paraId="3D60F834">
      <w:pPr>
        <w:spacing w:before="60" w:after="40" w:line="300" w:lineRule="auto"/>
        <w:jc w:val="center"/>
      </w:pPr>
      <w:r>
        <w:rPr>
          <w:rFonts w:ascii="Times New Roman" w:hAnsi="Times New Roman" w:eastAsia="宋体"/>
          <w:b/>
          <w:color w:val="000000"/>
          <w:sz w:val="18"/>
        </w:rPr>
        <w:t>表 1  扫描工具部署信息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12A31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68C8EEDD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组件</w:t>
            </w:r>
          </w:p>
        </w:tc>
        <w:tc>
          <w:tcPr>
            <w:tcW w:w="2769" w:type="dxa"/>
          </w:tcPr>
          <w:p w14:paraId="545FCA6B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版本</w:t>
            </w:r>
          </w:p>
        </w:tc>
        <w:tc>
          <w:tcPr>
            <w:tcW w:w="2769" w:type="dxa"/>
          </w:tcPr>
          <w:p w14:paraId="0974BA72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用途说明</w:t>
            </w:r>
          </w:p>
        </w:tc>
      </w:tr>
      <w:tr w14:paraId="5C54A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1749C17C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ScanCode Toolkit</w:t>
            </w:r>
          </w:p>
        </w:tc>
        <w:tc>
          <w:tcPr>
            <w:tcW w:w="2769" w:type="dxa"/>
          </w:tcPr>
          <w:p w14:paraId="7F5EF5A4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32.5.0</w:t>
            </w:r>
          </w:p>
        </w:tc>
        <w:tc>
          <w:tcPr>
            <w:tcW w:w="2769" w:type="dxa"/>
          </w:tcPr>
          <w:p w14:paraId="4522A444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许可证/版权/包清单检测引擎，内置 SPDX 3.27 许可证规则库</w:t>
            </w:r>
          </w:p>
        </w:tc>
      </w:tr>
      <w:tr w14:paraId="7EE65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27A6ADEE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AboutCode Toolkit</w:t>
            </w:r>
          </w:p>
        </w:tc>
        <w:tc>
          <w:tcPr>
            <w:tcW w:w="2769" w:type="dxa"/>
          </w:tcPr>
          <w:p w14:paraId="24134F0F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11.1.1</w:t>
            </w:r>
          </w:p>
        </w:tc>
        <w:tc>
          <w:tcPr>
            <w:tcW w:w="2769" w:type="dxa"/>
          </w:tcPr>
          <w:p w14:paraId="2B30AE50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生成 .ABOUT 文件、归属声明与可再分发源码收集</w:t>
            </w:r>
          </w:p>
        </w:tc>
      </w:tr>
      <w:tr w14:paraId="7326C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6FF86389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运行环境</w:t>
            </w:r>
          </w:p>
        </w:tc>
        <w:tc>
          <w:tcPr>
            <w:tcW w:w="2769" w:type="dxa"/>
          </w:tcPr>
          <w:p w14:paraId="42D722CE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3.13.14</w:t>
            </w:r>
          </w:p>
        </w:tc>
        <w:tc>
          <w:tcPr>
            <w:tcW w:w="2769" w:type="dxa"/>
          </w:tcPr>
          <w:p w14:paraId="4C52FE4F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独立 venv 虚拟环境隔离安装</w:t>
            </w:r>
          </w:p>
        </w:tc>
      </w:tr>
      <w:tr w14:paraId="68F0C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461F620F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操作系统</w:t>
            </w:r>
          </w:p>
        </w:tc>
        <w:tc>
          <w:tcPr>
            <w:tcW w:w="2769" w:type="dxa"/>
          </w:tcPr>
          <w:p w14:paraId="024246F2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Windows Server</w:t>
            </w:r>
          </w:p>
        </w:tc>
        <w:tc>
          <w:tcPr>
            <w:tcW w:w="2769" w:type="dxa"/>
          </w:tcPr>
          <w:p w14:paraId="6417D68F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扫描执行环境（8 进程并行）</w:t>
            </w:r>
          </w:p>
        </w:tc>
      </w:tr>
    </w:tbl>
    <w:p w14:paraId="3CB96779">
      <w:pPr>
        <w:spacing w:before="0" w:after="0" w:line="300" w:lineRule="auto"/>
        <w:ind w:firstLine="420"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部署过程中解决了一个兼容性问题：ScanCode 32.5.0 与最新版 pluggy 1.7.0 存在插件钩子注册冲突，降级至 pluggy 1.5.0 后运行正常。AboutCode Toolkit 依赖的 distutils 模块在 Python 3.12+ 中被移除，通过安装 setuptools 补齐。</w:t>
      </w:r>
    </w:p>
    <w:p w14:paraId="52276B46">
      <w:pPr>
        <w:spacing w:before="120" w:after="60" w:line="300" w:lineRule="auto"/>
      </w:pPr>
      <w:r>
        <w:rPr>
          <w:rFonts w:ascii="Times New Roman" w:hAnsi="Times New Roman" w:eastAsia="宋体"/>
          <w:b/>
          <w:color w:val="000000"/>
          <w:sz w:val="21"/>
        </w:rPr>
        <w:t>2、扫描过程及结果</w:t>
      </w:r>
    </w:p>
    <w:p w14:paraId="6767FC1D">
      <w:pPr>
        <w:spacing w:before="0" w:after="0" w:line="300" w:lineRule="auto"/>
        <w:ind w:firstLine="420"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从 Apache 官方镜像站（dlcdn.apache.org）下载源码包 apache-tomcat-10.1.61-src.zip（约 12 MB），完整性校验通过后解压，得到 4791 个文件、约 36.85 MB 的源码树，涵盖 java（核心源码）、test（测试）、webapps（示例应用）、res（构建资源）、modules（独立模块）等目录。执行的核心扫描命令如下：</w:t>
      </w:r>
    </w:p>
    <w:p w14:paraId="512F78A4">
      <w:pPr>
        <w:spacing w:before="40" w:after="40" w:line="300" w:lineRule="auto"/>
        <w:ind w:left="420"/>
      </w:pPr>
      <w:r>
        <w:rPr>
          <w:rFonts w:ascii="Times New Roman" w:hAnsi="Times New Roman" w:eastAsia="宋体"/>
          <w:b w:val="0"/>
          <w:color w:val="000000"/>
          <w:sz w:val="19"/>
        </w:rPr>
        <w:t>scancode --license --copyright --package --info --email --url</w:t>
      </w:r>
    </w:p>
    <w:p w14:paraId="1BD5B7CA">
      <w:pPr>
        <w:spacing w:before="40" w:after="40" w:line="300" w:lineRule="auto"/>
        <w:ind w:left="420"/>
      </w:pPr>
      <w:r>
        <w:rPr>
          <w:rFonts w:ascii="Times New Roman" w:hAnsi="Times New Roman" w:eastAsia="宋体"/>
          <w:b w:val="0"/>
          <w:color w:val="000000"/>
          <w:sz w:val="19"/>
        </w:rPr>
        <w:t xml:space="preserve">     --license-score 0 --strip-root --processes 8</w:t>
      </w:r>
    </w:p>
    <w:p w14:paraId="76BFE093">
      <w:pPr>
        <w:spacing w:before="40" w:after="40" w:line="300" w:lineRule="auto"/>
        <w:ind w:left="420"/>
      </w:pPr>
      <w:r>
        <w:rPr>
          <w:rFonts w:ascii="Times New Roman" w:hAnsi="Times New Roman" w:eastAsia="宋体"/>
          <w:b w:val="0"/>
          <w:color w:val="000000"/>
          <w:sz w:val="19"/>
        </w:rPr>
        <w:t xml:space="preserve">     --json-pp output/tomcat-10.1.61-scan.json src/apache-tomcat-10.1.61-src/</w:t>
      </w:r>
    </w:p>
    <w:p w14:paraId="29C89902">
      <w:pPr>
        <w:spacing w:before="0" w:after="0" w:line="300" w:lineRule="auto"/>
        <w:ind w:firstLine="420"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其中 --license 检测许可证及 SPDX 表达式，--copyright 提取版权声明，--package 解析 Maven POM 等包清单，--license-score 0 保留全部匹配结果以便评估误报。扫描总耗时 331.8 秒（5 分 34 秒），平均速度 14.71 文件/秒，错误数 0，结果概览见表 2，许可证分布与目录覆盖率见图 1。</w:t>
      </w:r>
    </w:p>
    <w:p w14:paraId="6B67D71D">
      <w:pPr>
        <w:spacing w:before="60" w:after="40" w:line="300" w:lineRule="auto"/>
        <w:jc w:val="center"/>
      </w:pPr>
      <w:r>
        <w:rPr>
          <w:rFonts w:ascii="Times New Roman" w:hAnsi="Times New Roman" w:eastAsia="宋体"/>
          <w:b/>
          <w:color w:val="000000"/>
          <w:sz w:val="18"/>
        </w:rPr>
        <w:t>表 2  扫描结果概览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3"/>
        <w:gridCol w:w="2075"/>
      </w:tblGrid>
      <w:tr w14:paraId="2113D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21A61365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统计指标</w:t>
            </w:r>
          </w:p>
        </w:tc>
        <w:tc>
          <w:tcPr>
            <w:tcW w:w="2076" w:type="dxa"/>
          </w:tcPr>
          <w:p w14:paraId="55710B33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数值</w:t>
            </w:r>
          </w:p>
        </w:tc>
        <w:tc>
          <w:tcPr>
            <w:tcW w:w="2076" w:type="dxa"/>
          </w:tcPr>
          <w:p w14:paraId="259052B1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统计指标</w:t>
            </w:r>
          </w:p>
        </w:tc>
        <w:tc>
          <w:tcPr>
            <w:tcW w:w="2076" w:type="dxa"/>
          </w:tcPr>
          <w:p w14:paraId="0043A703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数值</w:t>
            </w:r>
          </w:p>
        </w:tc>
      </w:tr>
      <w:tr w14:paraId="7A1EB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630B6D63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扫描文件总数</w:t>
            </w:r>
          </w:p>
        </w:tc>
        <w:tc>
          <w:tcPr>
            <w:tcW w:w="2076" w:type="dxa"/>
          </w:tcPr>
          <w:p w14:paraId="604EDAF9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4791</w:t>
            </w:r>
          </w:p>
        </w:tc>
        <w:tc>
          <w:tcPr>
            <w:tcW w:w="2076" w:type="dxa"/>
          </w:tcPr>
          <w:p w14:paraId="0FD00060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许可证识别命中</w:t>
            </w:r>
          </w:p>
        </w:tc>
        <w:tc>
          <w:tcPr>
            <w:tcW w:w="2076" w:type="dxa"/>
          </w:tcPr>
          <w:p w14:paraId="605544D7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4598（96.0%）</w:t>
            </w:r>
          </w:p>
        </w:tc>
      </w:tr>
      <w:tr w14:paraId="38A42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2E3145BF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文本文件</w:t>
            </w:r>
          </w:p>
        </w:tc>
        <w:tc>
          <w:tcPr>
            <w:tcW w:w="2076" w:type="dxa"/>
          </w:tcPr>
          <w:p w14:paraId="66C5E916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4697</w:t>
            </w:r>
          </w:p>
        </w:tc>
        <w:tc>
          <w:tcPr>
            <w:tcW w:w="2076" w:type="dxa"/>
          </w:tcPr>
          <w:p w14:paraId="25F58ADB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未识别文件</w:t>
            </w:r>
          </w:p>
        </w:tc>
        <w:tc>
          <w:tcPr>
            <w:tcW w:w="2076" w:type="dxa"/>
          </w:tcPr>
          <w:p w14:paraId="2E5106B8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193（4.0%）</w:t>
            </w:r>
          </w:p>
        </w:tc>
      </w:tr>
      <w:tr w14:paraId="7B68B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6D98BB34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二进制文件</w:t>
            </w:r>
          </w:p>
        </w:tc>
        <w:tc>
          <w:tcPr>
            <w:tcW w:w="2076" w:type="dxa"/>
          </w:tcPr>
          <w:p w14:paraId="7BEB38FB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94</w:t>
            </w:r>
          </w:p>
        </w:tc>
        <w:tc>
          <w:tcPr>
            <w:tcW w:w="2076" w:type="dxa"/>
          </w:tcPr>
          <w:p w14:paraId="2D52A5E5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许可证匹配总数</w:t>
            </w:r>
          </w:p>
        </w:tc>
        <w:tc>
          <w:tcPr>
            <w:tcW w:w="2076" w:type="dxa"/>
          </w:tcPr>
          <w:p w14:paraId="047A3AA5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4813</w:t>
            </w:r>
          </w:p>
        </w:tc>
      </w:tr>
      <w:tr w14:paraId="26D36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44D14112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纯 Apache-2.0 文件</w:t>
            </w:r>
          </w:p>
        </w:tc>
        <w:tc>
          <w:tcPr>
            <w:tcW w:w="2076" w:type="dxa"/>
          </w:tcPr>
          <w:p w14:paraId="31A632DC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4549（94.9%）</w:t>
            </w:r>
          </w:p>
        </w:tc>
        <w:tc>
          <w:tcPr>
            <w:tcW w:w="2076" w:type="dxa"/>
          </w:tcPr>
          <w:p w14:paraId="17823A41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满分匹配（100 分）</w:t>
            </w:r>
          </w:p>
        </w:tc>
        <w:tc>
          <w:tcPr>
            <w:tcW w:w="2076" w:type="dxa"/>
          </w:tcPr>
          <w:p w14:paraId="5A51822C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4664（96.9%）</w:t>
            </w:r>
          </w:p>
        </w:tc>
      </w:tr>
    </w:tbl>
    <w:p w14:paraId="741FCD38">
      <w:pPr>
        <w:spacing w:before="80"/>
        <w:jc w:val="center"/>
      </w:pPr>
      <w:r>
        <w:drawing>
          <wp:inline distT="0" distB="0" distL="114300" distR="114300">
            <wp:extent cx="5394960" cy="1932940"/>
            <wp:effectExtent l="0" t="0" r="5715" b="6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CA62">
      <w:pPr>
        <w:spacing w:before="40" w:after="60" w:line="300" w:lineRule="auto"/>
        <w:jc w:val="center"/>
      </w:pPr>
      <w:r>
        <w:rPr>
          <w:rFonts w:ascii="Times New Roman" w:hAnsi="Times New Roman" w:eastAsia="宋体"/>
          <w:b/>
          <w:color w:val="000000"/>
          <w:sz w:val="18"/>
        </w:rPr>
        <w:t>图 1  文件级许可证分布与主要目录识别覆盖率</w:t>
      </w:r>
    </w:p>
    <w:p w14:paraId="6801AEF8">
      <w:pPr>
        <w:spacing w:before="0" w:after="0" w:line="300" w:lineRule="auto"/>
        <w:ind w:firstLine="420"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随后使用 about attrib 基于扫描 JSON 生成第三方归属声明文档 attribution.html（约 3.5 MB，内含全部命中的许可证文本，可直接随发行版发布）；使用 about gen 基于人工核验后的组件清单生成 5 个 .ABOUT 元数据文件（覆盖 Tomcat 核心、Jakarta EE XML Schema、JSR-166 派生代码、示例应用捆绑 jar 等），并通过 about check 格式校验。</w:t>
      </w:r>
    </w:p>
    <w:p w14:paraId="11BA2F53">
      <w:pPr>
        <w:spacing w:before="120" w:after="60" w:line="300" w:lineRule="auto"/>
      </w:pPr>
      <w:r>
        <w:rPr>
          <w:rFonts w:ascii="Times New Roman" w:hAnsi="Times New Roman" w:eastAsia="宋体"/>
          <w:b/>
          <w:color w:val="000000"/>
          <w:sz w:val="21"/>
        </w:rPr>
        <w:t>3、扫描结果分析</w:t>
      </w:r>
    </w:p>
    <w:p w14:paraId="7583E43E">
      <w:pPr>
        <w:spacing w:before="0" w:after="0" w:line="300" w:lineRule="auto"/>
        <w:ind w:firstLine="420"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（1）许可证构成。4791 个文件中 4549 个（94.9%）检测为纯 Apache-2.0，与项目对外声明一致；37 个 XML Schema 文件为双重许可，其中 21 个 Java EE 时代 Schema 为“CDDL-1.0/1.1 OR GPL-2.0 WITH Classpath-exception-2.0”（版权人 Oracle），14 个 Jakarta EE 9/10 Schema 为“EPL-2.0 OR GPL-2.0 WITH Classpath-exception-2.0”；其余 12 个为多许可证复合表达式，主要是 LICENSE、NOTICE 等说明性文档。分目录看，java 核心目录识别覆盖率 99.5%，modules 99.0%，test 93.5%，webapps 87.5%，res 82.2%，覆盖率差异主要由二进制资源与测试夹具引起。</w:t>
      </w:r>
    </w:p>
    <w:p w14:paraId="7CCB6089">
      <w:pPr>
        <w:spacing w:before="0" w:after="0" w:line="300" w:lineRule="auto"/>
        <w:ind w:firstLine="420"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（2）第三方内容与归属声明完整性。NOTICE 文件系统披露了衍生来源：org.apache.tomcat.jni 及 OpenSSL JSSE 集成代码源自 Netty 与 Twitter finagle，tribes 云发现模块源自 JGroups（Red Hat），JSONParser.jj 语法为 Robert Fischer 的公有领域作品。工具准确检出 ThreadPoolExecutor.java 同时携带 Apache-2.0 许可证头与源自 Doug Lea JSR-166 的 CC0 公有领域声明，说明其对“文件内嵌第三方声明”识别能力较强。但交叉核对发现：java/jakarta/servlet/resources 目录共 45 个 XSD 文件，NOTICE 仅列出 21 个（截至 Java EE 8），Jakarta EE 9/10 时代的 24 个文件（如 jakartaee_9/10.xsd、jsp_3_0/3_1.xsd 等）未列入。各文件头部均自带 EPL-2.0/GPL-2.0+CPE 声明，直接侵权风险低，但作为再分发方的归属声明不完整，属于应修复的合规瑕疵。</w:t>
      </w:r>
    </w:p>
    <w:p w14:paraId="7AE8C405">
      <w:pPr>
        <w:spacing w:before="0" w:after="0" w:line="300" w:lineRule="auto"/>
        <w:ind w:firstLine="420"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（3）误报分析。典型误报包括：webapps/docs/changelog.xml 因修改记录文字“Update the URL to the CDDL 1.0 license”被检出 cddl-1.0；buildutil/Utils.java 因 ASF 标准许可证头中的“contributor license agreements”字样被附加 generic-cla；RELEASE-NOTES 因内置出口管制声明被检出 generic-export-compliance；LICENSE/NOTICE 因罗列多种许可证全文被拼接为复杂复合表达式。上述均属“文字提及”而非真实许可授予。全量 4813 个匹配中得分低于 90 的仅 8 个（0.2%），可通过“分数阈值 + 人工复核”有效过滤。未识别的 193 个文件中，94 个为二进制（pem 证书、gif/jks/war/jar 等，天然不含许可证头），99 个文本文件主要为 JavaCC 生成的 9 个 EL 解析器源文件（其版权由上游语法文件声明覆盖）及 JSON/MANIFEST 配置文件。</w:t>
      </w:r>
    </w:p>
    <w:p w14:paraId="5BE6737A">
      <w:pPr>
        <w:spacing w:before="0" w:after="0" w:line="300" w:lineRule="auto"/>
        <w:ind w:firstLine="420"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（4）工具局限性。about gen 无法处理文件名含分号、&amp;、# 等特殊字符的测试夹具（报错且 0 个文件生成）；attrib 以 .ABOUT 目录为输入时存在内部异常；collect-redist-src 需与源码目录布局配合才能复制可再分发源码。总体而言 ScanCode 检测引擎在真实工程上稳定可靠，AboutCode 文档生成链路对不规范文件名的健壮性有待加强。</w:t>
      </w:r>
    </w:p>
    <w:p w14:paraId="61635676">
      <w:pPr>
        <w:spacing w:before="120" w:after="60" w:line="300" w:lineRule="auto"/>
      </w:pPr>
      <w:r>
        <w:rPr>
          <w:rFonts w:ascii="Times New Roman" w:hAnsi="Times New Roman" w:eastAsia="宋体"/>
          <w:b/>
          <w:color w:val="000000"/>
          <w:sz w:val="21"/>
        </w:rPr>
        <w:t>4、结论与建议</w:t>
      </w:r>
    </w:p>
    <w:p w14:paraId="4A630920">
      <w:pPr>
        <w:spacing w:before="0" w:after="0" w:line="300" w:lineRule="auto"/>
        <w:ind w:firstLine="420"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综合评估，Apache Tomcat 10.1.61 的许可证合规状况良好：主体为 Apache-2.0 单许可证，第三方内容均在文件头或 NOTICE 中披露；构建文档中出现的 Checkstyle/SpotBugs（LGPL）、Cobertura（GPL）字样均指向可选构建工具而非运行时代码，不随产物分发，因此不存在 copyleft 强传染风险。主要风险项及处置建议见表 3。</w:t>
      </w:r>
    </w:p>
    <w:p w14:paraId="5F43C3B2">
      <w:pPr>
        <w:spacing w:before="60" w:after="40" w:line="300" w:lineRule="auto"/>
        <w:jc w:val="center"/>
      </w:pPr>
      <w:r>
        <w:rPr>
          <w:rFonts w:ascii="Times New Roman" w:hAnsi="Times New Roman" w:eastAsia="宋体"/>
          <w:b/>
          <w:color w:val="000000"/>
          <w:sz w:val="18"/>
        </w:rPr>
        <w:t>表 3  合规风险清单与处置建议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7869E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018343C6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风险项</w:t>
            </w:r>
          </w:p>
        </w:tc>
        <w:tc>
          <w:tcPr>
            <w:tcW w:w="2769" w:type="dxa"/>
          </w:tcPr>
          <w:p w14:paraId="50903EB5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等级</w:t>
            </w:r>
          </w:p>
        </w:tc>
        <w:tc>
          <w:tcPr>
            <w:tcW w:w="2769" w:type="dxa"/>
          </w:tcPr>
          <w:p w14:paraId="313DBA92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处置建议</w:t>
            </w:r>
          </w:p>
        </w:tc>
      </w:tr>
      <w:tr w14:paraId="1A746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221DF098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NOTICE 未覆盖 Jakarta EE 9/10 Schema（24 个）</w:t>
            </w:r>
          </w:p>
        </w:tc>
        <w:tc>
          <w:tcPr>
            <w:tcW w:w="2769" w:type="dxa"/>
          </w:tcPr>
          <w:p w14:paraId="4329D9B4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低</w:t>
            </w:r>
          </w:p>
        </w:tc>
        <w:tc>
          <w:tcPr>
            <w:tcW w:w="2769" w:type="dxa"/>
          </w:tcPr>
          <w:p w14:paraId="6AA35342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更新 NOTICE 清单或向上游社区反馈</w:t>
            </w:r>
          </w:p>
        </w:tc>
      </w:tr>
      <w:tr w14:paraId="7C209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4CF06F00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未识别文本文件 99 个</w:t>
            </w:r>
          </w:p>
        </w:tc>
        <w:tc>
          <w:tcPr>
            <w:tcW w:w="2769" w:type="dxa"/>
          </w:tcPr>
          <w:p w14:paraId="27DBE6EB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低</w:t>
            </w:r>
          </w:p>
        </w:tc>
        <w:tc>
          <w:tcPr>
            <w:tcW w:w="2769" w:type="dxa"/>
          </w:tcPr>
          <w:p w14:paraId="37A28834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人工确认为生成代码/配置后登记豁免</w:t>
            </w:r>
          </w:p>
        </w:tc>
      </w:tr>
      <w:tr w14:paraId="0A171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4DB51DB6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文档类复合表达式 12 个</w:t>
            </w:r>
          </w:p>
        </w:tc>
        <w:tc>
          <w:tcPr>
            <w:tcW w:w="2769" w:type="dxa"/>
          </w:tcPr>
          <w:p w14:paraId="199C9CA0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提示</w:t>
            </w:r>
          </w:p>
        </w:tc>
        <w:tc>
          <w:tcPr>
            <w:tcW w:w="2769" w:type="dxa"/>
          </w:tcPr>
          <w:p w14:paraId="2F90AB26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按“许可证文本文件”白名单过滤误报</w:t>
            </w:r>
          </w:p>
        </w:tc>
      </w:tr>
      <w:tr w14:paraId="47A24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1D36BA8E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捆绑 jar/war 共 25 个二进制</w:t>
            </w:r>
          </w:p>
        </w:tc>
        <w:tc>
          <w:tcPr>
            <w:tcW w:w="2769" w:type="dxa"/>
          </w:tcPr>
          <w:p w14:paraId="2B48A3CA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低</w:t>
            </w:r>
          </w:p>
        </w:tc>
        <w:tc>
          <w:tcPr>
            <w:tcW w:w="2769" w:type="dxa"/>
          </w:tcPr>
          <w:p w14:paraId="13A590EE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经构建脚本溯源确认均为项目自产或已授权</w:t>
            </w:r>
          </w:p>
        </w:tc>
      </w:tr>
    </w:tbl>
    <w:p w14:paraId="45B0C977">
      <w:pPr>
        <w:spacing w:before="0" w:after="0" w:line="300" w:lineRule="auto"/>
        <w:ind w:firstLine="420"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建议将本次扫描的 JSON 结果作为软件物料清单（SBOM）基线纳入版本管理，在 CI 流水线中对增量提交执行增量扫描并设定分数阈值告警；对未识别文件与低分匹配建立人工复核清单；发布二进制发行版前使用 about attrib 自动生成归属声明并逐项核对；同时定期升级许可证规则库。</w:t>
      </w:r>
    </w:p>
    <w:p w14:paraId="182398B1">
      <w:pPr>
        <w:spacing w:before="0" w:after="0" w:line="300" w:lineRule="auto"/>
        <w:ind w:firstLine="420"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本次分析的局限在于：扫描为单版本静态快照，未解包 25 个捆绑 jar/war 的内部文件，也未验证二进制与源码一致性；工具基于文本规则匹配，对无许可证头、许可证被改写的文件检出能力有限，结论应与人工审查结合使用。</w:t>
      </w:r>
    </w:p>
    <w:p w14:paraId="4A575BB0">
      <w:pPr>
        <w:widowControl/>
        <w:jc w:val="left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Style w:val="6"/>
        <w:tblW w:w="0" w:type="auto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5A4DF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479" w:type="dxa"/>
          </w:tcPr>
          <w:p w14:paraId="1D8FA52E">
            <w:pPr>
              <w:spacing w:line="300" w:lineRule="auto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2C6249D0">
            <w:pPr>
              <w:widowControl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得分</w:t>
            </w:r>
          </w:p>
        </w:tc>
      </w:tr>
      <w:tr w14:paraId="58972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15D4A79B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0F7289F2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4A938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0E31F226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1DD45F6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2117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20DA4BC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55613ED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7A5FC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B8DEC0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7A3121CE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5483C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7F8B719F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02FE73CD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39888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1AEA1A46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1CF1FDE1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7E5C4276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D716D5">
    <w:pPr>
      <w:pStyle w:val="4"/>
      <w:jc w:val="center"/>
      <w:rPr>
        <w:rFonts w:ascii="宋体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1E54BD"/>
  <w:p w14:paraId="4642165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427E7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59486D73"/>
    <w:rsid w:val="60CA19D8"/>
    <w:rsid w:val="665D5E75"/>
    <w:rsid w:val="6D2E4BAB"/>
    <w:rsid w:val="71E75D3D"/>
    <w:rsid w:val="720A10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11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2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List Paragraph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2332</Words>
  <Characters>3921</Characters>
  <TotalTime>8</TotalTime>
  <ScaleCrop>false</ScaleCrop>
  <LinksUpToDate>false</LinksUpToDate>
  <CharactersWithSpaces>4298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2026-10-29T16:07:00Z</dcterms:created>
  <dc:creator>11</dc:creator>
  <cp:lastModifiedBy>白墨</cp:lastModifiedBy>
  <dcterms:modified xsi:type="dcterms:W3CDTF">2026-10-29T08:16:48Z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eyJoZGlkIjoiODkwMGRlYzBhZWFjNTQ2OTZjMTczMDU5YzI3YWM2NzciLCJ1c2VySWQiOiI4MTg2MzgzMjMifQ==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AC29F813B8B64111B4B90B4978F06BA9_12</vt:lpwstr>
  </property>
</Properties>
</file>