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CDB7" w14:textId="77777777" w:rsidR="00811A9E" w:rsidRPr="00C23723" w:rsidRDefault="00811A9E" w:rsidP="00C23723">
      <w:pPr>
        <w:spacing w:line="480" w:lineRule="auto"/>
        <w:rPr>
          <w:lang w:val="en-US"/>
        </w:rPr>
      </w:pPr>
      <w:r w:rsidRPr="00C23723">
        <w:rPr>
          <w:lang w:val="en-US"/>
        </w:rPr>
        <w:t>Sensitivity of gap-filling to gap length</w:t>
      </w:r>
    </w:p>
    <w:p w14:paraId="2939E2C3" w14:textId="77777777" w:rsidR="00811A9E" w:rsidRPr="00995F02" w:rsidRDefault="00811A9E" w:rsidP="00811A9E">
      <w:pPr>
        <w:pStyle w:val="ListParagraph"/>
        <w:spacing w:line="480" w:lineRule="auto"/>
        <w:ind w:left="360" w:firstLine="360"/>
        <w:jc w:val="both"/>
        <w:rPr>
          <w:lang w:val="en-US"/>
        </w:rPr>
      </w:pPr>
    </w:p>
    <w:tbl>
      <w:tblPr>
        <w:tblStyle w:val="TableGrid"/>
        <w:tblW w:w="11199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811A9E" w14:paraId="6EB2F48A" w14:textId="77777777" w:rsidTr="004E1632">
        <w:tc>
          <w:tcPr>
            <w:tcW w:w="11199" w:type="dxa"/>
            <w:vAlign w:val="center"/>
          </w:tcPr>
          <w:p w14:paraId="2CBD214B" w14:textId="77777777" w:rsidR="00811A9E" w:rsidRDefault="00811A9E" w:rsidP="004E1632">
            <w:pPr>
              <w:spacing w:line="48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20CA34" wp14:editId="0BF9FDF7">
                  <wp:extent cx="5400000" cy="2697009"/>
                  <wp:effectExtent l="0" t="0" r="0" b="8255"/>
                  <wp:docPr id="27" name="Picture 27" descr="A screenshot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screenshot of a graph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697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C381C" w14:textId="77777777" w:rsidR="00811A9E" w:rsidRDefault="00811A9E" w:rsidP="00811A9E">
      <w:pPr>
        <w:pStyle w:val="Caption"/>
        <w:jc w:val="center"/>
      </w:pPr>
      <w:bookmarkStart w:id="0" w:name="_Ref84232173"/>
      <w:r>
        <w:t xml:space="preserve">Figure </w:t>
      </w:r>
      <w:r w:rsidR="001D4F10">
        <w:fldChar w:fldCharType="begin"/>
      </w:r>
      <w:r w:rsidR="001D4F10">
        <w:instrText xml:space="preserve"> SEQ Figure \* ARABIC </w:instrText>
      </w:r>
      <w:r w:rsidR="001D4F10">
        <w:fldChar w:fldCharType="separate"/>
      </w:r>
      <w:r>
        <w:rPr>
          <w:noProof/>
        </w:rPr>
        <w:t>8</w:t>
      </w:r>
      <w:r w:rsidR="001D4F10">
        <w:rPr>
          <w:noProof/>
        </w:rPr>
        <w:fldChar w:fldCharType="end"/>
      </w:r>
      <w:bookmarkEnd w:id="0"/>
      <w:r>
        <w:t xml:space="preserve"> Ratio of gap-filling bias (of MDS, RFR</w:t>
      </w:r>
      <w:r>
        <w:rPr>
          <w:vertAlign w:val="subscript"/>
        </w:rPr>
        <w:t>3</w:t>
      </w:r>
      <w:r>
        <w:t>, and RFR</w:t>
      </w:r>
      <w:r>
        <w:rPr>
          <w:vertAlign w:val="subscript"/>
        </w:rPr>
        <w:t>10</w:t>
      </w:r>
      <w:r>
        <w:t xml:space="preserve">) to flux </w:t>
      </w:r>
      <w:r w:rsidRPr="009C055C">
        <w:t>joint uncertainty estimation</w:t>
      </w:r>
      <w:r>
        <w:t xml:space="preserve"> grouped by IGBP across NEE, H, and LE.</w:t>
      </w:r>
    </w:p>
    <w:p w14:paraId="06E16C42" w14:textId="30DFA1CA" w:rsidR="00811A9E" w:rsidRDefault="00811A9E" w:rsidP="00811A9E">
      <w:pPr>
        <w:pStyle w:val="ListParagraph"/>
        <w:spacing w:line="480" w:lineRule="auto"/>
        <w:ind w:left="360" w:firstLine="360"/>
        <w:jc w:val="both"/>
      </w:pPr>
      <w:r>
        <w:t xml:space="preserve">The ratio interquartile range (IQR) of bias (i.e. gap-filling uncertainty) to mean flux (referred as to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/flux</w:t>
      </w:r>
      <w:r>
        <w:t xml:space="preserve">) and flux join uncertainty estimation (referred as to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>) increased largely as the gap length increased (</w:t>
      </w:r>
      <w:r>
        <w:fldChar w:fldCharType="begin"/>
      </w:r>
      <w:r>
        <w:instrText xml:space="preserve"> REF _Ref84232173 \h </w:instrText>
      </w:r>
      <w:r>
        <w:fldChar w:fldCharType="separate"/>
      </w:r>
      <w:r>
        <w:t xml:space="preserve">Figure </w:t>
      </w:r>
      <w:r>
        <w:rPr>
          <w:noProof/>
        </w:rPr>
        <w:t>8</w:t>
      </w:r>
      <w:r>
        <w:fldChar w:fldCharType="end"/>
      </w:r>
      <w:r>
        <w:t xml:space="preserve"> and</w:t>
      </w:r>
      <w:r w:rsidR="001D4F10">
        <w:t xml:space="preserve"> Table S8</w:t>
      </w:r>
      <w:r>
        <w:t xml:space="preserve">). For MDS, the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/flux</w:t>
      </w:r>
      <w:r>
        <w:t xml:space="preserve"> across fluxes for short gaps was less than 30 %, and it was separately nearly doubled and </w:t>
      </w:r>
      <w:r w:rsidRPr="00EE345D">
        <w:t xml:space="preserve">fourfold </w:t>
      </w:r>
      <w:r>
        <w:t>for long gaps and very-long gaps, as gap-filling bias IQR almost reached 1.5 times of flux (</w:t>
      </w:r>
      <w:r w:rsidR="001D4F10">
        <w:t>Table S8</w:t>
      </w:r>
      <w:r>
        <w:t xml:space="preserve">). However, the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/flux</w:t>
      </w:r>
      <w:r>
        <w:t xml:space="preserve"> for RFR approaches increased more </w:t>
      </w:r>
      <w:r w:rsidRPr="000B3F38">
        <w:t>steadily</w:t>
      </w:r>
      <w:r>
        <w:t xml:space="preserve"> as gap-length increased; bias IQR for RFR</w:t>
      </w:r>
      <w:r>
        <w:rPr>
          <w:vertAlign w:val="subscript"/>
        </w:rPr>
        <w:t>10</w:t>
      </w:r>
      <w:r>
        <w:t xml:space="preserve"> was nearly less than 30 % of NEE and Le, and less than 45 % of H for very-long gaps  (</w:t>
      </w:r>
      <w:r w:rsidR="001D4F10">
        <w:t>Table S8</w:t>
      </w:r>
      <w:r>
        <w:t>).</w:t>
      </w:r>
    </w:p>
    <w:p w14:paraId="1102CA8A" w14:textId="0A82C337" w:rsidR="00811A9E" w:rsidRPr="00927B1A" w:rsidRDefault="00811A9E" w:rsidP="00811A9E">
      <w:pPr>
        <w:pStyle w:val="ListParagraph"/>
        <w:spacing w:line="480" w:lineRule="auto"/>
        <w:ind w:left="360" w:firstLine="360"/>
        <w:jc w:val="both"/>
      </w:pPr>
      <w:r>
        <w:t xml:space="preserve">Similar patterns was seen for the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, for MDS, the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increased about 5~10 times as the gap-length increased from short to very-long; smaller increment in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was seen for RFR approaches (</w:t>
      </w:r>
      <w:r>
        <w:fldChar w:fldCharType="begin"/>
      </w:r>
      <w:r>
        <w:instrText xml:space="preserve"> REF _Ref84232173 \h </w:instrText>
      </w:r>
      <w:r>
        <w:fldChar w:fldCharType="separate"/>
      </w:r>
      <w:r>
        <w:t xml:space="preserve">Figure </w:t>
      </w:r>
      <w:r>
        <w:rPr>
          <w:noProof/>
        </w:rPr>
        <w:t>8</w:t>
      </w:r>
      <w:r>
        <w:fldChar w:fldCharType="end"/>
      </w:r>
      <w:r>
        <w:t xml:space="preserve">), and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of RFR</w:t>
      </w:r>
      <w:r>
        <w:rPr>
          <w:vertAlign w:val="subscript"/>
        </w:rPr>
        <w:t>10</w:t>
      </w:r>
      <w:r>
        <w:t xml:space="preserve"> was nearly smaller than two for very-long gaps, especially for NEE (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of RFR</w:t>
      </w:r>
      <w:r>
        <w:rPr>
          <w:vertAlign w:val="subscript"/>
        </w:rPr>
        <w:t>10</w:t>
      </w:r>
      <w:r>
        <w:t xml:space="preserve"> &lt;1) (</w:t>
      </w:r>
      <w:r w:rsidR="001D4F10">
        <w:t>Table S8</w:t>
      </w:r>
      <w:r>
        <w:t xml:space="preserve">). In addition,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varied among ecosystem types, open shrubland, savannah, and wetland were seen with the largest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rPr>
          <w:vertAlign w:val="subscript"/>
        </w:rPr>
        <w:t xml:space="preserve"> </w:t>
      </w:r>
      <w:r>
        <w:t>for NEE (</w:t>
      </w:r>
      <w:r w:rsidR="001D4F10">
        <w:fldChar w:fldCharType="begin"/>
      </w:r>
      <w:r w:rsidR="001D4F10">
        <w:instrText xml:space="preserve"> REF _Ref84232173 \h </w:instrText>
      </w:r>
      <w:r w:rsidR="001D4F10">
        <w:fldChar w:fldCharType="separate"/>
      </w:r>
      <w:r w:rsidR="001D4F10">
        <w:t xml:space="preserve">Figure </w:t>
      </w:r>
      <w:r w:rsidR="001D4F10">
        <w:rPr>
          <w:noProof/>
        </w:rPr>
        <w:t>8</w:t>
      </w:r>
      <w:r w:rsidR="001D4F10">
        <w:fldChar w:fldCharType="end"/>
      </w:r>
      <w:r>
        <w:t xml:space="preserve">a); grassland (GRA), SAV, and woody savannah (WSA) were seen with relatively larger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for H (</w:t>
      </w:r>
      <w:r w:rsidR="001D4F10">
        <w:fldChar w:fldCharType="begin"/>
      </w:r>
      <w:r w:rsidR="001D4F10">
        <w:instrText xml:space="preserve"> REF _Ref84232173 \h </w:instrText>
      </w:r>
      <w:r w:rsidR="001D4F10">
        <w:fldChar w:fldCharType="separate"/>
      </w:r>
      <w:r w:rsidR="001D4F10">
        <w:t xml:space="preserve">Figure </w:t>
      </w:r>
      <w:r w:rsidR="001D4F10">
        <w:rPr>
          <w:noProof/>
        </w:rPr>
        <w:t>8</w:t>
      </w:r>
      <w:r w:rsidR="001D4F10">
        <w:fldChar w:fldCharType="end"/>
      </w:r>
      <w:r>
        <w:t xml:space="preserve">b); OSH, SAV, and WSA were seen with the largest </w:t>
      </w:r>
      <w:proofErr w:type="spellStart"/>
      <w:r>
        <w:t>R</w:t>
      </w:r>
      <w:r>
        <w:rPr>
          <w:vertAlign w:val="subscript"/>
        </w:rPr>
        <w:t>bias</w:t>
      </w:r>
      <w:proofErr w:type="spellEnd"/>
      <w:r>
        <w:rPr>
          <w:vertAlign w:val="subscript"/>
        </w:rPr>
        <w:t>/</w:t>
      </w:r>
      <w:proofErr w:type="spellStart"/>
      <w:r>
        <w:rPr>
          <w:vertAlign w:val="subscript"/>
        </w:rPr>
        <w:t>unc</w:t>
      </w:r>
      <w:proofErr w:type="spellEnd"/>
      <w:r>
        <w:t xml:space="preserve"> for LE (</w:t>
      </w:r>
      <w:r w:rsidR="001D4F10">
        <w:fldChar w:fldCharType="begin"/>
      </w:r>
      <w:r w:rsidR="001D4F10">
        <w:instrText xml:space="preserve"> REF _Ref84232173 \h </w:instrText>
      </w:r>
      <w:r w:rsidR="001D4F10">
        <w:fldChar w:fldCharType="separate"/>
      </w:r>
      <w:r w:rsidR="001D4F10">
        <w:t xml:space="preserve">Figure </w:t>
      </w:r>
      <w:r w:rsidR="001D4F10">
        <w:rPr>
          <w:noProof/>
        </w:rPr>
        <w:t>8</w:t>
      </w:r>
      <w:r w:rsidR="001D4F10">
        <w:fldChar w:fldCharType="end"/>
      </w:r>
      <w:r>
        <w:t xml:space="preserve">c). </w:t>
      </w:r>
    </w:p>
    <w:p w14:paraId="4CF26544" w14:textId="77777777" w:rsidR="00D11E6E" w:rsidRDefault="00D11E6E"/>
    <w:sectPr w:rsidR="00D11E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66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AC"/>
    <w:rsid w:val="001D4F10"/>
    <w:rsid w:val="00231AAC"/>
    <w:rsid w:val="003D77FE"/>
    <w:rsid w:val="00811A9E"/>
    <w:rsid w:val="00C23723"/>
    <w:rsid w:val="00D1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55E2"/>
  <w15:chartTrackingRefBased/>
  <w15:docId w15:val="{355D1E5F-10F3-4539-9A83-3C9FA58F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A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A9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1A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1A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1A9E"/>
    <w:rPr>
      <w:sz w:val="20"/>
      <w:szCs w:val="20"/>
    </w:rPr>
  </w:style>
  <w:style w:type="table" w:styleId="TableGrid">
    <w:name w:val="Table Grid"/>
    <w:basedOn w:val="TableNormal"/>
    <w:uiPriority w:val="39"/>
    <w:rsid w:val="00811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11A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Zhu</dc:creator>
  <cp:keywords/>
  <dc:description/>
  <cp:lastModifiedBy>S Zhu</cp:lastModifiedBy>
  <cp:revision>4</cp:revision>
  <dcterms:created xsi:type="dcterms:W3CDTF">2021-11-11T11:49:00Z</dcterms:created>
  <dcterms:modified xsi:type="dcterms:W3CDTF">2021-11-11T22:53:00Z</dcterms:modified>
</cp:coreProperties>
</file>