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Barrierefreie Dokumente im Alltag</w:t>
      </w:r>
    </w:p>
    <w:p>
      <w:pPr>
        <w:pStyle w:val="Heading1"/>
      </w:pPr>
      <w:r>
        <w:t>1 Warum das Thema alle betrifft</w:t>
      </w:r>
    </w:p>
    <w:p>
      <w:r>
        <w:t xml:space="preserve">Rund </w:t>
      </w:r>
      <w:r>
        <w:rPr>
          <w:b/>
        </w:rPr>
        <w:t>zehn Prozent</w:t>
      </w:r>
      <w:r>
        <w:t xml:space="preserve"> der Bevölkerung sind auf barrierefreie Dokumente angewiesen. Das ist </w:t>
      </w:r>
      <w:r>
        <w:rPr>
          <w:i/>
        </w:rPr>
        <w:t>keine Randgruppe</w:t>
      </w:r>
      <w:r>
        <w:t>, sondern jeder zehnte Leser.</w:t>
      </w:r>
    </w:p>
    <w:p>
      <w:r>
        <w:t xml:space="preserve">Weitere Informationen stehen unter </w:t>
      </w:r>
      <w:hyperlink r:id="rId10">
        <w:r>
          <w:rPr>
            <w:u w:val="single"/>
          </w:rPr>
          <w:t>www.beispiel-verein.example</w:t>
        </w:r>
      </w:hyperlink>
      <w:r>
        <w:t xml:space="preserve"> bereit.</w:t>
      </w:r>
    </w:p>
    <w:p>
      <w:pPr>
        <w:pStyle w:val="Heading2"/>
      </w:pPr>
      <w:r>
        <w:t>1.1 Drei typische Fehler</w:t>
      </w:r>
    </w:p>
    <w:p>
      <w:pPr>
        <w:pStyle w:val="ListNumber"/>
      </w:pPr>
      <w:r>
        <w:t>Überschriften sind nur fett formatiert, nicht als Überschrift ausgezeichnet.</w:t>
      </w:r>
    </w:p>
    <w:p>
      <w:pPr>
        <w:pStyle w:val="ListNumber"/>
      </w:pPr>
      <w:r>
        <w:t>Bilder haben keinen Alternativtext.</w:t>
      </w:r>
    </w:p>
    <w:p>
      <w:pPr>
        <w:pStyle w:val="ListNumber"/>
      </w:pPr>
      <w:r>
        <w:t>Tabellen haben keine Kopfzeile.</w:t>
      </w:r>
    </w:p>
    <w:p>
      <w:pPr>
        <w:pStyle w:val="Heading1"/>
      </w:pPr>
      <w:r>
        <w:t>2 Zahlen aus dem Musterverein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Jahr</w:t>
            </w:r>
          </w:p>
        </w:tc>
        <w:tc>
          <w:tcPr>
            <w:tcW w:type="dxa" w:w="2880"/>
          </w:tcPr>
          <w:p>
            <w:r>
              <w:t>Geprüfte Dokumente</w:t>
            </w:r>
          </w:p>
        </w:tc>
        <w:tc>
          <w:tcPr>
            <w:tcW w:type="dxa" w:w="2880"/>
          </w:tcPr>
          <w:p>
            <w:r>
              <w:t>Davon barrierefrei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38 %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310</w:t>
            </w:r>
          </w:p>
        </w:tc>
        <w:tc>
          <w:tcPr>
            <w:tcW w:type="dxa" w:w="2880"/>
          </w:tcPr>
          <w:p>
            <w:r>
              <w:t>71 %</w:t>
            </w:r>
          </w:p>
        </w:tc>
      </w:tr>
    </w:tbl>
    <w:p>
      <w:r>
        <w:t>2026-09-18</w:t>
      </w:r>
    </w:p>
    <w:p>
      <w:r>
        <w:t xml:space="preserve">Fazit: Wer </w:t>
      </w:r>
      <w:r>
        <w:rPr>
          <w:b/>
        </w:rPr>
        <w:t>heute</w:t>
      </w:r>
      <w:r>
        <w:t xml:space="preserve"> anfängt, hat </w:t>
      </w:r>
      <w:r>
        <w:rPr>
          <w:b/>
          <w:i/>
        </w:rPr>
        <w:t>morgen</w:t>
      </w:r>
      <w:r>
        <w:t xml:space="preserve"> weniger Arbeit. Kontakt: vortrag@beispiel-verein.example, Telefon 0000 123456 (fiktiv).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Musterverein Beispielstadt (fiktiv) – Vortragsreihe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www.beispiel-verein.example/barrierefre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Barrierefreie Dokumente im Alltag (fiktiver Vortrag)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