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color w:val="4B4B4B"/>
          <w:kern w:val="0"/>
          <w:sz w:val="24"/>
          <w:szCs w:val="24"/>
        </w:rPr>
      </w:pPr>
      <w:r w:rsidRPr="004F6184">
        <w:rPr>
          <w:rFonts w:ascii="微软雅黑" w:eastAsia="微软雅黑" w:hAnsi="微软雅黑" w:cs="宋体" w:hint="eastAsia"/>
          <w:b/>
          <w:bCs/>
          <w:color w:val="4B4B4B"/>
          <w:kern w:val="0"/>
          <w:sz w:val="24"/>
          <w:szCs w:val="24"/>
        </w:rPr>
        <w:t>高等学校预防与处理学术不端行为办法</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b/>
          <w:bCs/>
          <w:color w:val="4B4B4B"/>
          <w:kern w:val="0"/>
          <w:sz w:val="24"/>
          <w:szCs w:val="24"/>
        </w:rPr>
        <w:t xml:space="preserve">　　第一章　总则</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第一条　为有效预防和严肃查处高等学校发生的学术不端行为，维护学术诚信，促进学术创新和发展，根据《中华人民共和国高等教育法》《中华人民共和国科学技术进步法》《中华人民共和国学位条例》等法律法规，制定本办法。</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第二条　本办法所称学术不端行为是指高等学校及其教学科研人员、管理人员和学生，在科学研究及相关活动中发生的违反公认的学术准则、违背学术诚信的行为。</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第三条　高等学校预防与处理学术不端行为应坚持预防为主、教育与惩戒结合的原则。</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第四条　教育部、国务院有关部门和省级教育部门负责制定高等学校学风建设的宏观政策，指导和监督高等学校学风建设工作，建立健全对所主管高等学校重大学术不端行为的处理机制，建立高校学术不端行为的通报与相关信息公开制度。</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第五条　高等学校是学术不端行为预防与处理的主体。高等学校应当建设集教育、预防、监督、惩治于一体的学术诚信体系，建立由主要负责人领导的学风建设工作机制，明确职责分工；依据本办法完善本校学术不端行为预防与处理的规则与程序。</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高等学校应当充分发挥学术委员会在学风建设方面的作用，支持和保障学术委员会依法履行职责，调查、认定学术不端行为。</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第二章　教育与预防</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第六条　高等学校应当完善学术治理体系，建立科学公正的学术评价和学术发展制度，营造鼓励创新、宽容失败、不骄不躁、风清气正的学术环境。</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高等学校教学科研人员、管理人员、学生在科研活动中应当遵循实事求是的科学精神和严谨认真的治学态度，恪守学术诚信，遵循学术准则，尊重和保护他人知识产权等合法权益。</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第七条　高等学校应当将学术规范和学术诚信教育，作为教师培训和学生教育的必要内容，以多种形式开展教育、培训。</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教师对其指导的学生应当进行学术规范、学术诚信教育和指导，对学生公开发表论文、研究和撰写学位论文是否符合学术规范、学术诚信要求，进行必要的检查与审核。</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第八条　高等学校应当利用信息技术等手段，建立对学术成果、学位论文所涉及内容的知识产权查询制度，健全学术规范监督机制。</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第九条　高等学校应当建立健全科研管理制度，在合理期限内保存研究的原始数据和资料，保证科研档案和数据的真实性、完整性。</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高等学校应当完善科研项目评审、学术成果鉴定程序，结合学科特点，对非涉密的科研项目申报材料、学术成果的基本信息以适当方式进行公开。</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第十条　高等学校应当遵循学术研究规律，建立科学的学术水平考核评价标准、办法，引导教学科研人员和学生潜心研究，形成具有创新性、独创性的研究成果。</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第十一条　高等学校应当建立教学科研人员学术诚信记录，在年度考核、职称评定、岗位聘用、课题立项、人才计划、评优奖励中强化学术诚信考核。</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第三章　受理与调查</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第十二条　高等学校应当明确具体部门，负责受理社会组织、个人对本校教学科研人员、管理人员及学生学术不端行为的举报；有条件的，可以设立专门岗位或者指定专人，负责学术诚信和不端行为举报相关事宜的咨询、受理、调查等工作。</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第十三条　对学术不端行为的举报，一般应当以书面方式实名提出，并符合下列条件：</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（一）有明确的举报对象；</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（二）有实施学术不端行为的事实；</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（三）有客观的证据材料或者查证线索。</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以匿名方式举报，但事实清楚、证据充分或者线索明确的，高等学校应当视情况予以受理。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第十四条　高等学校对媒体公开报道、其他学术机构或者社会组织主动披露的涉及本校人员的学术不端行为，应当依据职权，主动进行调查处理。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第十五条　高等学校受理机构认为举报材料符合条件的，应当及时作出受理决定，并通知举报人。不予受理的，应当书面说明理由。</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第十六条　学术不端行为举报受理后，应当交由学校学术委员会按照相关程序组织开展调查。</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学术委员会可委托有关专家就举报内容的合理性、调查的可能性等进行初步审查，并作出是否进入正式调查的决定。</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决定不进入正式调查的，应当告知举报人。举报人如有新的证据，可以提出异议。异议成立的，应当进入正式调查。</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第十七条　高等学校学术委员会决定进入正式调查的，应当通知被举报人。</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被调查行为涉及资助项目的，可以同时通知项目资助方。</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第十八条　高等学校学术委员会应当组成调查组，负责对被举报行为进行调查；但对事实清楚、证据确凿、情节简单的被举报行为，也可以采用简易调查程序，具体办法由学术委员会确定。</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调查组应当不少于３人，必要时应当包括学校纪检、监察机构指派的工作人员，可以邀请同行专家参与调查或者以咨询等方式提供学术判断。</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被调查行为涉及资助项目的，可以邀请项目资助方委派相关专业人员参与调查组。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第十九条　调查组的组成人员与举报人或者被举报人有合作研究、亲属或者导师学生等直接利害关系的，应当回避。</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第二十条　调查可通过查询资料、现场查看、实验检验、询问证人、询问举报人和被举报人等方式进行。调查组认为有必要的，可以委托无利害关系的专家或者第三方专业机构就有关事项进行独立调查或者验证。</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第二十一条　调查组在调查过程中，应当认真听取被举报人的陈述、申辩，对有关事实、理由和证据进行核实；认为必要的，可以采取听证方式。</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第二十二条　有关单位和个人应当为调查组开展工作提供必要的便利和协助。</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举报人、被举报人、证人及其他有关人员应当如实回答询问，配合调查，提供相关证据材料，不得隐瞒或者提供虚假信息。</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第二十三条　调查过程中，出现知识产权等争议引发的法律纠纷的，且该争议可能影响行为定性的，应当中止调查，待争议解决后重启调查。</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第二十四条　调查组应当在查清事实的基础上形成调查报告。调查报告应当包括学术不端行为责任人的确认、调查过程、事实认定及理由、调查结论等。</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学术不端行为由多人集体做出的，调查报告中应当区别各责任人在行为中所发挥的作用。</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第二十五条　接触举报材料和参与调查处理的人员，不得向无关人员透露举报人、被举报人个人信息及调查情况。</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第四章　认定</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第二十六条　高等学校学术委员会应当对调查组提交的调查报告进行审查；必要的，应当听取调查组的汇报。</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学术委员会可以召开全体会议或者授权专门委员会对被调查行为是否构成学术不端行为以及行为的性质、情节等作出认定结论，并依职权作出处理或建议学校作出相应处理。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第二十七条　经调查，确认被举报人在科学研究及相关活动中有下列行为之一的，应当认定为构成学术不端行为：</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（一）剽窃、抄袭、侵占他人学术成果；</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（二）篡改他人研究成果；</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（三）伪造科研数据、资料、文献、注释，或者捏造事实、编造虚假研究成果；</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（四）未参加研究或创作而在研究成果、学术论文上署名，未经他人许可而不当使用他人署名，虚构合作者共同署名，或者多人共同完成研究而在成果中未注明他人工作、贡献；</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（五）在申报课题、成果、奖励和职务评审评定、申请学位等过程中提供虚假学术信息；</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（六）买卖论文、由他人代写或者为他人代写论文；</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（七）其他根据高等学校或者有关学术组织、相关科研管理机构制定的规则，属于学术不端的行为。</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第二十八条　有学术不端行为且有下列情形之一的，应当认定为情节严重：</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（一）造成恶劣影响的；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（二）存在利益输送或者利益交换的；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（三）对举报人进行打击报复的；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（四）有组织实施学术不端行为的；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（五）多次实施学术不端行为的；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（六）其他造成严重后果或者恶劣影响的。</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第五章　处理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第二十九条　高等学校应当根据学术委员会的认定结论和处理建议，结合行为性质和情节轻重，依职权和规定程序对学术不端行为责任人作出如下处理：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（一）通报批评；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（二）终止或者撤销相关的科研项目，并在一定期限内取消申请资格；</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（三）撤销学术奖励或者荣誉称号；</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（四）辞退或解聘；</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（五）法律、法规及规章规定的其他处理措施。</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同时，可以依照有关规定，给予警告、记过、降低岗位等级或者撤职、开除等处分。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学术不端行为责任人获得有关部门、机构设立的科研项目、学术奖励或者荣誉称号等利益的，学校应当同时向有关主管部门提出处理建议。</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学生有学术不端行为的，还应当按照学生管理的相关规定，给予相应的学籍处分。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学术不端行为与获得学位有直接关联的，由学位授予单位作暂缓授予学位、不授予学位或者依法撤销学位等处理。</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第三十条　高等学校对学术不端行为作出处理决定，应当制作处理决定书，载明以下内容：</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（一）责任人的基本情况；</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（二）经查证的学术不端行为事实；</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（三）处理意见和依据；</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（四）救济途径和期限；</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（五）其他必要内容。</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第三十一条　经调查认定，不构成学术不端行为的，根据被举报人申请，高等学校应当通过一定方式为其消除影响、恢复名誉等。</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调查处理过程中，发现举报人存在捏造事实、诬告陷害等行为的，应当认定为举报不实或者虚假举报，举报人应当承担相应责任。属于本单位人员的，高等学校应当按照有关规定给予处理；不属于本单位人员的，应通报其所在单位，并提出处理建议。</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第三十二条　参与举报受理、调查和处理的人员违反保密等规定，造成不良影响的，按照有关规定给予处分或其他处理。</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第六章　复核</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第三十三条　举报人或者学术不端行为责任人对处理决定不服的，可以在收到处理决定之日起30日内，以书面形式向高等学校提出异议或者复核申请。</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异议和复核不影响处理决定的执行。</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第三十四条　高等学校收到异议或者复核申请后，应当交由学术委员会组织讨论，并于15日内作出是否受理的决定。</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决定受理的，学校或者学术委员会可以另行组织调查组或者委托第三方机构进行调查；决定不予受理的，应当书面通知当事人。</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第三十五条　当事人对复核决定不服，仍以同一事实和理由提出异议或者申请复核的，不予受理；向有关主管部门提出申诉的，按照相关规定执行。</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第七章　监督</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第三十六条　高等学校应当按年度发布学风建设工作报告，并向社会公开，接受社会监督。</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第三十七条　高等学校处理学术不端行为推诿塞责、隐瞒包庇、查处不力的，主管部门可以直接组织或者委托相关机构查处。</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第三十八条　高等学校对本校发生的学术不端行为，未能及时查处并做出公正结论，造成恶劣影响的，主管部门应当追究相关领导的责任，并进行通报。</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高等学校为获得相关利益，有组织实施学术不端行为的，主管部门调查确认后，应当撤销高等学校由此获得的相关权利、项目以及其他利益，并追究学校主要负责人、直接负责人的责任。</w:t>
      </w:r>
    </w:p>
    <w:p w:rsidR="004F6184" w:rsidRPr="004F6184" w:rsidRDefault="004F6184" w:rsidP="004F6184">
      <w:pPr>
        <w:widowControl/>
        <w:shd w:val="clear" w:color="auto" w:fill="FFFFFF"/>
        <w:spacing w:before="100" w:beforeAutospacing="1" w:after="100" w:afterAutospacing="1" w:line="480" w:lineRule="atLeast"/>
        <w:jc w:val="center"/>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w:t>
      </w:r>
      <w:r w:rsidRPr="004F6184">
        <w:rPr>
          <w:rFonts w:ascii="微软雅黑" w:eastAsia="微软雅黑" w:hAnsi="微软雅黑" w:cs="宋体" w:hint="eastAsia"/>
          <w:b/>
          <w:bCs/>
          <w:color w:val="4B4B4B"/>
          <w:kern w:val="0"/>
          <w:sz w:val="24"/>
          <w:szCs w:val="24"/>
        </w:rPr>
        <w:t>第八章　附则</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lastRenderedPageBreak/>
        <w:t xml:space="preserve">　　第三十九条　高等学校应当根据本办法，结合学校实际和学科特点，制定本校学术不端行为查处规则及处理办法，明确各类学术不端行为的惩处标准。有关规则应当经学校学术委员会和教职工代表大会讨论通过。</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第四十条　高等学校主管部门对直接受理的学术不端案件，可自行组织调查组或者指定、委托高等学校、有关机构组织调查、认定。对学术不端行为责任人的处理，根据本办法及国家有关规定执行。</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教育系统所属科研机构及其他单位有关人员学术不端行为的调查与处理，可参照本办法执行。</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第四十一条　本办法自2016年9月1日起施行。</w:t>
      </w:r>
    </w:p>
    <w:p w:rsidR="004F6184" w:rsidRPr="004F6184" w:rsidRDefault="004F6184" w:rsidP="004F6184">
      <w:pPr>
        <w:widowControl/>
        <w:shd w:val="clear" w:color="auto" w:fill="FFFFFF"/>
        <w:spacing w:before="100" w:beforeAutospacing="1" w:after="100" w:afterAutospacing="1" w:line="480" w:lineRule="atLeast"/>
        <w:jc w:val="left"/>
        <w:rPr>
          <w:rFonts w:ascii="微软雅黑" w:eastAsia="微软雅黑" w:hAnsi="微软雅黑" w:cs="宋体" w:hint="eastAsia"/>
          <w:color w:val="4B4B4B"/>
          <w:kern w:val="0"/>
          <w:sz w:val="24"/>
          <w:szCs w:val="24"/>
        </w:rPr>
      </w:pPr>
      <w:r w:rsidRPr="004F6184">
        <w:rPr>
          <w:rFonts w:ascii="微软雅黑" w:eastAsia="微软雅黑" w:hAnsi="微软雅黑" w:cs="宋体" w:hint="eastAsia"/>
          <w:color w:val="4B4B4B"/>
          <w:kern w:val="0"/>
          <w:sz w:val="24"/>
          <w:szCs w:val="24"/>
        </w:rPr>
        <w:t xml:space="preserve">　　教育部此前发布的有关规章、文件中的相关规定与本办法不一致的，以本办法为准。</w:t>
      </w:r>
    </w:p>
    <w:p w:rsidR="00292B8C" w:rsidRPr="004F6184" w:rsidRDefault="00292B8C">
      <w:pPr>
        <w:rPr>
          <w:rFonts w:hint="eastAsia"/>
        </w:rPr>
      </w:pPr>
    </w:p>
    <w:sectPr w:rsidR="00292B8C" w:rsidRPr="004F61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B8C" w:rsidRDefault="00292B8C" w:rsidP="004F6184">
      <w:r>
        <w:separator/>
      </w:r>
    </w:p>
  </w:endnote>
  <w:endnote w:type="continuationSeparator" w:id="1">
    <w:p w:rsidR="00292B8C" w:rsidRDefault="00292B8C" w:rsidP="004F61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B8C" w:rsidRDefault="00292B8C" w:rsidP="004F6184">
      <w:r>
        <w:separator/>
      </w:r>
    </w:p>
  </w:footnote>
  <w:footnote w:type="continuationSeparator" w:id="1">
    <w:p w:rsidR="00292B8C" w:rsidRDefault="00292B8C" w:rsidP="004F61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6184"/>
    <w:rsid w:val="00292B8C"/>
    <w:rsid w:val="004F61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61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6184"/>
    <w:rPr>
      <w:sz w:val="18"/>
      <w:szCs w:val="18"/>
    </w:rPr>
  </w:style>
  <w:style w:type="paragraph" w:styleId="a4">
    <w:name w:val="footer"/>
    <w:basedOn w:val="a"/>
    <w:link w:val="Char0"/>
    <w:uiPriority w:val="99"/>
    <w:semiHidden/>
    <w:unhideWhenUsed/>
    <w:rsid w:val="004F61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6184"/>
    <w:rPr>
      <w:sz w:val="18"/>
      <w:szCs w:val="18"/>
    </w:rPr>
  </w:style>
  <w:style w:type="character" w:styleId="a5">
    <w:name w:val="Strong"/>
    <w:basedOn w:val="a0"/>
    <w:uiPriority w:val="22"/>
    <w:qFormat/>
    <w:rsid w:val="004F6184"/>
    <w:rPr>
      <w:b/>
      <w:bCs/>
    </w:rPr>
  </w:style>
</w:styles>
</file>

<file path=word/webSettings.xml><?xml version="1.0" encoding="utf-8"?>
<w:webSettings xmlns:r="http://schemas.openxmlformats.org/officeDocument/2006/relationships" xmlns:w="http://schemas.openxmlformats.org/wordprocessingml/2006/main">
  <w:divs>
    <w:div w:id="1116756037">
      <w:bodyDiv w:val="1"/>
      <w:marLeft w:val="0"/>
      <w:marRight w:val="0"/>
      <w:marTop w:val="0"/>
      <w:marBottom w:val="0"/>
      <w:divBdr>
        <w:top w:val="none" w:sz="0" w:space="0" w:color="auto"/>
        <w:left w:val="none" w:sz="0" w:space="0" w:color="auto"/>
        <w:bottom w:val="none" w:sz="0" w:space="0" w:color="auto"/>
        <w:right w:val="none" w:sz="0" w:space="0" w:color="auto"/>
      </w:divBdr>
      <w:divsChild>
        <w:div w:id="402988586">
          <w:marLeft w:val="0"/>
          <w:marRight w:val="0"/>
          <w:marTop w:val="0"/>
          <w:marBottom w:val="0"/>
          <w:divBdr>
            <w:top w:val="none" w:sz="0" w:space="0" w:color="auto"/>
            <w:left w:val="none" w:sz="0" w:space="0" w:color="auto"/>
            <w:bottom w:val="none" w:sz="0" w:space="0" w:color="auto"/>
            <w:right w:val="none" w:sz="0" w:space="0" w:color="auto"/>
          </w:divBdr>
          <w:divsChild>
            <w:div w:id="486480428">
              <w:marLeft w:val="0"/>
              <w:marRight w:val="0"/>
              <w:marTop w:val="0"/>
              <w:marBottom w:val="0"/>
              <w:divBdr>
                <w:top w:val="single" w:sz="6" w:space="31" w:color="BCBCBC"/>
                <w:left w:val="single" w:sz="6" w:space="31" w:color="BCBCBC"/>
                <w:bottom w:val="single" w:sz="6" w:space="15" w:color="BCBCBC"/>
                <w:right w:val="single" w:sz="6" w:space="31" w:color="BCBCBC"/>
              </w:divBdr>
              <w:divsChild>
                <w:div w:id="206962689">
                  <w:marLeft w:val="0"/>
                  <w:marRight w:val="0"/>
                  <w:marTop w:val="0"/>
                  <w:marBottom w:val="0"/>
                  <w:divBdr>
                    <w:top w:val="none" w:sz="0" w:space="0" w:color="auto"/>
                    <w:left w:val="none" w:sz="0" w:space="0" w:color="auto"/>
                    <w:bottom w:val="none" w:sz="0" w:space="0" w:color="auto"/>
                    <w:right w:val="none" w:sz="0" w:space="0" w:color="auto"/>
                  </w:divBdr>
                  <w:divsChild>
                    <w:div w:id="161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697</Words>
  <Characters>3973</Characters>
  <Application>Microsoft Office Word</Application>
  <DocSecurity>0</DocSecurity>
  <Lines>33</Lines>
  <Paragraphs>9</Paragraphs>
  <ScaleCrop>false</ScaleCrop>
  <Company>China</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肖铮</cp:lastModifiedBy>
  <cp:revision>2</cp:revision>
  <dcterms:created xsi:type="dcterms:W3CDTF">2017-09-28T02:05:00Z</dcterms:created>
  <dcterms:modified xsi:type="dcterms:W3CDTF">2017-09-28T02:05:00Z</dcterms:modified>
</cp:coreProperties>
</file>