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F5496"/>
          <w:sz w:val="32"/>
          <w:szCs w:val="32"/>
        </w:rPr>
        <w:t xml:space="preserve">Melbourne Housing Buy vs Rent Analytics</w:t>
      </w:r>
    </w:p>
    <w:p>
      <w:pPr>
        <w:spacing w:after="260"/>
      </w:pPr>
      <w:r>
        <w:rPr>
          <w:b/>
          <w:bCs/>
          <w:color w:val="2F5496"/>
          <w:sz w:val="24"/>
          <w:szCs w:val="24"/>
        </w:rPr>
        <w:t xml:space="preserve">Power BI Production Build - Step-by-Step Guide</w:t>
      </w:r>
    </w:p>
    <w:p>
      <w:pPr>
        <w:pStyle w:val="Heading1"/>
        <w:spacing w:after="150" w:before="320"/>
      </w:pPr>
      <w:r>
        <w:t xml:space="preserve">0. What we're building, and one decision to make upfront</w:t>
      </w:r>
    </w:p>
    <w:p>
      <w:pPr>
        <w:spacing w:after="120"/>
      </w:pPr>
      <w:r>
        <w:t xml:space="preserve">The production dashboard will mirror the HTML prototype and Canva mockups exactly: a summary page with 4 clickable preview panels, dedicated pages for the Quadrant, Cluster, Before/After Testing and Suburb Table views, and a drill-through suburb detail page.</w:t>
      </w:r>
    </w:p>
    <w:p>
      <w:pPr>
        <w:spacing w:after="120"/>
      </w:pPr>
      <w:r>
        <w:t xml:space="preserve">One thing to decide before you start building: Power BI (via Power Query/M and DAX) cannot natively reproduce k-means clustering or a paired t-test the way Python and SAS Studio can. Rather than trying to force that logic into DAX, the recommended approach - and the one this guide sets up - is a hybrid model:</w:t>
      </w:r>
    </w:p>
    <w:p>
      <w:pPr>
        <w:pStyle w:val="ListParagraph"/>
        <w:numPr>
          <w:ilvl w:val="0"/>
          <w:numId w:val="2"/>
        </w:numPr>
        <w:spacing w:after="60"/>
      </w:pPr>
      <w:r>
        <w:t xml:space="preserve">Cluster labels, verdicts, and event test results (t-stat, p-value, significance) are computed once in Python/SAS as before, then exported as flat tables and loaded into Power BI as reference data.</w:t>
      </w:r>
    </w:p>
    <w:p>
      <w:pPr>
        <w:pStyle w:val="ListParagraph"/>
        <w:numPr>
          <w:ilvl w:val="0"/>
          <w:numId w:val="2"/>
        </w:numPr>
        <w:spacing w:after="60"/>
      </w:pPr>
      <w:r>
        <w:t xml:space="preserve">Everything a user actually interacts with in Power BI (filtering, slicing, drilling down, KPI recalculation) is fully live and native to Power BI - it is only the upstream statistical modelling that stays in Python/SAS, exactly as it already does in your current pipeline.</w:t>
      </w:r>
    </w:p>
    <w:p>
      <w:pPr>
        <w:spacing w:after="120"/>
      </w:pPr>
      <w:r>
        <w:t xml:space="preserve">This keeps Power BI doing what it's good at (interactive presentation) without trying to rebuild a statistics engine inside it, and it keeps your dashboard's numbers identical to the ones already validated in Assignment 3.</w:t>
      </w:r>
    </w:p>
    <w:p>
      <w:pPr>
        <w:pStyle w:val="Heading1"/>
        <w:spacing w:after="150" w:before="320"/>
      </w:pPr>
      <w:r>
        <w:t xml:space="preserve">1. Prepare the data files</w:t>
      </w:r>
    </w:p>
    <w:p>
      <w:pPr>
        <w:spacing w:after="120"/>
      </w:pPr>
      <w:r>
        <w:t xml:space="preserve">Six CSV files make up the full data model. Working versions built from your actual price and rent source files are provided alongside this guide - open them to see the exact structure, and use them directly to build and test the dashboard.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shd w:fill="2F5496" w:val="clear"/>
          </w:tcPr>
          <w:p>
            <w:r>
              <w:rPr>
                <w:b/>
                <w:bCs/>
                <w:color w:val="FFFFFF"/>
                <w:sz w:val="19"/>
                <w:szCs w:val="19"/>
              </w:rPr>
              <w:t xml:space="preserve">File</w:t>
            </w:r>
          </w:p>
        </w:tc>
        <w:tc>
          <w:tcPr>
            <w:tcW w:type="dxa" w:w="2600"/>
            <w:shd w:fill="2F5496" w:val="clear"/>
          </w:tcPr>
          <w:p>
            <w:r>
              <w:rPr>
                <w:b/>
                <w:bCs/>
                <w:color w:val="FFFFFF"/>
                <w:sz w:val="19"/>
                <w:szCs w:val="19"/>
              </w:rPr>
              <w:t xml:space="preserve">Grain (one row per...)</w:t>
            </w:r>
          </w:p>
        </w:tc>
        <w:tc>
          <w:tcPr>
            <w:tcW w:type="dxa" w:w="5000"/>
            <w:shd w:fill="2F5496" w:val="clear"/>
          </w:tcPr>
          <w:p>
            <w:r>
              <w:rPr>
                <w:b/>
                <w:bCs/>
                <w:color w:val="FFFFFF"/>
                <w:sz w:val="19"/>
                <w:szCs w:val="19"/>
              </w:rPr>
              <w:t xml:space="preserve">Key columns</w:t>
            </w:r>
          </w:p>
        </w:tc>
      </w:tr>
      <w:tr>
        <w:tc>
          <w:tcPr>
            <w:tcW w:type="dxa" w:w="2200"/>
          </w:tcPr>
          <w:p>
            <w:r>
              <w:rPr>
                <w:rFonts w:ascii="Consolas" w:cs="Consolas" w:eastAsia="Consolas" w:hAnsi="Consolas"/>
                <w:sz w:val="19"/>
                <w:szCs w:val="19"/>
              </w:rPr>
              <w:t xml:space="preserve">Suburbs_Master.csv</w:t>
            </w:r>
          </w:p>
        </w:tc>
        <w:tc>
          <w:tcPr>
            <w:tcW w:type="dxa" w:w="2200"/>
          </w:tcPr>
          <w:p>
            <w:r>
              <w:rPr>
                <w:sz w:val="19"/>
                <w:szCs w:val="19"/>
              </w:rPr>
              <w:t xml:space="preserve">suburb (75 rows)</w:t>
            </w:r>
          </w:p>
        </w:tc>
        <w:tc>
          <w:tcPr>
            <w:tcW w:type="dxa" w:w="2200"/>
          </w:tcPr>
          <w:p>
            <w:r>
              <w:rPr>
                <w:sz w:val="19"/>
                <w:szCs w:val="19"/>
              </w:rPr>
              <w:t xml:space="preserve">Suburb, Region, Price2024, WeeklyRentJun25, GrossYieldPct, PriceToRentRatio, GrowthPAPct, Growth10YrPct, RentVolatilityCVPct, Verdict, Cluster</w:t>
            </w:r>
          </w:p>
        </w:tc>
      </w:tr>
      <w:tr>
        <w:tc>
          <w:tcPr>
            <w:tcW w:type="dxa" w:w="2200"/>
          </w:tcPr>
          <w:p>
            <w:r>
              <w:rPr>
                <w:rFonts w:ascii="Consolas" w:cs="Consolas" w:eastAsia="Consolas" w:hAnsi="Consolas"/>
                <w:sz w:val="19"/>
                <w:szCs w:val="19"/>
              </w:rPr>
              <w:t xml:space="preserve">Quarterly_Rent.csv</w:t>
            </w:r>
          </w:p>
        </w:tc>
        <w:tc>
          <w:tcPr>
            <w:tcW w:type="dxa" w:w="2200"/>
          </w:tcPr>
          <w:p>
            <w:r>
              <w:rPr>
                <w:sz w:val="19"/>
                <w:szCs w:val="19"/>
              </w:rPr>
              <w:t xml:space="preserve">suburb x quarter</w:t>
            </w:r>
          </w:p>
        </w:tc>
        <w:tc>
          <w:tcPr>
            <w:tcW w:type="dxa" w:w="2200"/>
          </w:tcPr>
          <w:p>
            <w:r>
              <w:rPr>
                <w:sz w:val="19"/>
                <w:szCs w:val="19"/>
              </w:rPr>
              <w:t xml:space="preserve">Suburb, Quarter, QuarterDate, WeeklyRent</w:t>
            </w:r>
          </w:p>
        </w:tc>
      </w:tr>
      <w:tr>
        <w:tc>
          <w:tcPr>
            <w:tcW w:type="dxa" w:w="2200"/>
          </w:tcPr>
          <w:p>
            <w:r>
              <w:rPr>
                <w:rFonts w:ascii="Consolas" w:cs="Consolas" w:eastAsia="Consolas" w:hAnsi="Consolas"/>
                <w:sz w:val="19"/>
                <w:szCs w:val="19"/>
              </w:rPr>
              <w:t xml:space="preserve">Cash_Rate.csv</w:t>
            </w:r>
          </w:p>
        </w:tc>
        <w:tc>
          <w:tcPr>
            <w:tcW w:type="dxa" w:w="2200"/>
          </w:tcPr>
          <w:p>
            <w:r>
              <w:rPr>
                <w:sz w:val="19"/>
                <w:szCs w:val="19"/>
              </w:rPr>
              <w:t xml:space="preserve">quarter (22 rows)</w:t>
            </w:r>
          </w:p>
        </w:tc>
        <w:tc>
          <w:tcPr>
            <w:tcW w:type="dxa" w:w="2200"/>
          </w:tcPr>
          <w:p>
            <w:r>
              <w:rPr>
                <w:sz w:val="19"/>
                <w:szCs w:val="19"/>
              </w:rPr>
              <w:t xml:space="preserve">Quarter, QuarterDate, CashRatePct</w:t>
            </w:r>
          </w:p>
        </w:tc>
      </w:tr>
      <w:tr>
        <w:tc>
          <w:tcPr>
            <w:tcW w:type="dxa" w:w="2200"/>
          </w:tcPr>
          <w:p>
            <w:r>
              <w:rPr>
                <w:rFonts w:ascii="Consolas" w:cs="Consolas" w:eastAsia="Consolas" w:hAnsi="Consolas"/>
                <w:sz w:val="19"/>
                <w:szCs w:val="19"/>
              </w:rPr>
              <w:t xml:space="preserve">Quarters_Dim.csv</w:t>
            </w:r>
          </w:p>
        </w:tc>
        <w:tc>
          <w:tcPr>
            <w:tcW w:type="dxa" w:w="2200"/>
          </w:tcPr>
          <w:p>
            <w:r>
              <w:rPr>
                <w:sz w:val="19"/>
                <w:szCs w:val="19"/>
              </w:rPr>
              <w:t xml:space="preserve">quarter (22 rows)</w:t>
            </w:r>
          </w:p>
        </w:tc>
        <w:tc>
          <w:tcPr>
            <w:tcW w:type="dxa" w:w="2200"/>
          </w:tcPr>
          <w:p>
            <w:r>
              <w:rPr>
                <w:sz w:val="19"/>
                <w:szCs w:val="19"/>
              </w:rPr>
              <w:t xml:space="preserve">Quarter, QuarterDate, Year, QuarterNum, QuarterIndex</w:t>
            </w:r>
          </w:p>
        </w:tc>
      </w:tr>
      <w:tr>
        <w:tc>
          <w:tcPr>
            <w:tcW w:type="dxa" w:w="2200"/>
          </w:tcPr>
          <w:p>
            <w:r>
              <w:rPr>
                <w:rFonts w:ascii="Consolas" w:cs="Consolas" w:eastAsia="Consolas" w:hAnsi="Consolas"/>
                <w:sz w:val="19"/>
                <w:szCs w:val="19"/>
              </w:rPr>
              <w:t xml:space="preserve">Event_Results.csv</w:t>
            </w:r>
          </w:p>
        </w:tc>
        <w:tc>
          <w:tcPr>
            <w:tcW w:type="dxa" w:w="2200"/>
          </w:tcPr>
          <w:p>
            <w:r>
              <w:rPr>
                <w:sz w:val="19"/>
                <w:szCs w:val="19"/>
              </w:rPr>
              <w:t xml:space="preserve">event (6 rows)</w:t>
            </w:r>
          </w:p>
        </w:tc>
        <w:tc>
          <w:tcPr>
            <w:tcW w:type="dxa" w:w="2200"/>
          </w:tcPr>
          <w:p>
            <w:r>
              <w:rPr>
                <w:sz w:val="19"/>
                <w:szCs w:val="19"/>
              </w:rPr>
              <w:t xml:space="preserve">Event, AnnounceDate, EventQuarter, MeanRentDiff, TStat, PValue, N, Significance</w:t>
            </w:r>
          </w:p>
        </w:tc>
      </w:tr>
      <w:tr>
        <w:tc>
          <w:tcPr>
            <w:tcW w:type="dxa" w:w="2200"/>
          </w:tcPr>
          <w:p>
            <w:r>
              <w:rPr>
                <w:rFonts w:ascii="Consolas" w:cs="Consolas" w:eastAsia="Consolas" w:hAnsi="Consolas"/>
                <w:sz w:val="19"/>
                <w:szCs w:val="19"/>
              </w:rPr>
              <w:t xml:space="preserve">Event_Suburb_Pairs.csv</w:t>
            </w:r>
          </w:p>
        </w:tc>
        <w:tc>
          <w:tcPr>
            <w:tcW w:type="dxa" w:w="2200"/>
          </w:tcPr>
          <w:p>
            <w:r>
              <w:rPr>
                <w:sz w:val="19"/>
                <w:szCs w:val="19"/>
              </w:rPr>
              <w:t xml:space="preserve">suburb x event (450 rows)</w:t>
            </w:r>
          </w:p>
        </w:tc>
        <w:tc>
          <w:tcPr>
            <w:tcW w:type="dxa" w:w="2200"/>
          </w:tcPr>
          <w:p>
            <w:r>
              <w:rPr>
                <w:sz w:val="19"/>
                <w:szCs w:val="19"/>
              </w:rPr>
              <w:t xml:space="preserve">Event, Suburb, PreRent, PostRent, Diff</w:t>
            </w:r>
          </w:p>
        </w:tc>
      </w:tr>
    </w:tbl>
    <w:p>
      <w:pPr>
        <w:spacing w:after="120"/>
      </w:pPr>
      <w:r>
        <w:t xml:space="preserve">Important: swap in your team's official Google Colab exports for Suburbs_Master.csv, Event_Results.csv and Event_Suburb_Pairs.csv before final submission. The versions provided here are independently reconstructed using the same methodology described in your report (percentile verdict ranking, k-means k=4, paired t-test on 4-quarter windows) and 5 of the 6 event t-statistics match your validated Assignment 3 figures exactly - but the COVID-19 event and the exact cluster sizes may differ slightly from your team's numbers, since k-means results can shift with small differences in preprocessing, and this file was built independently rather than exported from your actual notebook. Treat these as a working starting point, not a replacement for your validated output.</w:t>
      </w:r>
    </w:p>
    <w:p>
      <w:pPr>
        <w:pStyle w:val="Heading1"/>
        <w:spacing w:after="150" w:before="320"/>
      </w:pPr>
      <w:r>
        <w:t xml:space="preserve">2. Import into Power BI Desktop</w:t>
      </w:r>
    </w:p>
    <w:p>
      <w:pPr>
        <w:pStyle w:val="ListParagraph"/>
        <w:numPr>
          <w:ilvl w:val="0"/>
          <w:numId w:val="3"/>
        </w:numPr>
        <w:spacing w:after="80"/>
      </w:pPr>
      <w:r>
        <w:t xml:space="preserve">Open Power BI Desktop → Home → Get Data → Text/CSV.</w:t>
      </w:r>
    </w:p>
    <w:p>
      <w:pPr>
        <w:pStyle w:val="ListParagraph"/>
        <w:numPr>
          <w:ilvl w:val="0"/>
          <w:numId w:val="3"/>
        </w:numPr>
        <w:spacing w:after="80"/>
      </w:pPr>
      <w:r>
        <w:t xml:space="preserve">Select Suburbs_Master.csv → Load (or Transform Data first if you want to rename columns).</w:t>
      </w:r>
    </w:p>
    <w:p>
      <w:pPr>
        <w:pStyle w:val="ListParagraph"/>
        <w:numPr>
          <w:ilvl w:val="0"/>
          <w:numId w:val="3"/>
        </w:numPr>
        <w:spacing w:after="80"/>
      </w:pPr>
      <w:r>
        <w:t xml:space="preserve">Repeat for all 6 files: Quarterly_Rent.csv, Cash_Rate.csv, Quarters_Dim.csv, Event_Results.csv, Event_Suburb_Pairs.csv.</w:t>
      </w:r>
    </w:p>
    <w:p>
      <w:pPr>
        <w:pStyle w:val="ListParagraph"/>
        <w:numPr>
          <w:ilvl w:val="0"/>
          <w:numId w:val="3"/>
        </w:numPr>
        <w:spacing w:after="80"/>
      </w:pPr>
      <w:r>
        <w:t xml:space="preserve">In Power Query Editor, check each table's column data types: QuarterDate columns should be Date, numeric columns (Price2024, WeeklyRent, TStat, etc.) should be Decimal Number or Whole Number, not Text - Power BI sometimes guesses these wrong on import.</w:t>
      </w:r>
    </w:p>
    <w:p>
      <w:pPr>
        <w:pStyle w:val="ListParagraph"/>
        <w:numPr>
          <w:ilvl w:val="0"/>
          <w:numId w:val="3"/>
        </w:numPr>
        <w:spacing w:after="80"/>
      </w:pPr>
      <w:r>
        <w:t xml:space="preserve">Home → Close &amp; Apply to load all 6 tables into the data model.</w:t>
      </w:r>
    </w:p>
    <w:p>
      <w:pPr>
        <w:pStyle w:val="Heading1"/>
        <w:spacing w:after="150" w:before="320"/>
      </w:pPr>
      <w:r>
        <w:t xml:space="preserve">3. Build the data model (the "linking" step)</w:t>
      </w:r>
    </w:p>
    <w:p>
      <w:pPr>
        <w:spacing w:after="120"/>
      </w:pPr>
      <w:r>
        <w:t xml:space="preserve">This is the star-schema relationship structure that makes every visual filter every other visual correctly. Go to the Model view (left-hand icon column) and draw these relationships by dragging from one column to the other: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shd w:fill="2F5496" w:val="clear"/>
          </w:tcPr>
          <w:p>
            <w:r>
              <w:rPr>
                <w:b/>
                <w:bCs/>
                <w:color w:val="FFFFFF"/>
                <w:sz w:val="19"/>
                <w:szCs w:val="19"/>
              </w:rPr>
              <w:t xml:space="preserve">From table</w:t>
            </w:r>
          </w:p>
        </w:tc>
        <w:tc>
          <w:tcPr>
            <w:tcW w:type="dxa" w:w="2600"/>
            <w:shd w:fill="2F5496" w:val="clear"/>
          </w:tcPr>
          <w:p>
            <w:r>
              <w:rPr>
                <w:b/>
                <w:bCs/>
                <w:color w:val="FFFFFF"/>
                <w:sz w:val="19"/>
                <w:szCs w:val="19"/>
              </w:rPr>
              <w:t xml:space="preserve">To table</w:t>
            </w:r>
          </w:p>
        </w:tc>
        <w:tc>
          <w:tcPr>
            <w:tcW w:type="dxa" w:w="2200"/>
            <w:shd w:fill="2F5496" w:val="clear"/>
          </w:tcPr>
          <w:p>
            <w:r>
              <w:rPr>
                <w:b/>
                <w:bCs/>
                <w:color w:val="FFFFFF"/>
                <w:sz w:val="19"/>
                <w:szCs w:val="19"/>
              </w:rPr>
              <w:t xml:space="preserve">On column</w:t>
            </w:r>
          </w:p>
        </w:tc>
        <w:tc>
          <w:tcPr>
            <w:tcW w:type="dxa" w:w="2600"/>
            <w:shd w:fill="2F5496" w:val="clear"/>
          </w:tcPr>
          <w:p>
            <w:r>
              <w:rPr>
                <w:b/>
                <w:bCs/>
                <w:color w:val="FFFFFF"/>
                <w:sz w:val="19"/>
                <w:szCs w:val="19"/>
              </w:rPr>
              <w:t xml:space="preserve">Cardinality</w:t>
            </w:r>
          </w:p>
        </w:tc>
      </w:tr>
      <w:tr>
        <w:tc>
          <w:tcPr>
            <w:tcW w:type="dxa" w:w="2200"/>
          </w:tcPr>
          <w:p>
            <w:r>
              <w:rPr>
                <w:sz w:val="19"/>
                <w:szCs w:val="19"/>
              </w:rPr>
              <w:t xml:space="preserve">Quarterly_Rent</w:t>
            </w:r>
          </w:p>
        </w:tc>
        <w:tc>
          <w:tcPr>
            <w:tcW w:type="dxa" w:w="2200"/>
          </w:tcPr>
          <w:p>
            <w:r>
              <w:rPr>
                <w:sz w:val="19"/>
                <w:szCs w:val="19"/>
              </w:rPr>
              <w:t xml:space="preserve">Suburbs_Master</w:t>
            </w:r>
          </w:p>
        </w:tc>
        <w:tc>
          <w:tcPr>
            <w:tcW w:type="dxa" w:w="2200"/>
          </w:tcPr>
          <w:p>
            <w:r>
              <w:rPr>
                <w:sz w:val="19"/>
                <w:szCs w:val="19"/>
              </w:rPr>
              <w:t xml:space="preserve">Suburb</w:t>
            </w:r>
          </w:p>
        </w:tc>
        <w:tc>
          <w:tcPr>
            <w:tcW w:type="dxa" w:w="2200"/>
          </w:tcPr>
          <w:p>
            <w:r>
              <w:rPr>
                <w:sz w:val="19"/>
                <w:szCs w:val="19"/>
              </w:rPr>
              <w:t xml:space="preserve">Many-to-one, single direction</w:t>
            </w:r>
          </w:p>
        </w:tc>
      </w:tr>
      <w:tr>
        <w:tc>
          <w:tcPr>
            <w:tcW w:type="dxa" w:w="2200"/>
          </w:tcPr>
          <w:p>
            <w:r>
              <w:rPr>
                <w:sz w:val="19"/>
                <w:szCs w:val="19"/>
              </w:rPr>
              <w:t xml:space="preserve">Quarterly_Rent</w:t>
            </w:r>
          </w:p>
        </w:tc>
        <w:tc>
          <w:tcPr>
            <w:tcW w:type="dxa" w:w="2200"/>
          </w:tcPr>
          <w:p>
            <w:r>
              <w:rPr>
                <w:sz w:val="19"/>
                <w:szCs w:val="19"/>
              </w:rPr>
              <w:t xml:space="preserve">Quarters_Dim</w:t>
            </w:r>
          </w:p>
        </w:tc>
        <w:tc>
          <w:tcPr>
            <w:tcW w:type="dxa" w:w="2200"/>
          </w:tcPr>
          <w:p>
            <w:r>
              <w:rPr>
                <w:sz w:val="19"/>
                <w:szCs w:val="19"/>
              </w:rPr>
              <w:t xml:space="preserve">QuarterDate</w:t>
            </w:r>
          </w:p>
        </w:tc>
        <w:tc>
          <w:tcPr>
            <w:tcW w:type="dxa" w:w="2200"/>
          </w:tcPr>
          <w:p>
            <w:r>
              <w:rPr>
                <w:sz w:val="19"/>
                <w:szCs w:val="19"/>
              </w:rPr>
              <w:t xml:space="preserve">Many-to-one, single direction</w:t>
            </w:r>
          </w:p>
        </w:tc>
      </w:tr>
      <w:tr>
        <w:tc>
          <w:tcPr>
            <w:tcW w:type="dxa" w:w="2200"/>
          </w:tcPr>
          <w:p>
            <w:r>
              <w:rPr>
                <w:sz w:val="19"/>
                <w:szCs w:val="19"/>
              </w:rPr>
              <w:t xml:space="preserve">Cash_Rate</w:t>
            </w:r>
          </w:p>
        </w:tc>
        <w:tc>
          <w:tcPr>
            <w:tcW w:type="dxa" w:w="2200"/>
          </w:tcPr>
          <w:p>
            <w:r>
              <w:rPr>
                <w:sz w:val="19"/>
                <w:szCs w:val="19"/>
              </w:rPr>
              <w:t xml:space="preserve">Quarters_Dim</w:t>
            </w:r>
          </w:p>
        </w:tc>
        <w:tc>
          <w:tcPr>
            <w:tcW w:type="dxa" w:w="2200"/>
          </w:tcPr>
          <w:p>
            <w:r>
              <w:rPr>
                <w:sz w:val="19"/>
                <w:szCs w:val="19"/>
              </w:rPr>
              <w:t xml:space="preserve">QuarterDate</w:t>
            </w:r>
          </w:p>
        </w:tc>
        <w:tc>
          <w:tcPr>
            <w:tcW w:type="dxa" w:w="2200"/>
          </w:tcPr>
          <w:p>
            <w:r>
              <w:rPr>
                <w:sz w:val="19"/>
                <w:szCs w:val="19"/>
              </w:rPr>
              <w:t xml:space="preserve">One-to-one (or many-to-one), single direction</w:t>
            </w:r>
          </w:p>
        </w:tc>
      </w:tr>
      <w:tr>
        <w:tc>
          <w:tcPr>
            <w:tcW w:type="dxa" w:w="2200"/>
          </w:tcPr>
          <w:p>
            <w:r>
              <w:rPr>
                <w:sz w:val="19"/>
                <w:szCs w:val="19"/>
              </w:rPr>
              <w:t xml:space="preserve">Event_Suburb_Pairs</w:t>
            </w:r>
          </w:p>
        </w:tc>
        <w:tc>
          <w:tcPr>
            <w:tcW w:type="dxa" w:w="2200"/>
          </w:tcPr>
          <w:p>
            <w:r>
              <w:rPr>
                <w:sz w:val="19"/>
                <w:szCs w:val="19"/>
              </w:rPr>
              <w:t xml:space="preserve">Suburbs_Master</w:t>
            </w:r>
          </w:p>
        </w:tc>
        <w:tc>
          <w:tcPr>
            <w:tcW w:type="dxa" w:w="2200"/>
          </w:tcPr>
          <w:p>
            <w:r>
              <w:rPr>
                <w:sz w:val="19"/>
                <w:szCs w:val="19"/>
              </w:rPr>
              <w:t xml:space="preserve">Suburb</w:t>
            </w:r>
          </w:p>
        </w:tc>
        <w:tc>
          <w:tcPr>
            <w:tcW w:type="dxa" w:w="2200"/>
          </w:tcPr>
          <w:p>
            <w:r>
              <w:rPr>
                <w:sz w:val="19"/>
                <w:szCs w:val="19"/>
              </w:rPr>
              <w:t xml:space="preserve">Many-to-one, single direction</w:t>
            </w:r>
          </w:p>
        </w:tc>
      </w:tr>
      <w:tr>
        <w:tc>
          <w:tcPr>
            <w:tcW w:type="dxa" w:w="2200"/>
          </w:tcPr>
          <w:p>
            <w:r>
              <w:rPr>
                <w:sz w:val="19"/>
                <w:szCs w:val="19"/>
              </w:rPr>
              <w:t xml:space="preserve">Event_Suburb_Pairs</w:t>
            </w:r>
          </w:p>
        </w:tc>
        <w:tc>
          <w:tcPr>
            <w:tcW w:type="dxa" w:w="2200"/>
          </w:tcPr>
          <w:p>
            <w:r>
              <w:rPr>
                <w:sz w:val="19"/>
                <w:szCs w:val="19"/>
              </w:rPr>
              <w:t xml:space="preserve">Event_Results</w:t>
            </w:r>
          </w:p>
        </w:tc>
        <w:tc>
          <w:tcPr>
            <w:tcW w:type="dxa" w:w="2200"/>
          </w:tcPr>
          <w:p>
            <w:r>
              <w:rPr>
                <w:sz w:val="19"/>
                <w:szCs w:val="19"/>
              </w:rPr>
              <w:t xml:space="preserve">Event</w:t>
            </w:r>
          </w:p>
        </w:tc>
        <w:tc>
          <w:tcPr>
            <w:tcW w:type="dxa" w:w="2200"/>
          </w:tcPr>
          <w:p>
            <w:r>
              <w:rPr>
                <w:sz w:val="19"/>
                <w:szCs w:val="19"/>
              </w:rPr>
              <w:t xml:space="preserve">Many-to-one, single direction</w:t>
            </w:r>
          </w:p>
        </w:tc>
      </w:tr>
    </w:tbl>
    <w:p>
      <w:pPr>
        <w:spacing w:after="120"/>
      </w:pPr>
      <w:r>
        <w:t xml:space="preserve">Suburbs_Master and Quarters_Dim are your two dimension tables (Suburbs_Master describes each suburb once; Quarters_Dim describes each quarter once). Quarterly_Rent, Cash_Rate, and Event_Suburb_Pairs are fact tables that reference those dimensions. Event_Results is a small standalone lookup table that Event_Suburb_Pairs links back to.</w:t>
      </w:r>
    </w:p>
    <w:p>
      <w:pPr>
        <w:spacing w:after="120"/>
      </w:pPr>
      <w:r>
        <w:t xml:space="preserve">Set every relationship to filter in a single direction (dimension → fact), not both directions - this avoids ambiguous filter paths later when you add slicers. Power BI defaults to single-direction automatically for most of these; only change it if you see a relationship behaving unexpectedly.</w:t>
      </w:r>
    </w:p>
    <w:p>
      <w:pPr>
        <w:pStyle w:val="Heading1"/>
        <w:spacing w:after="150" w:before="320"/>
      </w:pPr>
      <w:r>
        <w:t xml:space="preserve">4. Create the KPI measures</w:t>
      </w:r>
    </w:p>
    <w:p>
      <w:pPr>
        <w:spacing w:after="120"/>
      </w:pPr>
      <w:r>
        <w:t xml:space="preserve">Go to Suburbs_Master in the Fields pane → right-click → New Measure, and create these four (matching the KPI band on your prototype's summary page):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shd w:fill="2F5496" w:val="clear"/>
          </w:tcPr>
          <w:p>
            <w:r>
              <w:rPr>
                <w:b/>
                <w:bCs/>
                <w:color w:val="FFFFFF"/>
                <w:sz w:val="19"/>
                <w:szCs w:val="19"/>
              </w:rPr>
              <w:t xml:space="preserve">Measure</w:t>
            </w:r>
          </w:p>
        </w:tc>
        <w:tc>
          <w:tcPr>
            <w:tcW w:type="dxa" w:w="5200"/>
            <w:shd w:fill="2F5496" w:val="clear"/>
          </w:tcPr>
          <w:p>
            <w:r>
              <w:rPr>
                <w:b/>
                <w:bCs/>
                <w:color w:val="FFFFFF"/>
                <w:sz w:val="19"/>
                <w:szCs w:val="19"/>
              </w:rPr>
              <w:t xml:space="preserve">DAX</w:t>
            </w:r>
          </w:p>
        </w:tc>
        <w:tc>
          <w:tcPr>
            <w:tcW w:type="dxa" w:w="2200"/>
            <w:shd w:fill="2F5496" w:val="clear"/>
          </w:tcPr>
          <w:p>
            <w:r>
              <w:rPr>
                <w:b/>
                <w:bCs/>
                <w:color w:val="FFFFFF"/>
                <w:sz w:val="19"/>
                <w:szCs w:val="19"/>
              </w:rPr>
              <w:t xml:space="preserve">Used on</w:t>
            </w:r>
          </w:p>
        </w:tc>
      </w:tr>
      <w:tr>
        <w:tc>
          <w:tcPr>
            <w:tcW w:type="dxa" w:w="2200"/>
          </w:tcPr>
          <w:p>
            <w:r>
              <w:rPr>
                <w:sz w:val="19"/>
                <w:szCs w:val="19"/>
              </w:rPr>
              <w:t xml:space="preserve">Suburbs in View</w:t>
            </w:r>
          </w:p>
        </w:tc>
        <w:tc>
          <w:tcPr>
            <w:tcW w:type="dxa" w:w="2200"/>
          </w:tcPr>
          <w:p>
            <w:r>
              <w:rPr>
                <w:rFonts w:ascii="Consolas" w:cs="Consolas" w:eastAsia="Consolas" w:hAnsi="Consolas"/>
                <w:sz w:val="19"/>
                <w:szCs w:val="19"/>
              </w:rPr>
              <w:t xml:space="preserve">COUNTROWS(Suburbs_Master)</w:t>
            </w:r>
          </w:p>
        </w:tc>
        <w:tc>
          <w:tcPr>
            <w:tcW w:type="dxa" w:w="2200"/>
          </w:tcPr>
          <w:p>
            <w:r>
              <w:rPr>
                <w:sz w:val="19"/>
                <w:szCs w:val="19"/>
              </w:rPr>
              <w:t xml:space="preserve">KPI card</w:t>
            </w:r>
          </w:p>
        </w:tc>
      </w:tr>
      <w:tr>
        <w:tc>
          <w:tcPr>
            <w:tcW w:type="dxa" w:w="2200"/>
          </w:tcPr>
          <w:p>
            <w:r>
              <w:rPr>
                <w:sz w:val="19"/>
                <w:szCs w:val="19"/>
              </w:rPr>
              <w:t xml:space="preserve">Avg Price Growth</w:t>
            </w:r>
          </w:p>
        </w:tc>
        <w:tc>
          <w:tcPr>
            <w:tcW w:type="dxa" w:w="2200"/>
          </w:tcPr>
          <w:p>
            <w:r>
              <w:rPr>
                <w:rFonts w:ascii="Consolas" w:cs="Consolas" w:eastAsia="Consolas" w:hAnsi="Consolas"/>
                <w:sz w:val="19"/>
                <w:szCs w:val="19"/>
              </w:rPr>
              <w:t xml:space="preserve">AVERAGE(Suburbs_Master[GrowthPAPct])</w:t>
            </w:r>
          </w:p>
        </w:tc>
        <w:tc>
          <w:tcPr>
            <w:tcW w:type="dxa" w:w="2200"/>
          </w:tcPr>
          <w:p>
            <w:r>
              <w:rPr>
                <w:sz w:val="19"/>
                <w:szCs w:val="19"/>
              </w:rPr>
              <w:t xml:space="preserve">KPI card</w:t>
            </w:r>
          </w:p>
        </w:tc>
      </w:tr>
      <w:tr>
        <w:tc>
          <w:tcPr>
            <w:tcW w:type="dxa" w:w="2200"/>
          </w:tcPr>
          <w:p>
            <w:r>
              <w:rPr>
                <w:sz w:val="19"/>
                <w:szCs w:val="19"/>
              </w:rPr>
              <w:t xml:space="preserve">Avg Gross Yield</w:t>
            </w:r>
          </w:p>
        </w:tc>
        <w:tc>
          <w:tcPr>
            <w:tcW w:type="dxa" w:w="2200"/>
          </w:tcPr>
          <w:p>
            <w:r>
              <w:rPr>
                <w:rFonts w:ascii="Consolas" w:cs="Consolas" w:eastAsia="Consolas" w:hAnsi="Consolas"/>
                <w:sz w:val="19"/>
                <w:szCs w:val="19"/>
              </w:rPr>
              <w:t xml:space="preserve">AVERAGE(Suburbs_Master[GrossYieldPct])</w:t>
            </w:r>
          </w:p>
        </w:tc>
        <w:tc>
          <w:tcPr>
            <w:tcW w:type="dxa" w:w="2200"/>
          </w:tcPr>
          <w:p>
            <w:r>
              <w:rPr>
                <w:sz w:val="19"/>
                <w:szCs w:val="19"/>
              </w:rPr>
              <w:t xml:space="preserve">KPI card</w:t>
            </w:r>
          </w:p>
        </w:tc>
      </w:tr>
      <w:tr>
        <w:tc>
          <w:tcPr>
            <w:tcW w:type="dxa" w:w="2200"/>
          </w:tcPr>
          <w:p>
            <w:r>
              <w:rPr>
                <w:sz w:val="19"/>
                <w:szCs w:val="19"/>
              </w:rPr>
              <w:t xml:space="preserve">Median Price</w:t>
            </w:r>
          </w:p>
        </w:tc>
        <w:tc>
          <w:tcPr>
            <w:tcW w:type="dxa" w:w="2200"/>
          </w:tcPr>
          <w:p>
            <w:r>
              <w:rPr>
                <w:rFonts w:ascii="Consolas" w:cs="Consolas" w:eastAsia="Consolas" w:hAnsi="Consolas"/>
                <w:sz w:val="19"/>
                <w:szCs w:val="19"/>
              </w:rPr>
              <w:t xml:space="preserve">MEDIAN(Suburbs_Master[Price2024])</w:t>
            </w:r>
          </w:p>
        </w:tc>
        <w:tc>
          <w:tcPr>
            <w:tcW w:type="dxa" w:w="2200"/>
          </w:tcPr>
          <w:p>
            <w:r>
              <w:rPr>
                <w:sz w:val="19"/>
                <w:szCs w:val="19"/>
              </w:rPr>
              <w:t xml:space="preserve">KPI card</w:t>
            </w:r>
          </w:p>
        </w:tc>
      </w:tr>
    </w:tbl>
    <w:p>
      <w:pPr>
        <w:spacing w:after="120"/>
      </w:pPr>
      <w:r>
        <w:t xml:space="preserve">Because these are DAX measures rather than hardcoded numbers, they automatically recalculate whenever a slicer changes the visible rows - this is the live filtering behaviour your HTML prototype already has, now native to Power BI.</w:t>
      </w:r>
    </w:p>
    <w:p>
      <w:pPr>
        <w:pStyle w:val="Heading1"/>
        <w:spacing w:after="150" w:before="320"/>
      </w:pPr>
      <w:r>
        <w:t xml:space="preserve">5. Build the report pages</w:t>
      </w:r>
    </w:p>
    <w:p>
      <w:pPr>
        <w:pStyle w:val="Heading2"/>
        <w:spacing w:after="100" w:before="200"/>
      </w:pPr>
      <w:r>
        <w:t xml:space="preserve">5.1 Page 1 - Summary</w:t>
      </w:r>
    </w:p>
    <w:p>
      <w:pPr>
        <w:pStyle w:val="ListParagraph"/>
        <w:numPr>
          <w:ilvl w:val="0"/>
          <w:numId w:val="2"/>
        </w:numPr>
        <w:spacing w:after="60"/>
      </w:pPr>
      <w:r>
        <w:t xml:space="preserve">Add 4 Card visuals across the top using the 4 measures from Section 4.</w:t>
      </w:r>
    </w:p>
    <w:p>
      <w:pPr>
        <w:pStyle w:val="ListParagraph"/>
        <w:numPr>
          <w:ilvl w:val="0"/>
          <w:numId w:val="2"/>
        </w:numPr>
        <w:spacing w:after="60"/>
      </w:pPr>
      <w:r>
        <w:t xml:space="preserve">Add slicers for Region, Cluster, and Verdict (drag each field from Suburbs_Master onto a Slicer visual; set Slicer style to “Dropdown” to match the prototype's sidebar look).</w:t>
      </w:r>
    </w:p>
    <w:p>
      <w:pPr>
        <w:pStyle w:val="ListParagraph"/>
        <w:numPr>
          <w:ilvl w:val="0"/>
          <w:numId w:val="2"/>
        </w:numPr>
        <w:spacing w:after="60"/>
      </w:pPr>
      <w:r>
        <w:t xml:space="preserve">Add a Slicer for Suburb using search-enabled text filtering (Format → General → turn on “Search box”).</w:t>
      </w:r>
    </w:p>
    <w:p>
      <w:pPr>
        <w:pStyle w:val="ListParagraph"/>
        <w:numPr>
          <w:ilvl w:val="0"/>
          <w:numId w:val="2"/>
        </w:numPr>
        <w:spacing w:after="60"/>
      </w:pPr>
      <w:r>
        <w:t xml:space="preserve">Add 4 chart tiles: a horizontal Bar Chart (Top 10/Bottom 10 by GrowthPAPct), a Line Chart (WeeklyRent and CashRatePct by QuarterDate, dual axis), a Scatter Chart (GrowthPAPct vs GrossYieldPct, coloured by Verdict), and a Clustered Column Chart (count of suburbs by Cluster).</w:t>
      </w:r>
    </w:p>
    <w:p>
      <w:pPr>
        <w:pStyle w:val="ListParagraph"/>
        <w:numPr>
          <w:ilvl w:val="0"/>
          <w:numId w:val="2"/>
        </w:numPr>
        <w:spacing w:after="60"/>
      </w:pPr>
      <w:r>
        <w:t xml:space="preserve">To make each tile “click to view full page” like the HTML prototype: create the full-size version of that chart on its own page (Section 5.2), then on the summary page tile, Format → Action → Type: Page navigation → Destination: that page. This makes the whole visual clickable in Reading View / when published.</w:t>
      </w:r>
    </w:p>
    <w:p>
      <w:pPr>
        <w:pStyle w:val="Heading2"/>
        <w:spacing w:after="100" w:before="200"/>
      </w:pPr>
      <w:r>
        <w:t xml:space="preserve">5.2 Full-size pages</w:t>
      </w:r>
    </w:p>
    <w:p>
      <w:pPr>
        <w:pStyle w:val="ListParagraph"/>
        <w:numPr>
          <w:ilvl w:val="0"/>
          <w:numId w:val="2"/>
        </w:numPr>
        <w:spacing w:after="60"/>
      </w:pPr>
      <w:r>
        <w:t xml:space="preserve">Growth vs Yield Quadrant page: the same Scatter Chart, larger, with a “Back” button (Insert → Buttons → Back, or a Page Navigation button pointed at the Summary page).</w:t>
      </w:r>
    </w:p>
    <w:p>
      <w:pPr>
        <w:pStyle w:val="ListParagraph"/>
        <w:numPr>
          <w:ilvl w:val="0"/>
          <w:numId w:val="2"/>
        </w:numPr>
        <w:spacing w:after="60"/>
      </w:pPr>
      <w:r>
        <w:t xml:space="preserve">Cluster Composition page: the same Column Chart, larger, with the same Back button pattern.</w:t>
      </w:r>
    </w:p>
    <w:p>
      <w:pPr>
        <w:pStyle w:val="ListParagraph"/>
        <w:numPr>
          <w:ilvl w:val="0"/>
          <w:numId w:val="2"/>
        </w:numPr>
        <w:spacing w:after="60"/>
      </w:pPr>
      <w:r>
        <w:t xml:space="preserve">Before/After Testing page: a Table visual built from Event_Results (columns: Event, MeanRentDiff, TStat, PValue, Significance).</w:t>
      </w:r>
    </w:p>
    <w:p>
      <w:pPr>
        <w:pStyle w:val="ListParagraph"/>
        <w:numPr>
          <w:ilvl w:val="0"/>
          <w:numId w:val="2"/>
        </w:numPr>
        <w:spacing w:after="60"/>
      </w:pPr>
      <w:r>
        <w:t xml:space="preserve">Suburb Detail Table page: a Table visual built from Suburbs_Master with all columns, sortable by clicking any header (built in natively - no extra setup needed).</w:t>
      </w:r>
    </w:p>
    <w:p>
      <w:pPr>
        <w:pStyle w:val="Heading2"/>
        <w:spacing w:after="100" w:before="200"/>
      </w:pPr>
      <w:r>
        <w:t xml:space="preserve">5.3 Suburb detail page (drill-through)</w:t>
      </w:r>
    </w:p>
    <w:p>
      <w:pPr>
        <w:pStyle w:val="ListParagraph"/>
        <w:numPr>
          <w:ilvl w:val="0"/>
          <w:numId w:val="3"/>
        </w:numPr>
        <w:spacing w:after="80"/>
      </w:pPr>
      <w:r>
        <w:t xml:space="preserve">Create a new page named “Suburb Detail”.</w:t>
      </w:r>
    </w:p>
    <w:p>
      <w:pPr>
        <w:pStyle w:val="ListParagraph"/>
        <w:numPr>
          <w:ilvl w:val="0"/>
          <w:numId w:val="3"/>
        </w:numPr>
        <w:spacing w:after="80"/>
      </w:pPr>
      <w:r>
        <w:t xml:space="preserve">In the Fields pane, drag Suburb (from Suburbs_Master) into the Drillthrough well in the Visualizations pane while this page is selected - this turns it into a drill-through target page.</w:t>
      </w:r>
    </w:p>
    <w:p>
      <w:pPr>
        <w:pStyle w:val="ListParagraph"/>
        <w:numPr>
          <w:ilvl w:val="0"/>
          <w:numId w:val="3"/>
        </w:numPr>
        <w:spacing w:after="80"/>
      </w:pPr>
      <w:r>
        <w:t xml:space="preserve">Add Card visuals for Price2024, Cluster, and Verdict, and a Line Chart of WeeklyRent by QuarterDate filtered to Quarterly_Rent (this will automatically filter to just the right-clicked suburb).</w:t>
      </w:r>
    </w:p>
    <w:p>
      <w:pPr>
        <w:pStyle w:val="ListParagraph"/>
        <w:numPr>
          <w:ilvl w:val="0"/>
          <w:numId w:val="3"/>
        </w:numPr>
        <w:spacing w:after="80"/>
      </w:pPr>
      <w:r>
        <w:t xml:space="preserve">Now, on any other page, right-click a suburb (in the table, or a data point in a chart) → Drillthrough → Suburb Detail. Power BI adds this automatically once the drillthrough field is set.</w:t>
      </w:r>
    </w:p>
    <w:p>
      <w:pPr>
        <w:pStyle w:val="Heading1"/>
        <w:spacing w:after="150" w:before="320"/>
      </w:pPr>
      <w:r>
        <w:t xml:space="preserve">6. Match the visual design</w:t>
      </w:r>
    </w:p>
    <w:p>
      <w:pPr>
        <w:spacing w:after="120"/>
      </w:pPr>
      <w:r>
        <w:t xml:space="preserve">To keep the same dark sidebar / light main-area look as the HTML prototype and Canva mockups:</w:t>
      </w:r>
    </w:p>
    <w:p>
      <w:pPr>
        <w:pStyle w:val="ListParagraph"/>
        <w:numPr>
          <w:ilvl w:val="0"/>
          <w:numId w:val="2"/>
        </w:numPr>
        <w:spacing w:after="60"/>
      </w:pPr>
      <w:r>
        <w:t xml:space="preserve">Page background: light grey (#F2F3F6).</w:t>
      </w:r>
    </w:p>
    <w:p>
      <w:pPr>
        <w:pStyle w:val="ListParagraph"/>
        <w:numPr>
          <w:ilvl w:val="0"/>
          <w:numId w:val="2"/>
        </w:numPr>
        <w:spacing w:after="60"/>
      </w:pPr>
      <w:r>
        <w:t xml:space="preserve">Slicer panel background (simulate the dark sidebar): select all slicer visuals → Format → Effects → Background → #171A26, Font colour → white.</w:t>
      </w:r>
    </w:p>
    <w:p>
      <w:pPr>
        <w:pStyle w:val="ListParagraph"/>
        <w:numPr>
          <w:ilvl w:val="0"/>
          <w:numId w:val="2"/>
        </w:numPr>
        <w:spacing w:after="60"/>
      </w:pPr>
      <w:r>
        <w:t xml:space="preserve">KPI cards and chart panels: Format → Effects → Background → #232637 (dark), Font colour → white/#F2F3F5.</w:t>
      </w:r>
    </w:p>
    <w:p>
      <w:pPr>
        <w:pStyle w:val="ListParagraph"/>
        <w:numPr>
          <w:ilvl w:val="0"/>
          <w:numId w:val="2"/>
        </w:numPr>
        <w:spacing w:after="60"/>
      </w:pPr>
      <w:r>
        <w:t xml:space="preserve">Verdict colour coding: Buy = #2DD4A7 (teal), Neutral = #F2B84B (amber), Rent = #F2555A (red) - apply via Format → Data colors, matched to the Verdict field, on the Scatter Chart and any visual split by Verdict.</w:t>
      </w:r>
    </w:p>
    <w:p>
      <w:pPr>
        <w:pStyle w:val="ListParagraph"/>
        <w:numPr>
          <w:ilvl w:val="0"/>
          <w:numId w:val="2"/>
        </w:numPr>
        <w:spacing w:after="60"/>
      </w:pPr>
      <w:r>
        <w:t xml:space="preserve">Tables (Suburb Detail Table, Before/After Testing): leave on a light background for readability, consistent with the semi-light table styling used in the HTML prototype.</w:t>
      </w:r>
    </w:p>
    <w:p>
      <w:pPr>
        <w:pStyle w:val="Heading1"/>
        <w:spacing w:after="150" w:before="320"/>
      </w:pPr>
      <w:r>
        <w:t xml:space="preserve">7. Publish and share</w:t>
      </w:r>
    </w:p>
    <w:p>
      <w:pPr>
        <w:pStyle w:val="ListParagraph"/>
        <w:numPr>
          <w:ilvl w:val="0"/>
          <w:numId w:val="3"/>
        </w:numPr>
        <w:spacing w:after="80"/>
      </w:pPr>
      <w:r>
        <w:t xml:space="preserve">File → Publish → Publish to Power BI (requires a Power BI account; a free account is enough for personal/small-team sharing).</w:t>
      </w:r>
    </w:p>
    <w:p>
      <w:pPr>
        <w:pStyle w:val="ListParagraph"/>
        <w:numPr>
          <w:ilvl w:val="0"/>
          <w:numId w:val="3"/>
        </w:numPr>
        <w:spacing w:after="80"/>
      </w:pPr>
      <w:r>
        <w:t xml:space="preserve">Once published, use Share or embed the report link for the study group and assessor to review interactively, matching the review pattern already set up for the HTML prototype and Canva mockups.</w:t>
      </w:r>
    </w:p>
    <w:p>
      <w:pPr>
        <w:pStyle w:val="Heading1"/>
        <w:spacing w:after="150" w:before="320"/>
      </w:pPr>
      <w:r>
        <w:t xml:space="preserve">8. Optional next step: live refresh from the two source files</w:t>
      </w:r>
    </w:p>
    <w:p>
      <w:pPr>
        <w:spacing w:after="120"/>
      </w:pPr>
      <w:r>
        <w:t xml:space="preserve">The Quarterly_Rent and Cash_Rate tables can be connected directly to your source Excel files via Power Query (Get Data → Excel → point at price_dataset.xlsx / rent_dataset.xlsx) so that new quarters of published data flow through automatically. This does not extend to Suburbs_Master's Verdict/Cluster columns or Event_Results, since those require the Python/SAS statistical step - keep those as a periodically-refreshed export rather than a live connection, and note this clearly as a data-refresh limitation in your documentation, consistent with what Assignment 2 and 3 already state about the live Power Query connection being documented but not yet fully implemented.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2026-08-13T12:28:12.278Z</dcterms:created>
  <dcterms:modified xsi:type="dcterms:W3CDTF">2026-08-13T12:28:12.297Z</dcterms:modified>
</cp:coreProperties>
</file>

<file path=docProps/custom.xml><?xml version="1.0" encoding="utf-8"?>
<Properties xmlns="http://schemas.openxmlformats.org/officeDocument/2006/custom-properties" xmlns:vt="http://schemas.openxmlformats.org/officeDocument/2006/docPropsVTypes"/>
</file>