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3.png" ContentType="image/png"/>
  <Override PartName="/word/media/rId52.png" ContentType="image/png"/>
  <Override PartName="/word/media/rId57.png" ContentType="image/png"/>
  <Override PartName="/word/media/rId61.png" ContentType="image/png"/>
  <Override PartName="/word/media/rId69.png" ContentType="image/png"/>
  <Override PartName="/word/media/rId94.png" ContentType="image/png"/>
  <Override PartName="/word/media/rId99.png" ContentType="image/png"/>
  <Override PartName="/word/media/rId105.png" ContentType="image/png"/>
  <Override PartName="/word/media/rId110.png" ContentType="image/png"/>
  <Override PartName="/word/media/rId120.png" ContentType="image/png"/>
  <Override PartName="/word/media/rId126.png" ContentType="image/png"/>
  <Override PartName="/word/media/rId130.png" ContentType="image/png"/>
  <Override PartName="/word/media/rId163.png" ContentType="image/png"/>
  <Override PartName="/word/media/rId168.png" ContentType="image/png"/>
  <Override PartName="/word/media/rId172.png" ContentType="image/png"/>
  <Override PartName="/word/media/rId208.png" ContentType="image/png"/>
  <Override PartName="/word/media/rId213.png" ContentType="image/png"/>
  <Override PartName="/word/media/rId217.png" ContentType="image/png"/>
  <Override PartName="/word/media/rId272.png" ContentType="image/png"/>
  <Override PartName="/word/media/rId259.png" ContentType="image/png"/>
  <Override PartName="/word/media/rId264.png" ContentType="image/png"/>
  <Override PartName="/word/media/rId276.png" ContentType="image/png"/>
  <Override PartName="/word/media/rId268.png" ContentType="image/png"/>
  <Override PartName="/word/media/rId222.png" ContentType="image/png"/>
  <Override PartName="/word/media/rId296.png" ContentType="image/png"/>
  <Override PartName="/word/media/rId302.png" ContentType="image/png"/>
  <Override PartName="/word/media/rId306.png" ContentType="image/png"/>
  <Override PartName="/word/media/rId310.png" ContentType="image/png"/>
  <Override PartName="/word/media/rId314.png" ContentType="image/png"/>
  <Override PartName="/word/media/rId318.png" ContentType="image/png"/>
  <Override PartName="/word/media/rId392.png" ContentType="image/png"/>
  <Override PartName="/word/media/rId322.png" ContentType="image/png"/>
  <Override PartName="/word/media/rId405.png" ContentType="image/png"/>
  <Override PartName="/word/media/rId410.png" ContentType="image/png"/>
  <Override PartName="/word/media/rId435.png" ContentType="image/png"/>
  <Override PartName="/word/media/rId440.png" ContentType="image/png"/>
  <Override PartName="/word/media/rId444.png" ContentType="image/png"/>
  <Override PartName="/word/media/rId448.png" ContentType="image/png"/>
  <Override PartName="/word/media/rId473.png" ContentType="image/png"/>
  <Override PartName="/word/media/rId478.png" ContentType="image/png"/>
  <Override PartName="/word/media/rId482.png" ContentType="image/png"/>
  <Override PartName="/word/media/rId375.png" ContentType="image/png"/>
  <Override PartName="/word/media/rId379.png" ContentType="image/png"/>
  <Override PartName="/word/media/rId383.png" ContentType="image/png"/>
  <Override PartName="/word/media/rId135.png" ContentType="image/png"/>
  <Override PartName="/word/media/rId139.png" ContentType="image/png"/>
  <Override PartName="/word/media/rId143.png" ContentType="image/png"/>
  <Override PartName="/word/media/rId147.png" ContentType="image/png"/>
  <Override PartName="/word/media/rId151.png" ContentType="image/png"/>
  <Override PartName="/word/media/rId327.png" ContentType="image/png"/>
  <Override PartName="/word/media/rId247.png" ContentType="image/png"/>
  <Override PartName="/word/media/rId363.png" ContentType="image/png"/>
  <Override PartName="/word/media/rId281.png" ContentType="image/png"/>
  <Override PartName="/word/media/rId359.png" ContentType="image/png"/>
  <Override PartName="/word/media/rId339.png" ContentType="image/png"/>
  <Override PartName="/word/media/rId343.png" ContentType="image/png"/>
  <Override PartName="/word/media/rId347.png" ContentType="image/png"/>
  <Override PartName="/word/media/rId351.png" ContentType="image/png"/>
  <Override PartName="/word/media/rId335.png" ContentType="image/png"/>
  <Override PartName="/word/media/rId251.png" ContentType="image/png"/>
  <Override PartName="/word/media/rId285.png" ContentType="image/png"/>
  <Override PartName="/word/media/rId355.png" ContentType="image/png"/>
  <Override PartName="/word/media/rId227.png" ContentType="image/png"/>
  <Override PartName="/word/media/rId331.png" ContentType="image/png"/>
  <Override PartName="/word/media/rId155.png" ContentType="image/png"/>
  <Override PartName="/word/media/rId415.png" ContentType="image/png"/>
  <Override PartName="/word/media/rId419.png" ContentType="image/png"/>
  <Override PartName="/word/media/rId423.png" ContentType="image/png"/>
  <Override PartName="/word/media/rId427.png" ContentType="image/png"/>
  <Override PartName="/word/media/rId453.png" ContentType="image/png"/>
  <Override PartName="/word/media/rId235.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Override PartName="/word/media/rId197.png" ContentType="image/png"/>
  <Override PartName="/word/media/rId367.png" ContentType="image/png"/>
  <Override PartName="/word/media/rId243.png" ContentType="image/png"/>
  <Override PartName="/word/media/rId371.png" ContentType="image/png"/>
  <Override PartName="/word/media/rId231.png" ContentType="image/png"/>
  <Override PartName="/word/media/rId239.png" ContentType="image/png"/>
  <Override PartName="/word/media/rId457.png" ContentType="image/png"/>
  <Override PartName="/word/media/rId461.png" ContentType="image/png"/>
  <Override PartName="/word/media/rId487.png" ContentType="image/png"/>
  <Override PartName="/word/media/rId491.png" ContentType="image/png"/>
  <Override PartName="/word/media/rId495.png" ContentType="image/png"/>
  <Override PartName="/word/media/rId4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w:t>
      </w:r>
      <w:r>
        <w:br/>
      </w:r>
    </w:p>
    <w:p>
      <w:pPr>
        <w:pStyle w:val="BodyText"/>
      </w:pPr>
      <w:r>
        <w:t xml:space="preserve">1.4. Class diagram: core domain</w:t>
      </w:r>
      <w:r>
        <w:br/>
      </w:r>
    </w:p>
    <w:p>
      <w:pPr>
        <w:pStyle w:val="BodyText"/>
      </w:pPr>
      <w:r>
        <w:t xml:space="preserve">1.5. Class diagram: AI, marketplace and analytics</w:t>
      </w:r>
      <w:r>
        <w:br/>
      </w:r>
    </w:p>
    <w:p>
      <w:pPr>
        <w:pStyle w:val="BodyText"/>
      </w:pPr>
      <w:r>
        <w:t xml:space="preserve">1.6.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Recording a prompt</w:t>
      </w:r>
      <w:r>
        <w:br/>
      </w:r>
    </w:p>
    <w:p>
      <w:pPr>
        <w:pStyle w:val="BodyText"/>
      </w:pPr>
      <w:r>
        <w:t xml:space="preserve">6.15. Use case diagram, Sprint 9</w:t>
      </w:r>
      <w:r>
        <w:br/>
      </w:r>
    </w:p>
    <w:p>
      <w:pPr>
        <w:pStyle w:val="BodyText"/>
      </w:pPr>
      <w:r>
        <w:t xml:space="preserve">6.16. Class diagram, Sprint 9</w:t>
      </w:r>
      <w:r>
        <w:br/>
      </w:r>
    </w:p>
    <w:p>
      <w:pPr>
        <w:pStyle w:val="BodyText"/>
      </w:pPr>
      <w:r>
        <w:t xml:space="preserve">6.17. Sequence diagram: document upload and ingestion</w:t>
      </w:r>
      <w:r>
        <w:br/>
      </w:r>
    </w:p>
    <w:p>
      <w:pPr>
        <w:pStyle w:val="BodyText"/>
      </w:pPr>
      <w:r>
        <w:t xml:space="preserve">6.18. The document library, one document refused with its reason</w:t>
      </w:r>
      <w:r>
        <w:br/>
      </w:r>
    </w:p>
    <w:p>
      <w:pPr>
        <w:pStyle w:val="BodyText"/>
      </w:pPr>
      <w:r>
        <w:t xml:space="preserve">6.19. Attaching a document from the Sources tab</w:t>
      </w:r>
      <w:r>
        <w:br/>
      </w:r>
    </w:p>
    <w:p>
      <w:pPr>
        <w:pStyle w:val="BodyText"/>
      </w:pPr>
      <w:r>
        <w:t xml:space="preserve">6.20.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 visitor</w:t>
      </w:r>
      <w:r>
        <w:br/>
      </w:r>
    </w:p>
    <w:p>
      <w:pPr>
        <w:pStyle w:val="BodyText"/>
      </w:pPr>
      <w:r>
        <w:t xml:space="preserve">8.2. Functional requirements — free and premium reader</w:t>
      </w:r>
      <w:r>
        <w:br/>
      </w:r>
    </w:p>
    <w:p>
      <w:pPr>
        <w:pStyle w:val="BodyText"/>
      </w:pPr>
      <w:r>
        <w:t xml:space="preserve">8.3. Functional requirements — writer and eligible writer</w:t>
      </w:r>
      <w:r>
        <w:br/>
      </w:r>
    </w:p>
    <w:p>
      <w:pPr>
        <w:pStyle w:val="BodyText"/>
      </w:pPr>
      <w:r>
        <w:t xml:space="preserve">8.4. Functional requirements — magazine</w:t>
      </w:r>
      <w:r>
        <w:br/>
      </w:r>
    </w:p>
    <w:p>
      <w:pPr>
        <w:pStyle w:val="BodyText"/>
      </w:pPr>
      <w:r>
        <w:t xml:space="preserve">8.5. Functional requirements — administrator</w:t>
      </w:r>
      <w:r>
        <w:br/>
      </w:r>
    </w:p>
    <w:p>
      <w:pPr>
        <w:pStyle w:val="BodyText"/>
      </w:pPr>
      <w:r>
        <w:t xml:space="preserve">8.6. Functional requirements —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 who reads a writer, how far, how often</w:t>
      </w:r>
      <w:r>
        <w:t xml:space="preserve"> </w:t>
      </w:r>
      <w:r>
        <w:t xml:space="preserve">they come back —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 the sprint backlog,</w:t>
      </w:r>
      <w:r>
        <w:t xml:space="preserve"> </w:t>
      </w:r>
      <w:r>
        <w:t xml:space="preserve">the analysis, the design and the realisation —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75"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 architecture, data, security, delivery —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w:t>
      </w:r>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 Substack, Ghost and beehiiv —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w:t>
      </w:r>
      <w:r>
        <w:t xml:space="preserve"> </w:t>
      </w:r>
      <w:r>
        <w:t xml:space="preserve">NotebookLM, ChatGPT with uploaded files, Perplexity Spaces —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requirements, design, implementation, testing</w:t>
      </w:r>
      <w:r>
        <w:t xml:space="preserve"> </w:t>
      </w:r>
      <w:r>
        <w:t xml:space="preserve">and delivery once each, in order; its classic description already warned that testing</w:t>
      </w:r>
      <w:r>
        <w:t xml:space="preserve"> </w:t>
      </w:r>
      <w:r>
        <w:t xml:space="preserve">at the end exposes design errors when they are most expensive to correct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builds the product in short iterations, each</w:t>
      </w:r>
      <w:r>
        <w:t xml:space="preserve"> </w:t>
      </w:r>
      <w:r>
        <w:t xml:space="preserve">delivering working software that is reviewed before the next is planned, and values</w:t>
      </w:r>
      <w:r>
        <w:t xml:space="preserve"> </w:t>
      </w:r>
      <w:r>
        <w:t xml:space="preserve">responding to change over following a plan</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 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The figure makes the deciding difference visible: in the sequential process the first</w:t>
      </w:r>
      <w:r>
        <w:t xml:space="preserve"> </w:t>
      </w:r>
      <w:r>
        <w:t xml:space="preserve">working software appears in the last phase, while in the agile process it appears at</w:t>
      </w:r>
      <w:r>
        <w:t xml:space="preserve"> </w:t>
      </w:r>
      <w:r>
        <w:t xml:space="preserve">the end of the first iteration. Inkwell.ai is built in layers that each depend on the</w:t>
      </w:r>
      <w:r>
        <w:t xml:space="preserve"> </w:t>
      </w:r>
      <w:r>
        <w:t xml:space="preserve">one below — the marketplace evaluates writers on analytics, analytics need published</w:t>
      </w:r>
      <w:r>
        <w:t xml:space="preserve"> </w:t>
      </w:r>
      <w:r>
        <w:t xml:space="preserve">articles, articles need accounts and an editor — so a defect in a lower layer must be</w:t>
      </w:r>
      <w:r>
        <w:t xml:space="preserve"> </w:t>
      </w:r>
      <w:r>
        <w:t xml:space="preserve">found before the next is built on it. Short iterations that end in working, tested</w:t>
      </w:r>
      <w:r>
        <w:t xml:space="preserve"> </w:t>
      </w:r>
      <w:r>
        <w:t xml:space="preserve">software are what that layering requires.</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figure reads from left to right: the product backlog feeds sprint planning, the</w:t>
      </w:r>
      <w:r>
        <w:t xml:space="preserve"> </w:t>
      </w:r>
      <w:r>
        <w:t xml:space="preserve">sprint backlog is built during a fixed two-week sprint, and every sprint ends with an</w:t>
      </w:r>
      <w:r>
        <w:t xml:space="preserve"> </w:t>
      </w:r>
      <w:r>
        <w:t xml:space="preserve">increment checked against the definition of done, reviewed, and followed by a</w:t>
      </w:r>
      <w:r>
        <w:t xml:space="preserve"> </w:t>
      </w:r>
      <w:r>
        <w:t xml:space="preserve">retrospective whose actions return to the next planning. What it implies for this</w:t>
      </w:r>
      <w:r>
        <w:t xml:space="preserve"> </w:t>
      </w:r>
      <w:r>
        <w:t xml:space="preserve">project is that the unit of progress is the increment, not the document: each sprint</w:t>
      </w:r>
      <w:r>
        <w:t xml:space="preserve"> </w:t>
      </w:r>
      <w:r>
        <w:t xml:space="preserve">must leave the platform runnable and tested.</w:t>
      </w:r>
    </w:p>
    <w:p>
      <w:pPr>
        <w:pStyle w:val="BodyText"/>
      </w:pPr>
      <w:r>
        <w:t xml:space="preserve">Scrum is designed for a team of ten or fewer people holding three accountabilities —</w:t>
      </w:r>
      <w:r>
        <w:t xml:space="preserve"> </w:t>
      </w:r>
      <w:r>
        <w:t xml:space="preserve">Product Owner, Scrum Master and Developers</w:t>
      </w:r>
      <w:r>
        <w:t xml:space="preserve"> </w:t>
      </w:r>
      <w:hyperlink w:anchor="ref-scrumguide2020">
        <w:r>
          <w:rPr>
            <w:rStyle w:val="Hyperlink"/>
          </w:rPr>
          <w:t xml:space="preserve">[16]</w:t>
        </w:r>
      </w:hyperlink>
      <w:r>
        <w:t xml:space="preserve"> </w:t>
      </w:r>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 a fixed</w:t>
      </w:r>
      <w:r>
        <w:t xml:space="preserve"> </w:t>
      </w:r>
      <w:r>
        <w:t xml:space="preserve">cadence, a written goal per sprint, an increment that must work —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 Must, Should, Could,</w:t>
      </w:r>
      <w:r>
        <w:t xml:space="preserve"> </w:t>
      </w:r>
      <w:r>
        <w:t xml:space="preserve">Won’t —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eight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the three independent properties every account carries — its</w:t>
      </w:r>
      <w:r>
        <w:t xml:space="preserve"> </w:t>
      </w:r>
      <w:r>
        <w:rPr>
          <w:b/>
          <w:bCs/>
        </w:rPr>
        <w:t xml:space="preserve">account type</w:t>
      </w:r>
      <w:r>
        <w:t xml:space="preserve"> </w:t>
      </w:r>
      <w:r>
        <w:t xml:space="preserve">(personal or magazine), its</w:t>
      </w:r>
      <w:r>
        <w:t xml:space="preserve"> </w:t>
      </w:r>
      <w:r>
        <w:rPr>
          <w:b/>
          <w:bCs/>
        </w:rPr>
        <w:t xml:space="preserve">role</w:t>
      </w:r>
      <w:r>
        <w:t xml:space="preserve"> </w:t>
      </w:r>
      <w:r>
        <w:t xml:space="preserve">(reader, writer or administrator) and its</w:t>
      </w:r>
      <w:r>
        <w:t xml:space="preserve"> </w:t>
      </w:r>
      <w:r>
        <w:rPr>
          <w:b/>
          <w:bCs/>
        </w:rPr>
        <w:t xml:space="preserve">plan</w:t>
      </w:r>
      <w:r>
        <w:t xml:space="preserve"> </w:t>
      </w:r>
      <w:r>
        <w:t xml:space="preserve">(free or premium) — plus the writer’s marketplace eligibility.</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73"/>
        <w:gridCol w:w="1729"/>
        <w:gridCol w:w="2184"/>
        <w:gridCol w:w="3732"/>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Sees the public feed and free article bodies; cannot interact.</w:t>
            </w:r>
          </w:p>
        </w:tc>
      </w:tr>
      <w:tr>
        <w:tc>
          <w:tcPr/>
          <w:p>
            <w:pPr>
              <w:pStyle w:val="Compact"/>
              <w:jc w:val="left"/>
            </w:pPr>
            <w:r>
              <w:t xml:space="preserve">A2</w:t>
            </w:r>
          </w:p>
        </w:tc>
        <w:tc>
          <w:tcPr/>
          <w:p>
            <w:pPr>
              <w:pStyle w:val="Compact"/>
              <w:jc w:val="left"/>
            </w:pPr>
            <w:r>
              <w:t xml:space="preserve">Free reader</w:t>
            </w:r>
          </w:p>
        </w:tc>
        <w:tc>
          <w:tcPr/>
          <w:p>
            <w:pPr>
              <w:pStyle w:val="Compact"/>
              <w:jc w:val="left"/>
            </w:pPr>
            <w:r>
              <w:t xml:space="preserve">personal account, free plan</w:t>
            </w:r>
          </w:p>
        </w:tc>
        <w:tc>
          <w:tcPr/>
          <w:p>
            <w:pPr>
              <w:pStyle w:val="Compact"/>
              <w:jc w:val="left"/>
            </w:pPr>
            <w:r>
              <w:t xml:space="preserve">Reads free public articles, interacts socially, has no AI allowance.</w:t>
            </w:r>
          </w:p>
        </w:tc>
      </w:tr>
      <w:tr>
        <w:tc>
          <w:tcPr/>
          <w:p>
            <w:pPr>
              <w:pStyle w:val="Compact"/>
              <w:jc w:val="left"/>
            </w:pPr>
            <w:r>
              <w:t xml:space="preserve">A3</w:t>
            </w:r>
          </w:p>
        </w:tc>
        <w:tc>
          <w:tcPr/>
          <w:p>
            <w:pPr>
              <w:pStyle w:val="Compact"/>
              <w:jc w:val="left"/>
            </w:pPr>
            <w:r>
              <w:t xml:space="preserve">Premium reader</w:t>
            </w:r>
          </w:p>
        </w:tc>
        <w:tc>
          <w:tcPr/>
          <w:p>
            <w:pPr>
              <w:pStyle w:val="Compact"/>
              <w:jc w:val="left"/>
            </w:pPr>
            <w:r>
              <w:t xml:space="preserve">personal account, premium plan</w:t>
            </w:r>
          </w:p>
        </w:tc>
        <w:tc>
          <w:tcPr/>
          <w:p>
            <w:pPr>
              <w:pStyle w:val="Compact"/>
              <w:jc w:val="left"/>
            </w:pPr>
            <w:r>
              <w:t xml:space="preserve">Everything A2 has, plus premium articles and the daily AI allowance.</w:t>
            </w:r>
          </w:p>
        </w:tc>
      </w:tr>
      <w:tr>
        <w:tc>
          <w:tcPr/>
          <w:p>
            <w:pPr>
              <w:pStyle w:val="Compact"/>
              <w:jc w:val="left"/>
            </w:pPr>
            <w:r>
              <w:t xml:space="preserve">A4</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A2 or A3 plus drafting, publishing and editing their own articles.</w:t>
            </w:r>
          </w:p>
        </w:tc>
      </w:tr>
      <w:tr>
        <w:tc>
          <w:tcPr/>
          <w:p>
            <w:pPr>
              <w:pStyle w:val="Compact"/>
              <w:jc w:val="left"/>
            </w:pPr>
            <w:r>
              <w:t xml:space="preserve">A5</w:t>
            </w:r>
          </w:p>
        </w:tc>
        <w:tc>
          <w:tcPr/>
          <w:p>
            <w:pPr>
              <w:pStyle w:val="Compact"/>
              <w:jc w:val="left"/>
            </w:pPr>
            <w:r>
              <w:t xml:space="preserve">Eligible writer</w:t>
            </w:r>
          </w:p>
        </w:tc>
        <w:tc>
          <w:tcPr/>
          <w:p>
            <w:pPr>
              <w:pStyle w:val="Compact"/>
              <w:jc w:val="left"/>
            </w:pPr>
            <w:r>
              <w:t xml:space="preserve">writer marked eligible</w:t>
            </w:r>
          </w:p>
        </w:tc>
        <w:tc>
          <w:tcPr/>
          <w:p>
            <w:pPr>
              <w:pStyle w:val="Compact"/>
              <w:jc w:val="left"/>
            </w:pPr>
            <w:r>
              <w:t xml:space="preserve">A4 plus the right to publish premium articles and to list on the marketplace.</w:t>
            </w:r>
          </w:p>
        </w:tc>
      </w:tr>
      <w:tr>
        <w:tc>
          <w:tcPr/>
          <w:p>
            <w:pPr>
              <w:pStyle w:val="Compact"/>
              <w:jc w:val="left"/>
            </w:pPr>
            <w:r>
              <w:t xml:space="preserve">A6</w:t>
            </w:r>
          </w:p>
        </w:tc>
        <w:tc>
          <w:tcPr/>
          <w:p>
            <w:pPr>
              <w:pStyle w:val="Compact"/>
              <w:jc w:val="left"/>
            </w:pPr>
            <w:r>
              <w:t xml:space="preserve">Magazine (unsubscribed)</w:t>
            </w:r>
          </w:p>
        </w:tc>
        <w:tc>
          <w:tcPr/>
          <w:p>
            <w:pPr>
              <w:pStyle w:val="Compact"/>
              <w:jc w:val="left"/>
            </w:pPr>
            <w:r>
              <w:t xml:space="preserve">magazine account, no active subscription</w:t>
            </w:r>
          </w:p>
        </w:tc>
        <w:tc>
          <w:tcPr/>
          <w:p>
            <w:pPr>
              <w:pStyle w:val="Compact"/>
              <w:jc w:val="left"/>
            </w:pPr>
            <w:r>
              <w:t xml:space="preserve">Registered magazine stopped at the subscription wall.</w:t>
            </w:r>
          </w:p>
        </w:tc>
      </w:tr>
      <w:tr>
        <w:tc>
          <w:tcPr/>
          <w:p>
            <w:pPr>
              <w:pStyle w:val="Compact"/>
              <w:jc w:val="left"/>
            </w:pPr>
            <w:r>
              <w:t xml:space="preserve">A7</w:t>
            </w:r>
          </w:p>
        </w:tc>
        <w:tc>
          <w:tcPr/>
          <w:p>
            <w:pPr>
              <w:pStyle w:val="Compact"/>
              <w:jc w:val="left"/>
            </w:pPr>
            <w:r>
              <w:t xml:space="preserve">Magazine (subscribed)</w:t>
            </w:r>
          </w:p>
        </w:tc>
        <w:tc>
          <w:tcPr/>
          <w:p>
            <w:pPr>
              <w:pStyle w:val="Compact"/>
              <w:jc w:val="left"/>
            </w:pPr>
            <w:r>
              <w:t xml:space="preserve">magazine account, active subscription</w:t>
            </w:r>
          </w:p>
        </w:tc>
        <w:tc>
          <w:tcPr/>
          <w:p>
            <w:pPr>
              <w:pStyle w:val="Compact"/>
              <w:jc w:val="left"/>
            </w:pPr>
            <w:r>
              <w:t xml:space="preserve">Browses writers, reads evaluation reports, spends credits to preview and purchase.</w:t>
            </w:r>
          </w:p>
        </w:tc>
      </w:tr>
      <w:tr>
        <w:tc>
          <w:tcPr/>
          <w:p>
            <w:pPr>
              <w:pStyle w:val="Compact"/>
              <w:jc w:val="left"/>
            </w:pPr>
            <w:r>
              <w:t xml:space="preserve">A8</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Moderation queue, user management, manual eligibility grants.</w:t>
            </w:r>
          </w:p>
        </w:tc>
      </w:tr>
    </w:tbl>
    <w:bookmarkEnd w:id="46"/>
    <w:p>
      <w:pPr>
        <w:pStyle w:val="BodyText"/>
      </w:pPr>
      <w:r>
        <w:t xml:space="preserve">Each generalisation in the table follows one of the three properties, so the table</w:t>
      </w:r>
      <w:r>
        <w:t xml:space="preserve"> </w:t>
      </w:r>
      <w:r>
        <w:t xml:space="preserve">also fixes which generalisations hold. On the</w:t>
      </w:r>
      <w:r>
        <w:t xml:space="preserve"> </w:t>
      </w:r>
      <w:r>
        <w:rPr>
          <w:b/>
          <w:bCs/>
        </w:rPr>
        <w:t xml:space="preserve">plan</w:t>
      </w:r>
      <w:r>
        <w:t xml:space="preserve">, the premium reader specialises</w:t>
      </w:r>
      <w:r>
        <w:t xml:space="preserve"> </w:t>
      </w:r>
      <w:r>
        <w:t xml:space="preserve">the free reader; on the</w:t>
      </w:r>
      <w:r>
        <w:t xml:space="preserve"> </w:t>
      </w:r>
      <w:r>
        <w:rPr>
          <w:b/>
          <w:bCs/>
        </w:rPr>
        <w:t xml:space="preserve">role</w:t>
      </w:r>
      <w:r>
        <w:t xml:space="preserve">, the writer specialises the free reader and the</w:t>
      </w:r>
      <w:r>
        <w:t xml:space="preserve"> </w:t>
      </w:r>
      <w:r>
        <w:t xml:space="preserve">eligible writer specialises the writer; on the</w:t>
      </w:r>
      <w:r>
        <w:t xml:space="preserve"> </w:t>
      </w:r>
      <w:r>
        <w:rPr>
          <w:b/>
          <w:bCs/>
        </w:rPr>
        <w:t xml:space="preserve">subscription</w:t>
      </w:r>
      <w:r>
        <w:t xml:space="preserve">, the subscribed</w:t>
      </w:r>
      <w:r>
        <w:t xml:space="preserve"> </w:t>
      </w:r>
      <w:r>
        <w:t xml:space="preserve">magazine specialises the unsubscribed one. Two actors specialise no other. A</w:t>
      </w:r>
      <w:r>
        <w:t xml:space="preserve"> </w:t>
      </w:r>
      <w:r>
        <w:rPr>
          <w:b/>
          <w:bCs/>
        </w:rPr>
        <w:t xml:space="preserve">magazine</w:t>
      </w:r>
      <w:r>
        <w:t xml:space="preserve"> </w:t>
      </w:r>
      <w:r>
        <w:t xml:space="preserve">is a different account type with no role and no plan — a database</w:t>
      </w:r>
      <w:r>
        <w:t xml:space="preserve"> </w:t>
      </w:r>
      <w:r>
        <w:t xml:space="preserve">constraint enforces it — so it inherits nothing from the readers or writers; a person</w:t>
      </w:r>
      <w:r>
        <w:t xml:space="preserve"> </w:t>
      </w:r>
      <w:r>
        <w:t xml:space="preserve">who runs a magazine and also writes uses two accounts. The</w:t>
      </w:r>
      <w:r>
        <w:t xml:space="preserve"> </w:t>
      </w:r>
      <w:r>
        <w:rPr>
          <w:b/>
          <w:bCs/>
        </w:rPr>
        <w:t xml:space="preserve">administrator</w:t>
      </w:r>
      <w:r>
        <w:t xml:space="preserve"> </w:t>
      </w:r>
      <w:r>
        <w:t xml:space="preserve">holds a</w:t>
      </w:r>
      <w:r>
        <w:t xml:space="preserve"> </w:t>
      </w:r>
      <w:r>
        <w:t xml:space="preserve">role that cannot be obtained through the interface and is granted in the database; its</w:t>
      </w:r>
      <w:r>
        <w:t xml:space="preserve"> </w:t>
      </w:r>
      <w:r>
        <w:t xml:space="preserve">capabilities are moderation and management, not an extension of reading, so it is not</w:t>
      </w:r>
      <w:r>
        <w:t xml:space="preserve"> </w:t>
      </w:r>
      <w:r>
        <w:t xml:space="preserve">drawn 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pct" w:w="5000"/>
        <w:tblLayout w:type="fixed"/>
        <w:tblLook w:firstRow="1" w:lastRow="0" w:firstColumn="0" w:lastColumn="0" w:noHBand="0" w:noVBand="0" w:val="0020"/>
        <w:tblCaption w:val="Table 1.3– Functional requirements by actor and priority"/>
      </w:tblPr>
      <w:tblGrid>
        <w:gridCol w:w="4337"/>
        <w:gridCol w:w="565"/>
        <w:gridCol w:w="565"/>
        <w:gridCol w:w="565"/>
        <w:gridCol w:w="565"/>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Free and premium reader (A2, A3)</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and eligible writer (A4, A5)</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(A6, A7)</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(A8)</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56" w:name="sec:uc-global"/>
    <w:p>
      <w:pPr>
        <w:pStyle w:val="Heading2"/>
      </w:pPr>
      <w:r>
        <w:rPr>
          <w:rStyle w:val="SectionNumber"/>
        </w:rPr>
        <w:t xml:space="preserve">1.6</w:t>
      </w:r>
      <w:r>
        <w:tab/>
      </w:r>
      <w:r>
        <w:t xml:space="preserve">Global use case diagram</w:t>
      </w:r>
    </w:p>
    <w:p>
      <w:pPr>
        <w:pStyle w:val="FirstParagraph"/>
      </w:pPr>
      <w:hyperlink w:anchor="fig:uc-global">
        <w:r>
          <w:rPr>
            <w:rStyle w:val="Hyperlink"/>
          </w:rPr>
          <w:t xml:space="preserve">Figure 1.3</w:t>
        </w:r>
      </w:hyperlink>
      <w:r>
        <w:t xml:space="preserve"> </w:t>
      </w:r>
      <w:r>
        <w:t xml:space="preserve">gives the global use case diagram. It is deliberately coarse: each use</w:t>
      </w:r>
      <w:r>
        <w:t xml:space="preserve"> </w:t>
      </w:r>
      <w:r>
        <w:t xml:space="preserve">case stands for a family of interactions refined in the per-sprint diagrams of</w:t>
      </w:r>
      <w:r>
        <w:t xml:space="preserve"> </w:t>
      </w:r>
      <w:r>
        <w:t xml:space="preserve">Chapters 3 to 6. The actors are drawn in three separate groups — the personal accounts</w:t>
      </w:r>
      <w:r>
        <w:t xml:space="preserve"> </w:t>
      </w:r>
      <w:r>
        <w:t xml:space="preserve">on the left, the magazines and the administrator on the right — so that only the</w:t>
      </w:r>
      <w:r>
        <w:t xml:space="preserve"> </w:t>
      </w:r>
      <w:r>
        <w:t xml:space="preserve">generalisations of</w:t>
      </w:r>
      <w:r>
        <w:t xml:space="preserve"> </w:t>
      </w:r>
      <w:hyperlink w:anchor="sec:actors">
        <w:r>
          <w:rPr>
            <w:rStyle w:val="Hyperlink"/>
          </w:rPr>
          <w:t xml:space="preserve">Section 1.3</w:t>
        </w:r>
      </w:hyperlink>
      <w:r>
        <w:t xml:space="preserve"> </w:t>
      </w:r>
      <w:r>
        <w:t xml:space="preserve">appear.</w:t>
      </w:r>
    </w:p>
    <w:bookmarkStart w:id="55" w:name="fig:uc-global"/>
    <w:p>
      <w:pPr>
        <w:pStyle w:val="CaptionedFigure"/>
      </w:pPr>
      <w:r>
        <w:drawing>
          <wp:inline>
            <wp:extent cx="5334000" cy="4207410"/>
            <wp:effectExtent b="0" l="0" r="0" t="0"/>
            <wp:docPr descr="Figure 1.3– Global use case diagram" title="" id="53" name="Picture"/>
            <a:graphic>
              <a:graphicData uri="http://schemas.openxmlformats.org/drawingml/2006/picture">
                <pic:pic>
                  <pic:nvPicPr>
                    <pic:cNvPr descr="../diagrams/fig-2-1-use-case-global/fig-2-1-use-case-global.png" id="54" name="Picture"/>
                    <pic:cNvPicPr>
                      <a:picLocks noChangeArrowheads="1" noChangeAspect="1"/>
                    </pic:cNvPicPr>
                  </pic:nvPicPr>
                  <pic:blipFill>
                    <a:blip r:embed="rId52"/>
                    <a:stretch>
                      <a:fillRect/>
                    </a:stretch>
                  </pic:blipFill>
                  <pic:spPr bwMode="auto">
                    <a:xfrm>
                      <a:off x="0" y="0"/>
                      <a:ext cx="5334000" cy="4207410"/>
                    </a:xfrm>
                    <a:prstGeom prst="rect">
                      <a:avLst/>
                    </a:prstGeom>
                    <a:noFill/>
                    <a:ln w="9525">
                      <a:noFill/>
                      <a:headEnd/>
                      <a:tailEnd/>
                    </a:ln>
                  </pic:spPr>
                </pic:pic>
              </a:graphicData>
            </a:graphic>
          </wp:inline>
        </w:drawing>
      </w:r>
    </w:p>
    <w:p>
      <w:pPr>
        <w:pStyle w:val="ImageCaption"/>
      </w:pPr>
      <w:r>
        <w:t xml:space="preserve">Figure 1.3– Global use case diagram</w:t>
      </w:r>
    </w:p>
    <w:bookmarkEnd w:id="55"/>
    <w:p>
      <w:pPr>
        <w:pStyle w:val="BodyText"/>
      </w:pPr>
      <w:r>
        <w:t xml:space="preserve">Every authenticated use case includes</w:t>
      </w:r>
      <w:r>
        <w:t xml:space="preserve"> </w:t>
      </w:r>
      <w:r>
        <w:rPr>
          <w:i/>
          <w:iCs/>
        </w:rPr>
        <w:t xml:space="preserve">Sign in</w:t>
      </w:r>
      <w:r>
        <w:t xml:space="preserve">.</w:t>
      </w:r>
      <w:r>
        <w:t xml:space="preserve"> </w:t>
      </w:r>
      <w:r>
        <w:rPr>
          <w:i/>
          <w:iCs/>
        </w:rPr>
        <w:t xml:space="preserve">Sign in with Google</w:t>
      </w:r>
      <w:r>
        <w:t xml:space="preserve"> </w:t>
      </w:r>
      <w:r>
        <w:t xml:space="preserve">and</w:t>
      </w:r>
      <w:r>
        <w:t xml:space="preserve"> </w:t>
      </w:r>
      <w:r>
        <w:rPr>
          <w:i/>
          <w:iCs/>
        </w:rPr>
        <w:t xml:space="preserve">Create an</w:t>
      </w:r>
      <w:r>
        <w:rPr>
          <w:i/>
          <w:iCs/>
        </w:rPr>
        <w:t xml:space="preserve"> </w:t>
      </w:r>
      <w:r>
        <w:rPr>
          <w:i/>
          <w:iCs/>
        </w:rPr>
        <w:t xml:space="preserve">account</w:t>
      </w:r>
      <w:r>
        <w:t xml:space="preserve"> </w:t>
      </w:r>
      <w:r>
        <w:t xml:space="preserve">both extend it: a visitor reaches registration from the sign-in page, and</w:t>
      </w:r>
      <w:r>
        <w:t xml:space="preserve"> </w:t>
      </w:r>
      <w:r>
        <w:t xml:space="preserve">Google sign-in creates the account on first use. Listing on the marketplace extends</w:t>
      </w:r>
      <w:r>
        <w:t xml:space="preserve"> </w:t>
      </w:r>
      <w:r>
        <w:t xml:space="preserve">publishing; unlocking a preview extends acquiring an article; grounding answers in</w:t>
      </w:r>
      <w:r>
        <w:t xml:space="preserve"> </w:t>
      </w:r>
      <w:r>
        <w:t xml:space="preserve">uploaded documents extends the use of the assistant, which always includes retrieval</w:t>
      </w:r>
      <w:r>
        <w:t xml:space="preserve"> </w:t>
      </w:r>
      <w:r>
        <w:t xml:space="preserve">from the writer’s own corpus. The administrator’s three use cases — reviewing the</w:t>
      </w:r>
      <w:r>
        <w:t xml:space="preserve"> </w:t>
      </w:r>
      <w:r>
        <w:t xml:space="preserve">report queue, managing users and granting eligibility — are the concrete operations</w:t>
      </w:r>
      <w:r>
        <w:t xml:space="preserve"> </w:t>
      </w:r>
      <w:r>
        <w:t xml:space="preserve">that the administration console offers. The diagram shows that the system has a</w:t>
      </w:r>
      <w:r>
        <w:t xml:space="preserve"> </w:t>
      </w:r>
      <w:r>
        <w:t xml:space="preserve">single entry point for every privileged action,</w:t>
      </w:r>
      <w:r>
        <w:t xml:space="preserve"> </w:t>
      </w:r>
      <w:r>
        <w:rPr>
          <w:i/>
          <w:iCs/>
        </w:rPr>
        <w:t xml:space="preserve">Sign in</w:t>
      </w:r>
      <w:r>
        <w:t xml:space="preserve">, which is where the guard</w:t>
      </w:r>
      <w:r>
        <w:t xml:space="preserve"> </w:t>
      </w:r>
      <w:r>
        <w:t xml:space="preserve">stack of NFR-03 applies, and that only two use cases depend on external providers:</w:t>
      </w:r>
      <w:r>
        <w:t xml:space="preserve"> </w:t>
      </w:r>
      <w:r>
        <w:t xml:space="preserve">the assistant on the language model and retrieval on the embedding model.</w:t>
      </w:r>
    </w:p>
    <w:bookmarkEnd w:id="56"/>
    <w:bookmarkStart w:id="65" w:name="sec:classes-global"/>
    <w:p>
      <w:pPr>
        <w:pStyle w:val="Heading2"/>
      </w:pPr>
      <w:r>
        <w:rPr>
          <w:rStyle w:val="SectionNumber"/>
        </w:rPr>
        <w:t xml:space="preserve">1.7</w:t>
      </w:r>
      <w:r>
        <w:tab/>
      </w:r>
      <w:r>
        <w:t xml:space="preserve">Global class diagram</w:t>
      </w:r>
    </w:p>
    <w:p>
      <w:pPr>
        <w:pStyle w:val="FirstParagraph"/>
      </w:pPr>
      <w:r>
        <w:t xml:space="preserve">The data model counts thirty persisted tables. Drawn in a single diagram they form an</w:t>
      </w:r>
      <w:r>
        <w:t xml:space="preserve"> </w:t>
      </w:r>
      <w:r>
        <w:t xml:space="preserve">unreadable strip, because</w:t>
      </w:r>
      <w:r>
        <w:t xml:space="preserve"> </w:t>
      </w:r>
      <w:r>
        <w:rPr>
          <w:rStyle w:val="VerbatimChar"/>
        </w:rPr>
        <w:t xml:space="preserve">User</w:t>
      </w:r>
      <w:r>
        <w:t xml:space="preserve"> </w:t>
      </w:r>
      <w:r>
        <w:t xml:space="preserve">is related to most of the others, so the global class</w:t>
      </w:r>
      <w:r>
        <w:t xml:space="preserve"> </w:t>
      </w:r>
      <w:r>
        <w:t xml:space="preserve">diagram is split by domain into two figures. Attributes are shown with domain types</w:t>
      </w:r>
      <w:r>
        <w:t xml:space="preserve"> </w:t>
      </w:r>
      <w:r>
        <w:t xml:space="preserve">(</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 columns are omitted. Each class shows the main</w:t>
      </w:r>
      <w:r>
        <w:t xml:space="preserve"> </w:t>
      </w:r>
      <w:r>
        <w:rPr>
          <w:b/>
          <w:bCs/>
        </w:rPr>
        <w:t xml:space="preserve">operations</w:t>
      </w:r>
      <w:r>
        <w:t xml:space="preserve"> </w:t>
      </w:r>
      <w:r>
        <w:t xml:space="preserve">it supports; they are implemented by the service of the same domain</w:t>
      </w:r>
      <w:r>
        <w:t xml:space="preserve"> </w:t>
      </w:r>
      <w:r>
        <w:t xml:space="preserve">(for instance</w:t>
      </w:r>
      <w:r>
        <w:t xml:space="preserve"> </w:t>
      </w:r>
      <w:r>
        <w:rPr>
          <w:rStyle w:val="VerbatimChar"/>
        </w:rPr>
        <w:t xml:space="preserve">Article.publish()</w:t>
      </w:r>
      <w:r>
        <w:t xml:space="preserve"> </w:t>
      </w:r>
      <w:r>
        <w:t xml:space="preserve">by the articles service), because the classes are</w:t>
      </w:r>
      <w:r>
        <w:t xml:space="preserve"> </w:t>
      </w:r>
      <w:r>
        <w:t xml:space="preserve">persisted records and the behaviour lives in the service layer. Relationships that</w:t>
      </w:r>
      <w:r>
        <w:t xml:space="preserve"> </w:t>
      </w:r>
      <w:r>
        <w:t xml:space="preserve">carry nothing but a pair and a date — likes, comment likes, reposts, saves, follows,</w:t>
      </w:r>
      <w:r>
        <w:t xml:space="preserve"> </w:t>
      </w:r>
      <w:r>
        <w:t xml:space="preserve">blocks, tags — are drawn as many-to-many associations; each is stored as a join table</w:t>
      </w:r>
      <w:r>
        <w:t xml:space="preserve"> </w:t>
      </w:r>
      <w:r>
        <w:t xml:space="preserve">with a unique constraint on its pair.</w:t>
      </w:r>
    </w:p>
    <w:p>
      <w:pPr>
        <w:pStyle w:val="BodyText"/>
      </w:pPr>
      <w:r>
        <w:rPr>
          <w:b/>
          <w:bCs/>
        </w:rPr>
        <w:t xml:space="preserve">Core domain.</w:t>
      </w:r>
      <w:r>
        <w:t xml:space="preserve"> </w:t>
      </w:r>
      <w:hyperlink w:anchor="fig:classes-core">
        <w:r>
          <w:rPr>
            <w:rStyle w:val="Hyperlink"/>
          </w:rPr>
          <w:t xml:space="preserve">Figure 1.4</w:t>
        </w:r>
      </w:hyperlink>
      <w:r>
        <w:t xml:space="preserve"> </w:t>
      </w:r>
      <w:r>
        <w:t xml:space="preserve">shows accounts, articles and their social layer: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w:t>
      </w:r>
      <w:r>
        <w:t xml:space="preserve"> </w:t>
      </w:r>
      <w:r>
        <w:t xml:space="preserve">visibility and price, tags, threaded comments, notifications and reports.</w:t>
      </w:r>
    </w:p>
    <w:bookmarkStart w:id="60" w:name="fig:classes-core"/>
    <w:p>
      <w:pPr>
        <w:pStyle w:val="CaptionedFigure"/>
      </w:pPr>
      <w:r>
        <w:drawing>
          <wp:inline>
            <wp:extent cx="5334000" cy="2099705"/>
            <wp:effectExtent b="0" l="0" r="0" t="0"/>
            <wp:docPr descr="Figure 1.4– Class diagram: core domain" title="" id="58" name="Picture"/>
            <a:graphic>
              <a:graphicData uri="http://schemas.openxmlformats.org/drawingml/2006/picture">
                <pic:pic>
                  <pic:nvPicPr>
                    <pic:cNvPr descr="../diagrams/fig-2-2-classes-core-domain/fig-2-2-classes-core-domain.png" id="59" name="Picture"/>
                    <pic:cNvPicPr>
                      <a:picLocks noChangeArrowheads="1" noChangeAspect="1"/>
                    </pic:cNvPicPr>
                  </pic:nvPicPr>
                  <pic:blipFill>
                    <a:blip r:embed="rId57"/>
                    <a:stretch>
                      <a:fillRect/>
                    </a:stretch>
                  </pic:blipFill>
                  <pic:spPr bwMode="auto">
                    <a:xfrm>
                      <a:off x="0" y="0"/>
                      <a:ext cx="5334000" cy="2099705"/>
                    </a:xfrm>
                    <a:prstGeom prst="rect">
                      <a:avLst/>
                    </a:prstGeom>
                    <a:noFill/>
                    <a:ln w="9525">
                      <a:noFill/>
                      <a:headEnd/>
                      <a:tailEnd/>
                    </a:ln>
                  </pic:spPr>
                </pic:pic>
              </a:graphicData>
            </a:graphic>
          </wp:inline>
        </w:drawing>
      </w:r>
    </w:p>
    <w:p>
      <w:pPr>
        <w:pStyle w:val="ImageCaption"/>
      </w:pPr>
      <w:r>
        <w:t xml:space="preserve">Figure 1.4– Class diagram: core domain</w:t>
      </w:r>
    </w:p>
    <w:bookmarkEnd w:id="60"/>
    <w:p>
      <w:pPr>
        <w:pStyle w:val="BodyText"/>
      </w:pPr>
      <w:r>
        <w:t xml:space="preserve">The diagram shows that the social layer adds no entity of its own: every interaction</w:t>
      </w:r>
      <w:r>
        <w:t xml:space="preserve"> </w:t>
      </w:r>
      <w:r>
        <w:t xml:space="preserve">is an association between a user and an article, a comment or another user. That is</w:t>
      </w:r>
      <w:r>
        <w:t xml:space="preserve"> </w:t>
      </w:r>
      <w:r>
        <w:t xml:space="preserve">what makes interactions cheap to count for analytics and impossible to duplicate,</w:t>
      </w:r>
      <w:r>
        <w:t xml:space="preserve"> </w:t>
      </w:r>
      <w:r>
        <w:t xml:space="preserve">since the unique pair constraint turns a repeated like into a no-op.</w:t>
      </w:r>
      <w:r>
        <w:t xml:space="preserve"> </w:t>
      </w:r>
      <w:r>
        <w:rPr>
          <w:rStyle w:val="VerbatimChar"/>
        </w:rPr>
        <w:t xml:space="preserve">Article.publisherId</w:t>
      </w:r>
      <w:r>
        <w:t xml:space="preserve"> </w:t>
      </w:r>
      <w:r>
        <w:t xml:space="preserve">names the magazine that published a licensed article and is</w:t>
      </w:r>
      <w:r>
        <w:t xml:space="preserve"> </w:t>
      </w:r>
      <w:r>
        <w:t xml:space="preserve">empty for every other article; it is the single attribute through which the</w:t>
      </w:r>
      <w:r>
        <w:t xml:space="preserve"> </w:t>
      </w:r>
      <w:r>
        <w:t xml:space="preserve">marketplace changes the core model.</w:t>
      </w:r>
    </w:p>
    <w:p>
      <w:pPr>
        <w:pStyle w:val="BodyText"/>
      </w:pPr>
      <w:r>
        <w:rPr>
          <w:b/>
          <w:bCs/>
        </w:rPr>
        <w:t xml:space="preserve">AI, marketplace and analytics.</w:t>
      </w:r>
      <w:r>
        <w:t xml:space="preserve"> </w:t>
      </w:r>
      <w:hyperlink w:anchor="fig:classes-ai">
        <w:r>
          <w:rPr>
            <w:rStyle w:val="Hyperlink"/>
          </w:rPr>
          <w:t xml:space="preserve">Figure 1.5</w:t>
        </w:r>
      </w:hyperlink>
      <w:r>
        <w:t xml:space="preserve"> </w:t>
      </w:r>
      <w:r>
        <w:t xml:space="preserve">shows the remaining tables: the</w:t>
      </w:r>
      <w:r>
        <w:t xml:space="preserve"> </w:t>
      </w:r>
      <w:r>
        <w:t xml:space="preserve">article chunks embedded for retrieval, the writer memory, the cached portfolio</w:t>
      </w:r>
      <w:r>
        <w:t xml:space="preserve"> </w:t>
      </w:r>
      <w:r>
        <w:t xml:space="preserve">insights and the AI interaction log; the private document library and its chunks;</w:t>
      </w:r>
      <w:r>
        <w:t xml:space="preserve"> </w:t>
      </w:r>
      <w:r>
        <w:t xml:space="preserve">purchases, ledger transactions, magazine subscriptions and the eligibility audit log;</w:t>
      </w:r>
      <w:r>
        <w:t xml:space="preserve"> </w:t>
      </w:r>
      <w:r>
        <w:t xml:space="preserve">and the raw analytics events with the four metric rollups.</w:t>
      </w:r>
    </w:p>
    <w:bookmarkStart w:id="64" w:name="fig:classes-ai"/>
    <w:p>
      <w:pPr>
        <w:pStyle w:val="CaptionedFigure"/>
      </w:pPr>
      <w:r>
        <w:drawing>
          <wp:inline>
            <wp:extent cx="5334000" cy="3600037"/>
            <wp:effectExtent b="0" l="0" r="0" t="0"/>
            <wp:docPr descr="Figure 1.5– Class diagram: AI, marketplace and analytics" title="" id="62" name="Picture"/>
            <a:graphic>
              <a:graphicData uri="http://schemas.openxmlformats.org/drawingml/2006/picture">
                <pic:pic>
                  <pic:nvPicPr>
                    <pic:cNvPr descr="../diagrams/fig-2-3-classes-ai-marketplace-analytics/fig-2-3-classes-ai-marketplace-analytics.png" id="63" name="Picture"/>
                    <pic:cNvPicPr>
                      <a:picLocks noChangeArrowheads="1" noChangeAspect="1"/>
                    </pic:cNvPicPr>
                  </pic:nvPicPr>
                  <pic:blipFill>
                    <a:blip r:embed="rId61"/>
                    <a:stretch>
                      <a:fillRect/>
                    </a:stretch>
                  </pic:blipFill>
                  <pic:spPr bwMode="auto">
                    <a:xfrm>
                      <a:off x="0" y="0"/>
                      <a:ext cx="5334000" cy="3600037"/>
                    </a:xfrm>
                    <a:prstGeom prst="rect">
                      <a:avLst/>
                    </a:prstGeom>
                    <a:noFill/>
                    <a:ln w="9525">
                      <a:noFill/>
                      <a:headEnd/>
                      <a:tailEnd/>
                    </a:ln>
                  </pic:spPr>
                </pic:pic>
              </a:graphicData>
            </a:graphic>
          </wp:inline>
        </w:drawing>
      </w:r>
    </w:p>
    <w:p>
      <w:pPr>
        <w:pStyle w:val="ImageCaption"/>
      </w:pPr>
      <w:r>
        <w:t xml:space="preserve">Figure 1.5– Class diagram: AI, marketplace and analytics</w:t>
      </w:r>
    </w:p>
    <w:bookmarkEnd w:id="64"/>
    <w:p>
      <w:pPr>
        <w:pStyle w:val="BodyText"/>
      </w:pPr>
      <w:r>
        <w:t xml:space="preserve">Two properties follow from this diagram. Money is never a single number: a</w:t>
      </w:r>
      <w:r>
        <w:t xml:space="preserve"> </w:t>
      </w:r>
      <w:r>
        <w:rPr>
          <w:rStyle w:val="VerbatimChar"/>
        </w:rPr>
        <w:t xml:space="preserve">Purchase</w:t>
      </w:r>
      <w:r>
        <w:t xml:space="preserve"> </w:t>
      </w:r>
      <w:r>
        <w:t xml:space="preserve">records two to three</w:t>
      </w:r>
      <w:r>
        <w:t xml:space="preserve"> </w:t>
      </w:r>
      <w:r>
        <w:rPr>
          <w:rStyle w:val="VerbatimChar"/>
        </w:rPr>
        <w:t xml:space="preserve">Transaction</w:t>
      </w:r>
      <w:r>
        <w:t xml:space="preserve"> </w:t>
      </w:r>
      <w:r>
        <w:t xml:space="preserve">rows, and every balance can be</w:t>
      </w:r>
      <w:r>
        <w:t xml:space="preserve"> </w:t>
      </w:r>
      <w:r>
        <w:t xml:space="preserve">recomputed from them, which is what the ledger invariants of NFR-19 check. And the</w:t>
      </w:r>
      <w:r>
        <w:t xml:space="preserve"> </w:t>
      </w:r>
      <w:r>
        <w:t xml:space="preserve">analytics are layered: raw</w:t>
      </w:r>
      <w:r>
        <w:t xml:space="preserve"> </w:t>
      </w:r>
      <w:r>
        <w:rPr>
          <w:rStyle w:val="VerbatimChar"/>
        </w:rPr>
        <w:t xml:space="preserve">AnalyticsEvent</w:t>
      </w:r>
      <w:r>
        <w:t xml:space="preserve"> </w:t>
      </w:r>
      <w:r>
        <w:t xml:space="preserve">rows are written once and never read by a</w:t>
      </w:r>
      <w:r>
        <w:t xml:space="preserve"> </w:t>
      </w:r>
      <w:r>
        <w:t xml:space="preserve">dashboard, which reads only the rollups, so a dashboard’s cost does not grow with the</w:t>
      </w:r>
      <w:r>
        <w:t xml:space="preserve"> </w:t>
      </w:r>
      <w:r>
        <w:t xml:space="preserve">event log (NFR-15).</w:t>
      </w:r>
    </w:p>
    <w:bookmarkEnd w:id="65"/>
    <w:bookmarkStart w:id="67"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66"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66"/>
    <w:p>
      <w:pPr>
        <w:pStyle w:val="BodyText"/>
      </w:pPr>
      <w:r>
        <w:t xml:space="preserve">The distribution of points shows where the effort lies. The AI assistance epic is the</w:t>
      </w:r>
      <w:r>
        <w:t xml:space="preserve"> </w:t>
      </w:r>
      <w:r>
        <w:t xml:space="preserve">heaviest (21% of the points) although it is not the largest in stories: its stories —</w:t>
      </w:r>
      <w:r>
        <w:t xml:space="preserve"> </w:t>
      </w:r>
      <w:r>
        <w:t xml:space="preserve">retrieval grounded in the writer’s corpus, writing into the document, voice, the</w:t>
      </w:r>
      <w:r>
        <w:t xml:space="preserve"> </w:t>
      </w:r>
      <w:r>
        <w:t xml:space="preserve">document library —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67"/>
    <w:bookmarkStart w:id="73"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68"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68"/>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 subscription,</w:t>
      </w:r>
      <w:r>
        <w:t xml:space="preserve"> </w:t>
      </w:r>
      <w:r>
        <w:t xml:space="preserve">credits, preview, purchase, publication, earnings —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1.6</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72" w:name="fig:gantt"/>
    <w:p>
      <w:pPr>
        <w:pStyle w:val="CaptionedFigure"/>
      </w:pPr>
      <w:r>
        <w:drawing>
          <wp:inline>
            <wp:extent cx="5334000" cy="2764335"/>
            <wp:effectExtent b="0" l="0" r="0" t="0"/>
            <wp:docPr descr="Figure 1.6– Gantt chart of the project" title="" id="70" name="Picture"/>
            <a:graphic>
              <a:graphicData uri="http://schemas.openxmlformats.org/drawingml/2006/picture">
                <pic:pic>
                  <pic:nvPicPr>
                    <pic:cNvPr descr="../diagrams/fig-2-4-gantt/fig-2-4-gantt.png" id="71" name="Picture"/>
                    <pic:cNvPicPr>
                      <a:picLocks noChangeArrowheads="1" noChangeAspect="1"/>
                    </pic:cNvPicPr>
                  </pic:nvPicPr>
                  <pic:blipFill>
                    <a:blip r:embed="rId69"/>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1.6– Gantt chart of the project</w:t>
      </w:r>
    </w:p>
    <w:bookmarkEnd w:id="72"/>
    <w:p>
      <w:pPr>
        <w:pStyle w:val="BodyText"/>
      </w:pPr>
      <w:r>
        <w:t xml:space="preserve">The chart shows the one break in the rhythm of the sprints: the six weeks of the design</w:t>
      </w:r>
      <w:r>
        <w:t xml:space="preserve"> </w:t>
      </w:r>
      <w:r>
        <w:t xml:space="preserve">track between Sprint 1 and Sprint 2. Placing them there was deliberate — the editor</w:t>
      </w:r>
      <w:r>
        <w:t xml:space="preserve"> </w:t>
      </w:r>
      <w:r>
        <w:t xml:space="preserve">and the social features of Sprint 2 onwards were built from finished screens rather</w:t>
      </w:r>
      <w:r>
        <w:t xml:space="preserve"> </w:t>
      </w:r>
      <w:r>
        <w:t xml:space="preserve">than designed while being coded — and it is the reason the first release spans two</w:t>
      </w:r>
      <w:r>
        <w:t xml:space="preserve"> </w:t>
      </w:r>
      <w:r>
        <w:t xml:space="preserve">months instead of one.</w:t>
      </w:r>
    </w:p>
    <w:bookmarkEnd w:id="73"/>
    <w:bookmarkStart w:id="74"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eight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74"/>
    <w:bookmarkEnd w:id="75"/>
    <w:bookmarkStart w:id="116"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76"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 its logical</w:t>
      </w:r>
      <w:r>
        <w:t xml:space="preserve"> </w:t>
      </w:r>
      <w:r>
        <w:t xml:space="preserve">decomposition on the frontend and the backend, its physical deployment and its</w:t>
      </w:r>
      <w:r>
        <w:t xml:space="preserve"> </w:t>
      </w:r>
      <w:r>
        <w:t xml:space="preserve">delivery pipeline.</w:t>
      </w:r>
    </w:p>
    <w:bookmarkEnd w:id="76"/>
    <w:bookmarkStart w:id="83" w:name="working-environment"/>
    <w:p>
      <w:pPr>
        <w:pStyle w:val="Heading2"/>
      </w:pPr>
      <w:r>
        <w:rPr>
          <w:rStyle w:val="SectionNumber"/>
        </w:rPr>
        <w:t xml:space="preserve">2.1</w:t>
      </w:r>
      <w:r>
        <w:tab/>
      </w:r>
      <w:r>
        <w:t xml:space="preserve">Working environment</w:t>
      </w:r>
    </w:p>
    <w:bookmarkStart w:id="78"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77"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77"/>
    <w:bookmarkEnd w:id="78"/>
    <w:bookmarkStart w:id="80"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 code, diagrams, this report — is kept as text under</w:t>
      </w:r>
      <w:r>
        <w:t xml:space="preserve"> </w:t>
      </w:r>
      <w:r>
        <w:t xml:space="preserve">version control, and everything that runs, runs in a container.</w:t>
      </w:r>
    </w:p>
    <w:bookmarkStart w:id="79"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79"/>
    <w:bookmarkEnd w:id="80"/>
    <w:bookmarkStart w:id="81"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t xml:space="preserve"> </w:t>
      </w:r>
      <w:r>
        <w:rPr>
          <w:b/>
          <w:bCs/>
        </w:rPr>
        <w:t xml:space="preserve">375 px for mobile and</w:t>
      </w:r>
      <w:r>
        <w:rPr>
          <w:b/>
          <w:bCs/>
        </w:rPr>
        <w:t xml:space="preserve"> </w:t>
      </w:r>
      <w:r>
        <w:rPr>
          <w:b/>
          <w:bCs/>
        </w:rPr>
        <w:t xml:space="preserve">1280–1440 px for desktop</w:t>
      </w:r>
      <w:r>
        <w:t xml:space="preserve">, 58 screens — then an audit of the screens against the</w:t>
      </w:r>
      <w:r>
        <w:t xml:space="preserve"> </w:t>
      </w:r>
      <w:r>
        <w:t xml:space="preserve">specification. The release chapters implement these designs.</w:t>
      </w:r>
    </w:p>
    <w:bookmarkEnd w:id="81"/>
    <w:bookmarkStart w:id="82"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 </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82"/>
    <w:bookmarkEnd w:id="83"/>
    <w:bookmarkStart w:id="91"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85"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 the feed, articles, profiles —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84"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 the protected range the assistant writes into needs one</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84"/>
    <w:bookmarkEnd w:id="85"/>
    <w:bookmarkStart w:id="87"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86"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86"/>
    <w:bookmarkEnd w:id="87"/>
    <w:bookmarkStart w:id="89"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88"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88"/>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89"/>
    <w:bookmarkStart w:id="90"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90"/>
    <w:bookmarkEnd w:id="91"/>
    <w:bookmarkStart w:id="93"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 a source, a measurement, or a product decision</w:t>
      </w:r>
      <w:r>
        <w:t xml:space="preserve"> </w:t>
      </w:r>
      <w:r>
        <w:t xml:space="preserve">stated as such.</w:t>
      </w:r>
    </w:p>
    <w:bookmarkStart w:id="92"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92"/>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 prices, fee, credits, thresholds</w:t>
      </w:r>
      <w:r>
        <w:t xml:space="preserve"> </w:t>
      </w:r>
      <w:r>
        <w:t xml:space="preserve">— 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93"/>
    <w:bookmarkStart w:id="104" w:name="logical-architecture"/>
    <w:p>
      <w:pPr>
        <w:pStyle w:val="Heading2"/>
      </w:pPr>
      <w:r>
        <w:rPr>
          <w:rStyle w:val="SectionNumber"/>
        </w:rPr>
        <w:t xml:space="preserve">2.4</w:t>
      </w:r>
      <w:r>
        <w:tab/>
      </w:r>
      <w:r>
        <w:t xml:space="preserve">Logical architecture</w:t>
      </w:r>
    </w:p>
    <w:bookmarkStart w:id="98"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97" w:name="fig:arch-frontend"/>
    <w:p>
      <w:pPr>
        <w:pStyle w:val="CaptionedFigure"/>
      </w:pPr>
      <w:r>
        <w:drawing>
          <wp:inline>
            <wp:extent cx="5334000" cy="2814734"/>
            <wp:effectExtent b="0" l="0" r="0" t="0"/>
            <wp:docPr descr="Figure 2.1– Logical frontend architecture" title="" id="95" name="Picture"/>
            <a:graphic>
              <a:graphicData uri="http://schemas.openxmlformats.org/drawingml/2006/picture">
                <pic:pic>
                  <pic:nvPicPr>
                    <pic:cNvPr descr="../diagrams/fig-3-1-architecture-frontend/fig-3-1-architecture-frontend.png" id="96" name="Picture"/>
                    <pic:cNvPicPr>
                      <a:picLocks noChangeArrowheads="1" noChangeAspect="1"/>
                    </pic:cNvPicPr>
                  </pic:nvPicPr>
                  <pic:blipFill>
                    <a:blip r:embed="rId94"/>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97"/>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among them the editor, the</w:t>
      </w:r>
      <w:r>
        <w:t xml:space="preserve"> </w:t>
      </w:r>
      <w:r>
        <w:t xml:space="preserve">assistant, documents, the marketplace and the evaluation report). A</w:t>
      </w:r>
      <w:r>
        <w:t xml:space="preserve"> </w:t>
      </w:r>
      <w:r>
        <w:rPr>
          <w:b/>
          <w:bCs/>
        </w:rPr>
        <w:t xml:space="preserve">state and data</w:t>
      </w:r>
      <w:r>
        <w:t xml:space="preserve"> </w:t>
      </w:r>
      <w:r>
        <w:t xml:space="preserve">layer holds the query cache, the client stores, the HTTP interceptors that refresh an</w:t>
      </w:r>
      <w:r>
        <w:t xml:space="preserve"> </w:t>
      </w:r>
      <w:r>
        <w:t xml:space="preserve">expired access token and retry the request, and the analytics tracker. A</w:t>
      </w:r>
      <w:r>
        <w:t xml:space="preserve"> </w:t>
      </w:r>
      <w:r>
        <w:rPr>
          <w:b/>
          <w:bCs/>
        </w:rPr>
        <w:t xml:space="preserve">request</w:t>
      </w:r>
      <w:r>
        <w:rPr>
          <w:b/>
          <w:bCs/>
        </w:rPr>
        <w:t xml:space="preserve"> </w:t>
      </w:r>
      <w:r>
        <w:rPr>
          <w:b/>
          <w:bCs/>
        </w:rPr>
        <w:t xml:space="preserve">proxy</w:t>
      </w:r>
      <w:r>
        <w:t xml:space="preserve"> </w:t>
      </w:r>
      <w:r>
        <w:t xml:space="preserve">protects private routes before a page renders. Two channels bypass the REST</w:t>
      </w:r>
      <w:r>
        <w:t xml:space="preserve"> </w:t>
      </w:r>
      <w:r>
        <w:t xml:space="preserve">API: an</w:t>
      </w:r>
      <w:r>
        <w:t xml:space="preserve"> </w:t>
      </w:r>
      <w:r>
        <w:rPr>
          <w:b/>
          <w:bCs/>
        </w:rPr>
        <w:t xml:space="preserve">SSE client</w:t>
      </w:r>
      <w:r>
        <w:t xml:space="preserve"> </w:t>
      </w:r>
      <w:r>
        <w:t xml:space="preserve">for live notifications, and</w:t>
      </w:r>
      <w:r>
        <w:t xml:space="preserve"> </w:t>
      </w:r>
      <w:r>
        <w:rPr>
          <w:b/>
          <w:bCs/>
        </w:rPr>
        <w:t xml:space="preserve">direct uploads</w:t>
      </w:r>
      <w:r>
        <w:t xml:space="preserve"> </w:t>
      </w:r>
      <w:r>
        <w:t xml:space="preserve">from the browser</w:t>
      </w:r>
      <w:r>
        <w:t xml:space="preserve"> </w:t>
      </w:r>
      <w:r>
        <w:t xml:space="preserve">to object storage. The figure shows that no feature module talks to the network</w:t>
      </w:r>
      <w:r>
        <w:t xml:space="preserve"> </w:t>
      </w:r>
      <w:r>
        <w:t xml:space="preserve">directly: they go through the data layer, which is why token refresh and error</w:t>
      </w:r>
      <w:r>
        <w:t xml:space="preserve"> </w:t>
      </w:r>
      <w:r>
        <w:t xml:space="preserve">handling are written once.</w:t>
      </w:r>
    </w:p>
    <w:bookmarkEnd w:id="98"/>
    <w:bookmarkStart w:id="103"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102" w:name="fig:arch-backend"/>
    <w:p>
      <w:pPr>
        <w:pStyle w:val="CaptionedFigure"/>
      </w:pPr>
      <w:r>
        <w:drawing>
          <wp:inline>
            <wp:extent cx="5334000" cy="3720719"/>
            <wp:effectExtent b="0" l="0" r="0" t="0"/>
            <wp:docPr descr="Figure 2.2– Logical backend architecture" title="" id="100" name="Picture"/>
            <a:graphic>
              <a:graphicData uri="http://schemas.openxmlformats.org/drawingml/2006/picture">
                <pic:pic>
                  <pic:nvPicPr>
                    <pic:cNvPr descr="../diagrams/fig-3-2-architecture-backend/fig-3-2-architecture-backend.png" id="101" name="Picture"/>
                    <pic:cNvPicPr>
                      <a:picLocks noChangeArrowheads="1" noChangeAspect="1"/>
                    </pic:cNvPicPr>
                  </pic:nvPicPr>
                  <pic:blipFill>
                    <a:blip r:embed="rId99"/>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102"/>
    <w:p>
      <w:pPr>
        <w:pStyle w:val="BodyText"/>
      </w:pPr>
      <w:r>
        <w:t xml:space="preserve">The</w:t>
      </w:r>
      <w:r>
        <w:t xml:space="preserve"> </w:t>
      </w:r>
      <w:r>
        <w:rPr>
          <w:b/>
          <w:bCs/>
        </w:rPr>
        <w:t xml:space="preserve">API</w:t>
      </w:r>
      <w:r>
        <w:t xml:space="preserve"> </w:t>
      </w:r>
      <w:r>
        <w:t xml:space="preserve">is a modular NestJS application: a global rate-limiting guard runs on every</w:t>
      </w:r>
      <w:r>
        <w:t xml:space="preserve"> </w:t>
      </w:r>
      <w:r>
        <w:t xml:space="preserve">route, then the guards composed once by the</w:t>
      </w:r>
      <w:r>
        <w:t xml:space="preserve"> </w:t>
      </w:r>
      <w:r>
        <w:rPr>
          <w:rStyle w:val="VerbatimChar"/>
        </w:rPr>
        <w:t xml:space="preserve">@Auth()</w:t>
      </w:r>
      <w:r>
        <w:t xml:space="preserve"> </w:t>
      </w:r>
      <w:r>
        <w:t xml:space="preserve">decorator — authentication, role,</w:t>
      </w:r>
      <w:r>
        <w:t xml:space="preserve"> </w:t>
      </w:r>
      <w:r>
        <w:t xml:space="preserve">plan, account type, subscription and AI quota. The feature modules cover</w:t>
      </w:r>
      <w:r>
        <w:t xml:space="preserve"> </w:t>
      </w:r>
      <w:r>
        <w:t xml:space="preserve">authentication and users, articles, social interactions, AI, analytics, the</w:t>
      </w:r>
      <w:r>
        <w:t xml:space="preserve"> </w:t>
      </w:r>
      <w:r>
        <w:t xml:space="preserve">marketplace, search, moderation and uploads, and documents. The</w:t>
      </w:r>
      <w:r>
        <w:t xml:space="preserve"> </w:t>
      </w:r>
      <w:r>
        <w:rPr>
          <w:b/>
          <w:bCs/>
        </w:rPr>
        <w:t xml:space="preserve">worker</w:t>
      </w:r>
      <w:r>
        <w:t xml:space="preserve"> </w:t>
      </w:r>
      <w:r>
        <w:t xml:space="preserve">consumes six</w:t>
      </w:r>
      <w:r>
        <w:t xml:space="preserve"> </w:t>
      </w:r>
      <w:r>
        <w:t xml:space="preserve">queues:</w:t>
      </w:r>
      <w:r>
        <w:t xml:space="preserve"> </w:t>
      </w:r>
      <w:r>
        <w:rPr>
          <w:rStyle w:val="VerbatimChar"/>
        </w:rPr>
        <w:t xml:space="preserve">embeddings</w:t>
      </w:r>
      <w:r>
        <w:t xml:space="preserve"> </w:t>
      </w:r>
      <w:r>
        <w:t xml:space="preserve">(chunking and embedding articles, extracting writer memory),</w:t>
      </w:r>
      <w:r>
        <w:t xml:space="preserve"> </w:t>
      </w:r>
      <w:r>
        <w:rPr>
          <w:rStyle w:val="VerbatimChar"/>
        </w:rPr>
        <w:t xml:space="preserve">analytics</w:t>
      </w:r>
      <w:r>
        <w:t xml:space="preserve"> </w:t>
      </w:r>
      <w:r>
        <w:t xml:space="preserve">(article and writer rollups),</w:t>
      </w:r>
      <w:r>
        <w:t xml:space="preserve"> </w:t>
      </w:r>
      <w:r>
        <w:rPr>
          <w:rStyle w:val="VerbatimChar"/>
        </w:rPr>
        <w:t xml:space="preserve">marketplace</w:t>
      </w:r>
      <w:r>
        <w:t xml:space="preserve"> </w:t>
      </w:r>
      <w:r>
        <w:t xml:space="preserve">(eligibility and subscription</w:t>
      </w:r>
      <w:r>
        <w:t xml:space="preserve"> </w:t>
      </w:r>
      <w:r>
        <w:t xml:space="preserve">renewal),</w:t>
      </w:r>
      <w:r>
        <w:t xml:space="preserve"> </w:t>
      </w:r>
      <w:r>
        <w:rPr>
          <w:rStyle w:val="VerbatimChar"/>
        </w:rPr>
        <w:t xml:space="preserve">ai-tokens</w:t>
      </w:r>
      <w:r>
        <w:t xml:space="preserve"> </w:t>
      </w:r>
      <w:r>
        <w:t xml:space="preserve">(the nightly allowance reset),</w:t>
      </w:r>
      <w:r>
        <w:t xml:space="preserve"> </w:t>
      </w:r>
      <w:r>
        <w:rPr>
          <w:rStyle w:val="VerbatimChar"/>
        </w:rPr>
        <w:t xml:space="preserve">documents</w:t>
      </w:r>
      <w:r>
        <w:t xml:space="preserve"> </w:t>
      </w:r>
      <w:r>
        <w:t xml:space="preserve">(ingesting uploaded</w:t>
      </w:r>
      <w:r>
        <w:t xml:space="preserve"> </w:t>
      </w:r>
      <w:r>
        <w:t xml:space="preserve">documents) and</w:t>
      </w:r>
      <w:r>
        <w:t xml:space="preserve"> </w:t>
      </w:r>
      <w:r>
        <w:rPr>
          <w:rStyle w:val="VerbatimChar"/>
        </w:rPr>
        <w:t xml:space="preserve">ai-models</w:t>
      </w:r>
      <w:r>
        <w:t xml:space="preserve"> </w:t>
      </w:r>
      <w:r>
        <w:t xml:space="preserve">(a daily check that every model still answers). The figure</w:t>
      </w:r>
      <w:r>
        <w:t xml:space="preserve"> </w:t>
      </w:r>
      <w:r>
        <w:t xml:space="preserve">makes the split visible: everything slow or scheduled lives in the worker, so the API’s</w:t>
      </w:r>
      <w:r>
        <w:t xml:space="preserve"> </w:t>
      </w:r>
      <w:r>
        <w:t xml:space="preserve">response time never includes a model call made on behalf of a background task</w:t>
      </w:r>
      <w:r>
        <w:t xml:space="preserve"> </w:t>
      </w:r>
      <w:r>
        <w:t xml:space="preserve">(NFR-27).</w:t>
      </w:r>
    </w:p>
    <w:bookmarkEnd w:id="103"/>
    <w:bookmarkEnd w:id="104"/>
    <w:bookmarkStart w:id="109"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08" w:name="fig:arch-physical"/>
    <w:p>
      <w:pPr>
        <w:pStyle w:val="CaptionedFigure"/>
      </w:pPr>
      <w:r>
        <w:drawing>
          <wp:inline>
            <wp:extent cx="5334000" cy="3066686"/>
            <wp:effectExtent b="0" l="0" r="0" t="0"/>
            <wp:docPr descr="Figure 2.3– Physical architecture" title="" id="106" name="Picture"/>
            <a:graphic>
              <a:graphicData uri="http://schemas.openxmlformats.org/drawingml/2006/picture">
                <pic:pic>
                  <pic:nvPicPr>
                    <pic:cNvPr descr="../diagrams/fig-3-3-architecture-physical/fig-3-3-architecture-physical.png" id="107" name="Picture"/>
                    <pic:cNvPicPr>
                      <a:picLocks noChangeArrowheads="1" noChangeAspect="1"/>
                    </pic:cNvPicPr>
                  </pic:nvPicPr>
                  <pic:blipFill>
                    <a:blip r:embed="rId105"/>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08"/>
    <w:p>
      <w:pPr>
        <w:pStyle w:val="BodyText"/>
      </w:pPr>
      <w:r>
        <w:rPr>
          <w:b/>
          <w:bCs/>
        </w:rPr>
        <w:t xml:space="preserve">nginx is the only service published</w:t>
      </w:r>
      <w:r>
        <w:t xml:space="preserve">, on ports 80 and 443: it terminates TLS,</w:t>
      </w:r>
      <w:r>
        <w:t xml:space="preserve"> </w:t>
      </w:r>
      <w:r>
        <w:t xml:space="preserve">proxies</w:t>
      </w:r>
      <w:r>
        <w:t xml:space="preserve"> </w:t>
      </w:r>
      <w:r>
        <w:rPr>
          <w:rStyle w:val="VerbatimChar"/>
        </w:rPr>
        <w:t xml:space="preserve">/</w:t>
      </w:r>
      <w:r>
        <w:t xml:space="preserve"> </w:t>
      </w:r>
      <w:r>
        <w:t xml:space="preserve">to the Next.js server and</w:t>
      </w:r>
      <w:r>
        <w:t xml:space="preserve"> </w:t>
      </w:r>
      <w:r>
        <w:rPr>
          <w:rStyle w:val="VerbatimChar"/>
        </w:rPr>
        <w:t xml:space="preserve">/api</w:t>
      </w:r>
      <w:r>
        <w:t xml:space="preserve"> </w:t>
      </w:r>
      <w:r>
        <w:t xml:space="preserve">to the NestJS API, keeps server-sent</w:t>
      </w:r>
      <w:r>
        <w:t xml:space="preserve"> </w:t>
      </w:r>
      <w:r>
        <w:t xml:space="preserve">events unbuffered, and serves the public image bucket at</w:t>
      </w:r>
      <w:r>
        <w:t xml:space="preserve"> </w:t>
      </w:r>
      <w:r>
        <w:rPr>
          <w:rStyle w:val="VerbatimChar"/>
        </w:rPr>
        <w:t xml:space="preserve">/storage</w:t>
      </w:r>
      <w:r>
        <w:t xml:space="preserve">. Private documents</w:t>
      </w:r>
      <w:r>
        <w:t xml:space="preserve"> </w:t>
      </w:r>
      <w:r>
        <w:t xml:space="preserve">never take that path; they are read through the API, which checks ownership. The</w:t>
      </w:r>
      <w:r>
        <w:t xml:space="preserve"> </w:t>
      </w:r>
      <w:r>
        <w:t xml:space="preserve">datastores are reachable only from inside the Compose network. The figure therefore</w:t>
      </w:r>
      <w:r>
        <w:t xml:space="preserve"> </w:t>
      </w:r>
      <w:r>
        <w:t xml:space="preserve">shows a single attack surface — one proxy — and a single place where TLS, buffering</w:t>
      </w:r>
      <w:r>
        <w:t xml:space="preserve"> </w:t>
      </w:r>
      <w:r>
        <w:t xml:space="preserve">and timeouts are configured.</w:t>
      </w:r>
    </w:p>
    <w:bookmarkEnd w:id="109"/>
    <w:bookmarkStart w:id="114"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13" w:name="fig:arch-cicd"/>
    <w:p>
      <w:pPr>
        <w:pStyle w:val="CaptionedFigure"/>
      </w:pPr>
      <w:r>
        <w:drawing>
          <wp:inline>
            <wp:extent cx="5334000" cy="2888654"/>
            <wp:effectExtent b="0" l="0" r="0" t="0"/>
            <wp:docPr descr="Figure 2.4– CI/CD pipeline" title="" id="111" name="Picture"/>
            <a:graphic>
              <a:graphicData uri="http://schemas.openxmlformats.org/drawingml/2006/picture">
                <pic:pic>
                  <pic:nvPicPr>
                    <pic:cNvPr descr="../diagrams/fig-3-4-architecture-cicd/fig-3-4-architecture-cicd.png" id="112" name="Picture"/>
                    <pic:cNvPicPr>
                      <a:picLocks noChangeArrowheads="1" noChangeAspect="1"/>
                    </pic:cNvPicPr>
                  </pic:nvPicPr>
                  <pic:blipFill>
                    <a:blip r:embed="rId110"/>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13"/>
    <w:p>
      <w:pPr>
        <w:pStyle w:val="BodyText"/>
      </w:pPr>
      <w:r>
        <w:t xml:space="preserve">A push to</w:t>
      </w:r>
      <w:r>
        <w:t xml:space="preserve"> </w:t>
      </w:r>
      <w:r>
        <w:rPr>
          <w:rStyle w:val="VerbatimChar"/>
        </w:rPr>
        <w:t xml:space="preserve">main</w:t>
      </w:r>
      <w:r>
        <w:t xml:space="preserve"> </w:t>
      </w:r>
      <w:r>
        <w:t xml:space="preserve">on either application repository runs the quality gates — install,</w:t>
      </w:r>
      <w:r>
        <w:t xml:space="preserve"> </w:t>
      </w:r>
      <w:r>
        <w:t xml:space="preserve">lint with zero warnings, type-check, the backend tests, a schema-drift check — then</w:t>
      </w:r>
      <w:r>
        <w:t xml:space="preserve"> </w:t>
      </w:r>
      <w:r>
        <w:t xml:space="preserve">builds a multi-stage image and pushes it to GHCR, tagged both</w:t>
      </w:r>
      <w:r>
        <w:t xml:space="preserve"> </w:t>
      </w:r>
      <w:r>
        <w:rPr>
          <w:rStyle w:val="VerbatimChar"/>
        </w:rPr>
        <w:t xml:space="preserve">latest</w:t>
      </w:r>
      <w:r>
        <w:t xml:space="preserve"> </w:t>
      </w:r>
      <w:r>
        <w:t xml:space="preserve">and with the</w:t>
      </w:r>
      <w:r>
        <w:t xml:space="preserve"> </w:t>
      </w:r>
      <w:r>
        <w:t xml:space="preserve">commit hash. A repository dispatch then triggers the deployment workflow of the</w:t>
      </w:r>
      <w:r>
        <w:t xml:space="preserve"> </w:t>
      </w:r>
      <w:r>
        <w:t xml:space="preserve">superproject, which pulls the images on the server, runs the migrations (which must</w:t>
      </w:r>
      <w:r>
        <w:t xml:space="preserve"> </w:t>
      </w:r>
      <w:r>
        <w:t xml:space="preserve">succeed before the API and worker start), restarts the services, verifies the health</w:t>
      </w:r>
      <w:r>
        <w:t xml:space="preserve"> </w:t>
      </w:r>
      <w:r>
        <w:t xml:space="preserve">and readiness endpoints and reloads nginx. The pipeline guarantees that no image</w:t>
      </w:r>
      <w:r>
        <w:t xml:space="preserve"> </w:t>
      </w:r>
      <w:r>
        <w:t xml:space="preserve">reaches the registry without passing the gates, and the commit-hash tag means any</w:t>
      </w:r>
      <w:r>
        <w:t xml:space="preserve"> </w:t>
      </w:r>
      <w:r>
        <w:t xml:space="preserve">deployed version can be traced to its source and redeployed.</w:t>
      </w:r>
    </w:p>
    <w:bookmarkEnd w:id="114"/>
    <w:bookmarkStart w:id="115"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15"/>
    <w:bookmarkEnd w:id="116"/>
    <w:bookmarkStart w:id="204"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17"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17"/>
    <w:bookmarkStart w:id="160" w:name="sec:sprint1"/>
    <w:p>
      <w:pPr>
        <w:pStyle w:val="Heading2"/>
      </w:pPr>
      <w:r>
        <w:rPr>
          <w:rStyle w:val="SectionNumber"/>
        </w:rPr>
        <w:t xml:space="preserve">3.1</w:t>
      </w:r>
      <w:r>
        <w:tab/>
      </w:r>
      <w:r>
        <w:t xml:space="preserve">Sprint 1 — Schema, authentication and article core</w:t>
      </w:r>
    </w:p>
    <w:bookmarkStart w:id="119"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18"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18"/>
    <w:p>
      <w:pPr>
        <w:pStyle w:val="BodyText"/>
      </w:pPr>
      <w:r>
        <w:t xml:space="preserve">The sprint commits 45 points, close to the average of the project. Almost a</w:t>
      </w:r>
      <w:r>
        <w:t xml:space="preserve"> </w:t>
      </w:r>
      <w:r>
        <w:t xml:space="preserve">fifth of them (US-49, US-50, US-51) produce nothing a user sees — the invariant harness,</w:t>
      </w:r>
      <w:r>
        <w:t xml:space="preserve"> </w:t>
      </w:r>
      <w:r>
        <w:t xml:space="preserve">the one-command stack and the quality gates — and were placed first on purpose: every</w:t>
      </w:r>
      <w:r>
        <w:t xml:space="preserve"> </w:t>
      </w:r>
      <w:r>
        <w:t xml:space="preserve">later sprint is built and verified with them.</w:t>
      </w:r>
    </w:p>
    <w:bookmarkEnd w:id="119"/>
    <w:bookmarkStart w:id="125"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23" w:name="fig:uc-s1"/>
    <w:p>
      <w:pPr>
        <w:pStyle w:val="CaptionedFigure"/>
      </w:pPr>
      <w:r>
        <w:drawing>
          <wp:inline>
            <wp:extent cx="5334000" cy="2401696"/>
            <wp:effectExtent b="0" l="0" r="0" t="0"/>
            <wp:docPr descr="Figure 3.1– Use case diagram, Sprint 1" title="" id="121" name="Picture"/>
            <a:graphic>
              <a:graphicData uri="http://schemas.openxmlformats.org/drawingml/2006/picture">
                <pic:pic>
                  <pic:nvPicPr>
                    <pic:cNvPr descr="../diagrams/fig-4-1-use-case-sprint-1/fig-4-1-use-case-sprint-1.png" id="122" name="Picture"/>
                    <pic:cNvPicPr>
                      <a:picLocks noChangeArrowheads="1" noChangeAspect="1"/>
                    </pic:cNvPicPr>
                  </pic:nvPicPr>
                  <pic:blipFill>
                    <a:blip r:embed="rId120"/>
                    <a:stretch>
                      <a:fillRect/>
                    </a:stretch>
                  </pic:blipFill>
                  <pic:spPr bwMode="auto">
                    <a:xfrm>
                      <a:off x="0" y="0"/>
                      <a:ext cx="5334000" cy="2401696"/>
                    </a:xfrm>
                    <a:prstGeom prst="rect">
                      <a:avLst/>
                    </a:prstGeom>
                    <a:noFill/>
                    <a:ln w="9525">
                      <a:noFill/>
                      <a:headEnd/>
                      <a:tailEnd/>
                    </a:ln>
                  </pic:spPr>
                </pic:pic>
              </a:graphicData>
            </a:graphic>
          </wp:inline>
        </w:drawing>
      </w:r>
    </w:p>
    <w:p>
      <w:pPr>
        <w:pStyle w:val="ImageCaption"/>
      </w:pPr>
      <w:r>
        <w:t xml:space="preserve">Figure 3.1– Use case diagram, Sprint 1</w:t>
      </w:r>
    </w:p>
    <w:bookmarkEnd w:id="123"/>
    <w:p>
      <w:pPr>
        <w:pStyle w:val="BodyText"/>
      </w:pPr>
      <w:r>
        <w:t xml:space="preserve">Registering specialises into registering as a reader or as a magazine; managing one’s</w:t>
      </w:r>
      <w:r>
        <w:t xml:space="preserve"> </w:t>
      </w:r>
      <w:r>
        <w:t xml:space="preserve">own articles specialises into creating a draft, editing, publishing and deleting;</w:t>
      </w:r>
      <w:r>
        <w:t xml:space="preserve"> </w:t>
      </w:r>
      <w:r>
        <w:t xml:space="preserve">publishing includes choosing a placement and a visibility. The diagram shows that from</w:t>
      </w:r>
      <w:r>
        <w:t xml:space="preserve"> </w:t>
      </w:r>
      <w:r>
        <w:t xml:space="preserve">the first sprint every account is one of two types and every article has a placement:</w:t>
      </w:r>
      <w:r>
        <w:t xml:space="preserve"> </w:t>
      </w:r>
      <w:r>
        <w:t xml:space="preserve">the two properties on which the marketplace of Release 3 rests are in place before the</w:t>
      </w:r>
      <w:r>
        <w:t xml:space="preserve"> </w:t>
      </w:r>
      <w:r>
        <w:t xml:space="preserve">marketplace itself.</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24"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(A4)</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24"/>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25"/>
    <w:bookmarkStart w:id="134"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29" w:name="fig:classes-s1"/>
    <w:p>
      <w:pPr>
        <w:pStyle w:val="CaptionedFigure"/>
      </w:pPr>
      <w:r>
        <w:drawing>
          <wp:inline>
            <wp:extent cx="5334000" cy="4426818"/>
            <wp:effectExtent b="0" l="0" r="0" t="0"/>
            <wp:docPr descr="Figure 3.2– Class diagram, Sprint 1" title="" id="127" name="Picture"/>
            <a:graphic>
              <a:graphicData uri="http://schemas.openxmlformats.org/drawingml/2006/picture">
                <pic:pic>
                  <pic:nvPicPr>
                    <pic:cNvPr descr="../diagrams/fig-4-2-classes-sprint-1/fig-4-2-classes-sprint-1.png" id="128" name="Picture"/>
                    <pic:cNvPicPr>
                      <a:picLocks noChangeArrowheads="1" noChangeAspect="1"/>
                    </pic:cNvPicPr>
                  </pic:nvPicPr>
                  <pic:blipFill>
                    <a:blip r:embed="rId126"/>
                    <a:stretch>
                      <a:fillRect/>
                    </a:stretch>
                  </pic:blipFill>
                  <pic:spPr bwMode="auto">
                    <a:xfrm>
                      <a:off x="0" y="0"/>
                      <a:ext cx="5334000" cy="4426818"/>
                    </a:xfrm>
                    <a:prstGeom prst="rect">
                      <a:avLst/>
                    </a:prstGeom>
                    <a:noFill/>
                    <a:ln w="9525">
                      <a:noFill/>
                      <a:headEnd/>
                      <a:tailEnd/>
                    </a:ln>
                  </pic:spPr>
                </pic:pic>
              </a:graphicData>
            </a:graphic>
          </wp:inline>
        </w:drawing>
      </w:r>
    </w:p>
    <w:p>
      <w:pPr>
        <w:pStyle w:val="ImageCaption"/>
      </w:pPr>
      <w:r>
        <w:t xml:space="preserve">Figure 3.2– Class diagram, Sprint 1</w:t>
      </w:r>
    </w:p>
    <w:bookmarkEnd w:id="129"/>
    <w:p>
      <w:pPr>
        <w:pStyle w:val="BodyText"/>
      </w:pPr>
      <w:r>
        <w:t xml:space="preserve">The</w:t>
      </w:r>
      <w:r>
        <w:t xml:space="preserve"> </w:t>
      </w:r>
      <w:r>
        <w:rPr>
          <w:rStyle w:val="VerbatimChar"/>
        </w:rPr>
        <w:t xml:space="preserve">User</w:t>
      </w:r>
      <w:r>
        <w:t xml:space="preserve"> </w:t>
      </w:r>
      <w:r>
        <w:t xml:space="preserve">carries its account type, authentication provider, role and plan; the</w:t>
      </w:r>
      <w:r>
        <w:t xml:space="preserve"> </w:t>
      </w:r>
      <w:r>
        <w:rPr>
          <w:rStyle w:val="VerbatimChar"/>
        </w:rPr>
        <w:t xml:space="preserve">MagazineProfile</w:t>
      </w:r>
      <w:r>
        <w:t xml:space="preserve"> </w:t>
      </w:r>
      <w:r>
        <w:t xml:space="preserve">extends a magazine account with its name, slug and branding; the</w:t>
      </w:r>
      <w:r>
        <w:t xml:space="preserve"> </w:t>
      </w:r>
      <w:r>
        <w:rPr>
          <w:rStyle w:val="VerbatimChar"/>
        </w:rPr>
        <w:t xml:space="preserve">Article</w:t>
      </w:r>
      <w:r>
        <w:t xml:space="preserve"> </w:t>
      </w:r>
      <w:r>
        <w:t xml:space="preserve">carries its status, placement, visibility and generated search vector; tags</w:t>
      </w:r>
      <w:r>
        <w:t xml:space="preserve"> </w:t>
      </w:r>
      <w:r>
        <w:t xml:space="preserve">are a many-to-many association and comments form a thread. The diagram shows the</w:t>
      </w:r>
      <w:r>
        <w:t xml:space="preserve"> </w:t>
      </w:r>
      <w:r>
        <w:t xml:space="preserve">single-table design of accounts: one</w:t>
      </w:r>
      <w:r>
        <w:t xml:space="preserve"> </w:t>
      </w:r>
      <w:r>
        <w:rPr>
          <w:rStyle w:val="VerbatimChar"/>
        </w:rPr>
        <w:t xml:space="preserve">User</w:t>
      </w:r>
      <w:r>
        <w:t xml:space="preserve"> </w:t>
      </w:r>
      <w:r>
        <w:t xml:space="preserve">class for every kind of account, the</w:t>
      </w:r>
      <w:r>
        <w:t xml:space="preserve"> </w:t>
      </w:r>
      <w:r>
        <w:t xml:space="preserve">differences carried by attributes, and a database constraint that keeps role and plan</w:t>
      </w:r>
      <w:r>
        <w:t xml:space="preserve"> </w:t>
      </w:r>
      <w:r>
        <w:t xml:space="preserve">empty for a magazine. That is what lets one authentication path serve every actor.</w:t>
      </w:r>
    </w:p>
    <w:p>
      <w:pPr>
        <w:pStyle w:val="BodyText"/>
      </w:pPr>
      <w:r>
        <w:rPr>
          <w:b/>
          <w:bCs/>
        </w:rPr>
        <w:t xml:space="preserve">Sequence diagram —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33" w:name="fig:seq-auth"/>
    <w:p>
      <w:pPr>
        <w:pStyle w:val="CaptionedFigure"/>
      </w:pPr>
      <w:r>
        <w:drawing>
          <wp:inline>
            <wp:extent cx="5334000" cy="5485504"/>
            <wp:effectExtent b="0" l="0" r="0" t="0"/>
            <wp:docPr descr="Figure 3.3– Sequence diagram: sign in and silent refresh" title="" id="131" name="Picture"/>
            <a:graphic>
              <a:graphicData uri="http://schemas.openxmlformats.org/drawingml/2006/picture">
                <pic:pic>
                  <pic:nvPicPr>
                    <pic:cNvPr descr="../diagrams/fig-4-3-sequence-authentication/fig-4-3-sequence-authentication.png" id="132" name="Picture"/>
                    <pic:cNvPicPr>
                      <a:picLocks noChangeArrowheads="1" noChangeAspect="1"/>
                    </pic:cNvPicPr>
                  </pic:nvPicPr>
                  <pic:blipFill>
                    <a:blip r:embed="rId130"/>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33"/>
    <w:p>
      <w:pPr>
        <w:pStyle w:val="BodyText"/>
      </w:pPr>
      <w:r>
        <w:t xml:space="preserve">Sign-in is rate-limited per address — ten attempts a minute, five for registration,</w:t>
      </w:r>
      <w:r>
        <w:t xml:space="preserve"> </w:t>
      </w:r>
      <w:r>
        <w:t xml:space="preserve">against sixty for other routes — and answers 429 before the account is even read. On</w:t>
      </w:r>
      <w:r>
        <w:t xml:space="preserve"> </w:t>
      </w:r>
      <w:r>
        <w:t xml:space="preserve">success the system issues a 15-minute access token and a 7-day refresh token; when a</w:t>
      </w:r>
      <w:r>
        <w:t xml:space="preserve"> </w:t>
      </w:r>
      <w:r>
        <w:t xml:space="preserve">later request meets an expired access token, the client refreshes it, rewrites both</w:t>
      </w:r>
      <w:r>
        <w:t xml:space="preserve"> </w:t>
      </w:r>
      <w:r>
        <w:t xml:space="preserve">the client store and the cookie the route proxy reads, and retries the original</w:t>
      </w:r>
      <w:r>
        <w:t xml:space="preserve"> </w:t>
      </w:r>
      <w:r>
        <w:t xml:space="preserve">request transparently. The diagram shows why a long writing session is never</w:t>
      </w:r>
      <w:r>
        <w:t xml:space="preserve"> </w:t>
      </w:r>
      <w:r>
        <w:t xml:space="preserve">interrupted (US-04) while a stolen or revoked access token is useful for at most</w:t>
      </w:r>
      <w:r>
        <w:t xml:space="preserve"> </w:t>
      </w:r>
      <w:r>
        <w:t xml:space="preserve">fifteen minutes (NFR-02, NFR-09).</w:t>
      </w:r>
    </w:p>
    <w:p>
      <w:pPr>
        <w:pStyle w:val="BodyText"/>
      </w:pPr>
      <w:r>
        <w:rPr>
          <w:b/>
          <w:bCs/>
        </w:rPr>
        <w:t xml:space="preserve">The ledger invariant harness.</w:t>
      </w:r>
      <w:r>
        <w:t xml:space="preserve"> </w:t>
      </w:r>
      <w:r>
        <w:t xml:space="preserve">Money-like data appears from Sprint 5 onwards, but</w:t>
      </w:r>
      <w:r>
        <w:t xml:space="preserve"> </w:t>
      </w:r>
      <w:r>
        <w:t xml:space="preserve">its correctness rule is set here: every denormalised balance — a magazine’s credit</w:t>
      </w:r>
      <w:r>
        <w:t xml:space="preserve"> </w:t>
      </w:r>
      <w:r>
        <w:t xml:space="preserve">balance, a writer’s earnings — must equal the sum of its ledger rows. Three invariants</w:t>
      </w:r>
      <w:r>
        <w:t xml:space="preserve"> </w:t>
      </w:r>
      <w:r>
        <w:t xml:space="preserve">encode that rule and are asserted after every test that moves credits. The harness is</w:t>
      </w:r>
      <w:r>
        <w:t xml:space="preserve"> </w:t>
      </w:r>
      <w:r>
        <w:t xml:space="preserve">itself tested by sabotage: fixtures build a coherent purchase, then corrupt one column</w:t>
      </w:r>
      <w:r>
        <w:t xml:space="preserve"> </w:t>
      </w:r>
      <w:r>
        <w:t xml:space="preserve">at a time and check that the right invariant fails. Writing the check before the</w:t>
      </w:r>
      <w:r>
        <w:t xml:space="preserve"> </w:t>
      </w:r>
      <w:r>
        <w:t xml:space="preserve">feature means that no purchase code was ever written without it.</w:t>
      </w:r>
    </w:p>
    <w:bookmarkEnd w:id="134"/>
    <w:bookmarkStart w:id="159"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38" w:name="fig:home"/>
    <w:p>
      <w:pPr>
        <w:pStyle w:val="CaptionedFigure"/>
      </w:pPr>
      <w:r>
        <w:drawing>
          <wp:inline>
            <wp:extent cx="4267200" cy="2667000"/>
            <wp:effectExtent b="0" l="0" r="0" t="0"/>
            <wp:docPr descr="Figure 3.4– The public feed, as seen by a visitor" title="" id="136" name="Picture"/>
            <a:graphic>
              <a:graphicData uri="http://schemas.openxmlformats.org/drawingml/2006/picture">
                <pic:pic>
                  <pic:nvPicPr>
                    <pic:cNvPr descr="../figures/screens/guest-01-home.png" id="137" name="Picture"/>
                    <pic:cNvPicPr>
                      <a:picLocks noChangeArrowheads="1" noChangeAspect="1"/>
                    </pic:cNvPicPr>
                  </pic:nvPicPr>
                  <pic:blipFill>
                    <a:blip r:embed="rId1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38"/>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actor A1 and the others.</w:t>
      </w:r>
    </w:p>
    <w:p>
      <w:pPr>
        <w:pStyle w:val="BodyText"/>
      </w:pPr>
      <w:hyperlink w:anchor="fig:login">
        <w:r>
          <w:rPr>
            <w:rStyle w:val="Hyperlink"/>
          </w:rPr>
          <w:t xml:space="preserve">Figure 3.5</w:t>
        </w:r>
      </w:hyperlink>
      <w:r>
        <w:t xml:space="preserve"> </w:t>
      </w:r>
      <w:r>
        <w:t xml:space="preserve">shows the sign-in page.</w:t>
      </w:r>
    </w:p>
    <w:bookmarkStart w:id="142" w:name="fig:login"/>
    <w:p>
      <w:pPr>
        <w:pStyle w:val="CaptionedFigure"/>
      </w:pPr>
      <w:r>
        <w:drawing>
          <wp:inline>
            <wp:extent cx="4267200" cy="2667000"/>
            <wp:effectExtent b="0" l="0" r="0" t="0"/>
            <wp:docPr descr="Figure 3.5– Sign-in, with Google sign-in" title="" id="140" name="Picture"/>
            <a:graphic>
              <a:graphicData uri="http://schemas.openxmlformats.org/drawingml/2006/picture">
                <pic:pic>
                  <pic:nvPicPr>
                    <pic:cNvPr descr="../figures/screens/guest-02-login.png" id="141" name="Picture"/>
                    <pic:cNvPicPr>
                      <a:picLocks noChangeArrowheads="1" noChangeAspect="1"/>
                    </pic:cNvPicPr>
                  </pic:nvPicPr>
                  <pic:blipFill>
                    <a:blip r:embed="rId1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42"/>
    <w:p>
      <w:pPr>
        <w:pStyle w:val="BodyText"/>
      </w:pPr>
      <w:r>
        <w:t xml:space="preserve">It offers the two authentication methods of FR-05 side by side — e-mail and password,</w:t>
      </w:r>
      <w:r>
        <w:t xml:space="preserve"> </w:t>
      </w:r>
      <w:r>
        <w:t xml:space="preserve">and</w:t>
      </w:r>
      <w:r>
        <w:t xml:space="preserve"> </w:t>
      </w:r>
      <w:r>
        <w:rPr>
          <w:i/>
          <w:iCs/>
        </w:rPr>
        <w:t xml:space="preserve">Continue with Google</w:t>
      </w:r>
      <w:r>
        <w:t xml:space="preserve"> </w:t>
      </w:r>
      <w:r>
        <w:t xml:space="preserve">— and the link to registration that</w:t>
      </w:r>
      <w:r>
        <w:t xml:space="preserve"> </w:t>
      </w:r>
      <w:hyperlink w:anchor="fig:uc-global">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46" w:name="fig:register"/>
    <w:p>
      <w:pPr>
        <w:pStyle w:val="CaptionedFigure"/>
      </w:pPr>
      <w:r>
        <w:drawing>
          <wp:inline>
            <wp:extent cx="4267200" cy="2667000"/>
            <wp:effectExtent b="0" l="0" r="0" t="0"/>
            <wp:docPr descr="Figure 3.6– Registering a personal account" title="" id="144" name="Picture"/>
            <a:graphic>
              <a:graphicData uri="http://schemas.openxmlformats.org/drawingml/2006/picture">
                <pic:pic>
                  <pic:nvPicPr>
                    <pic:cNvPr descr="../figures/screens/guest-03-register.png" id="145" name="Picture"/>
                    <pic:cNvPicPr>
                      <a:picLocks noChangeArrowheads="1" noChangeAspect="1"/>
                    </pic:cNvPicPr>
                  </pic:nvPicPr>
                  <pic:blipFill>
                    <a:blip r:embed="rId1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46"/>
    <w:bookmarkStart w:id="150" w:name="fig:register-magazine"/>
    <w:p>
      <w:pPr>
        <w:pStyle w:val="CaptionedFigure"/>
      </w:pPr>
      <w:r>
        <w:drawing>
          <wp:inline>
            <wp:extent cx="4267200" cy="2667000"/>
            <wp:effectExtent b="0" l="0" r="0" t="0"/>
            <wp:docPr descr="Figure 3.7– Registering a magazine account" title="" id="148" name="Picture"/>
            <a:graphic>
              <a:graphicData uri="http://schemas.openxmlformats.org/drawingml/2006/picture">
                <pic:pic>
                  <pic:nvPicPr>
                    <pic:cNvPr descr="../figures/screens/guest-04-register-magazine.png" id="149" name="Picture"/>
                    <pic:cNvPicPr>
                      <a:picLocks noChangeArrowheads="1" noChangeAspect="1"/>
                    </pic:cNvPicPr>
                  </pic:nvPicPr>
                  <pic:blipFill>
                    <a:blip r:embed="rId1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50"/>
    <w:p>
      <w:pPr>
        <w:pStyle w:val="BodyText"/>
      </w:pPr>
      <w:r>
        <w:t xml:space="preserve">The magazine form asks for what a writer will see of the buyer — the slug that becomes</w:t>
      </w:r>
      <w:r>
        <w:t xml:space="preserve"> </w:t>
      </w:r>
      <w:r>
        <w:t xml:space="preserve">the magazine’s public address, its name, website, description and logo — and none of</w:t>
      </w:r>
      <w:r>
        <w:t xml:space="preserve"> </w:t>
      </w:r>
      <w:r>
        <w:t xml:space="preserve">the personal fields. The two forms are FR-04 and FR-39: one platform,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54" w:name="fig:article-free"/>
    <w:p>
      <w:pPr>
        <w:pStyle w:val="CaptionedFigure"/>
      </w:pPr>
      <w:r>
        <w:drawing>
          <wp:inline>
            <wp:extent cx="4267200" cy="2667000"/>
            <wp:effectExtent b="0" l="0" r="0" t="0"/>
            <wp:docPr descr="Figure 3.8– A free article, readable without an account" title="" id="152" name="Picture"/>
            <a:graphic>
              <a:graphicData uri="http://schemas.openxmlformats.org/drawingml/2006/picture">
                <pic:pic>
                  <pic:nvPicPr>
                    <pic:cNvPr descr="../figures/screens/guest-05-article-free.png" id="153" name="Picture"/>
                    <pic:cNvPicPr>
                      <a:picLocks noChangeArrowheads="1" noChangeAspect="1"/>
                    </pic:cNvPicPr>
                  </pic:nvPicPr>
                  <pic:blipFill>
                    <a:blip r:embed="rId1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54"/>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58" w:name="fig:settings"/>
    <w:p>
      <w:pPr>
        <w:pStyle w:val="CaptionedFigure"/>
      </w:pPr>
      <w:r>
        <w:drawing>
          <wp:inline>
            <wp:extent cx="4267200" cy="2667000"/>
            <wp:effectExtent b="0" l="0" r="0" t="0"/>
            <wp:docPr descr="Figure 3.9– Profile settings" title="" id="156" name="Picture"/>
            <a:graphic>
              <a:graphicData uri="http://schemas.openxmlformats.org/drawingml/2006/picture">
                <pic:pic>
                  <pic:nvPicPr>
                    <pic:cNvPr descr="../figures/screens/reader-04-settings.png" id="157" name="Picture"/>
                    <pic:cNvPicPr>
                      <a:picLocks noChangeArrowheads="1" noChangeAspect="1"/>
                    </pic:cNvPicPr>
                  </pic:nvPicPr>
                  <pic:blipFill>
                    <a:blip r:embed="rId1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58"/>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59"/>
    <w:bookmarkEnd w:id="160"/>
    <w:bookmarkStart w:id="202" w:name="sec:sprint2"/>
    <w:p>
      <w:pPr>
        <w:pStyle w:val="Heading2"/>
      </w:pPr>
      <w:r>
        <w:rPr>
          <w:rStyle w:val="SectionNumber"/>
        </w:rPr>
        <w:t xml:space="preserve">3.2</w:t>
      </w:r>
      <w:r>
        <w:tab/>
      </w:r>
      <w:r>
        <w:t xml:space="preserve">Sprint 2 — Editor, AI assistance and event capture</w:t>
      </w:r>
    </w:p>
    <w:bookmarkStart w:id="162"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61"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61"/>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62"/>
    <w:bookmarkStart w:id="167"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66" w:name="fig:uc-s2"/>
    <w:p>
      <w:pPr>
        <w:pStyle w:val="CaptionedFigure"/>
      </w:pPr>
      <w:r>
        <w:drawing>
          <wp:inline>
            <wp:extent cx="5334000" cy="2230738"/>
            <wp:effectExtent b="0" l="0" r="0" t="0"/>
            <wp:docPr descr="Figure 3.10– Use case diagram, Sprint 2" title="" id="164" name="Picture"/>
            <a:graphic>
              <a:graphicData uri="http://schemas.openxmlformats.org/drawingml/2006/picture">
                <pic:pic>
                  <pic:nvPicPr>
                    <pic:cNvPr descr="../diagrams/fig-4-4-use-case-sprint-2/fig-4-4-use-case-sprint-2.png" id="165" name="Picture"/>
                    <pic:cNvPicPr>
                      <a:picLocks noChangeArrowheads="1" noChangeAspect="1"/>
                    </pic:cNvPicPr>
                  </pic:nvPicPr>
                  <pic:blipFill>
                    <a:blip r:embed="rId163"/>
                    <a:stretch>
                      <a:fillRect/>
                    </a:stretch>
                  </pic:blipFill>
                  <pic:spPr bwMode="auto">
                    <a:xfrm>
                      <a:off x="0" y="0"/>
                      <a:ext cx="5334000" cy="2230738"/>
                    </a:xfrm>
                    <a:prstGeom prst="rect">
                      <a:avLst/>
                    </a:prstGeom>
                    <a:noFill/>
                    <a:ln w="9525">
                      <a:noFill/>
                      <a:headEnd/>
                      <a:tailEnd/>
                    </a:ln>
                  </pic:spPr>
                </pic:pic>
              </a:graphicData>
            </a:graphic>
          </wp:inline>
        </w:drawing>
      </w:r>
    </w:p>
    <w:p>
      <w:pPr>
        <w:pStyle w:val="ImageCaption"/>
      </w:pPr>
      <w:r>
        <w:t xml:space="preserve">Figure 3.10– Use case diagram, Sprint 2</w:t>
      </w:r>
    </w:p>
    <w:bookmarkEnd w:id="166"/>
    <w:p>
      <w:pPr>
        <w:pStyle w:val="BodyText"/>
      </w:pPr>
      <w:r>
        <w:t xml:space="preserve">Writing in the editor specialises into formatting, inserting an image and setting a</w:t>
      </w:r>
      <w:r>
        <w:t xml:space="preserve"> </w:t>
      </w:r>
      <w:r>
        <w:t xml:space="preserve">cover image, and includes saving the draft automatically. Using the assistant</w:t>
      </w:r>
      <w:r>
        <w:t xml:space="preserve"> </w:t>
      </w:r>
      <w:r>
        <w:t xml:space="preserve">specialises into chatting and applying an inline action, and includes consuming the</w:t>
      </w:r>
      <w:r>
        <w:t xml:space="preserve"> </w:t>
      </w:r>
      <w:r>
        <w:t xml:space="preserve">daily allowance; inserting the answer into the document extends the chat. Reading an</w:t>
      </w:r>
      <w:r>
        <w:t xml:space="preserve"> </w:t>
      </w:r>
      <w:r>
        <w:t xml:space="preserve">article includes recording reading events. The diagram shows that every AI use case</w:t>
      </w:r>
      <w:r>
        <w:t xml:space="preserve"> </w:t>
      </w:r>
      <w:r>
        <w:t xml:space="preserve">passes through the allowance: there is no path to a model that is not counted.</w:t>
      </w:r>
      <w:r>
        <w:t xml:space="preserve"> </w:t>
      </w:r>
      <w:r>
        <w:t xml:space="preserve">The allowance belongs to the premium plan (FR-17); in this sprint premium accounts</w:t>
      </w:r>
      <w:r>
        <w:t xml:space="preserve"> </w:t>
      </w:r>
      <w:r>
        <w:t xml:space="preserve">are created by the seed, and upgrading from the interface arrives with the plans of</w:t>
      </w:r>
      <w:r>
        <w:t xml:space="preserve"> </w:t>
      </w:r>
      <w:r>
        <w:t xml:space="preserve">Sprint 5.</w:t>
      </w:r>
    </w:p>
    <w:bookmarkEnd w:id="167"/>
    <w:bookmarkStart w:id="176"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71" w:name="fig:classes-s2"/>
    <w:p>
      <w:pPr>
        <w:pStyle w:val="CaptionedFigure"/>
      </w:pPr>
      <w:r>
        <w:drawing>
          <wp:inline>
            <wp:extent cx="5334000" cy="3307711"/>
            <wp:effectExtent b="0" l="0" r="0" t="0"/>
            <wp:docPr descr="Figure 3.11– Class diagram, Sprint 2" title="" id="169" name="Picture"/>
            <a:graphic>
              <a:graphicData uri="http://schemas.openxmlformats.org/drawingml/2006/picture">
                <pic:pic>
                  <pic:nvPicPr>
                    <pic:cNvPr descr="../diagrams/fig-4-5-classes-sprint-2/fig-4-5-classes-sprint-2.png" id="170" name="Picture"/>
                    <pic:cNvPicPr>
                      <a:picLocks noChangeArrowheads="1" noChangeAspect="1"/>
                    </pic:cNvPicPr>
                  </pic:nvPicPr>
                  <pic:blipFill>
                    <a:blip r:embed="rId168"/>
                    <a:stretch>
                      <a:fillRect/>
                    </a:stretch>
                  </pic:blipFill>
                  <pic:spPr bwMode="auto">
                    <a:xfrm>
                      <a:off x="0" y="0"/>
                      <a:ext cx="5334000" cy="3307711"/>
                    </a:xfrm>
                    <a:prstGeom prst="rect">
                      <a:avLst/>
                    </a:prstGeom>
                    <a:noFill/>
                    <a:ln w="9525">
                      <a:noFill/>
                      <a:headEnd/>
                      <a:tailEnd/>
                    </a:ln>
                  </pic:spPr>
                </pic:pic>
              </a:graphicData>
            </a:graphic>
          </wp:inline>
        </w:drawing>
      </w:r>
    </w:p>
    <w:p>
      <w:pPr>
        <w:pStyle w:val="ImageCaption"/>
      </w:pPr>
      <w:r>
        <w:t xml:space="preserve">Figure 3.11– Class diagram, Sprint 2</w:t>
      </w:r>
    </w:p>
    <w:bookmarkEnd w:id="171"/>
    <w:p>
      <w:pPr>
        <w:pStyle w:val="BodyText"/>
      </w:pPr>
      <w:r>
        <w:t xml:space="preserve">Each AI call is logged as an</w:t>
      </w:r>
      <w:r>
        <w:t xml:space="preserve"> </w:t>
      </w:r>
      <w:r>
        <w:rPr>
          <w:rStyle w:val="VerbatimChar"/>
        </w:rPr>
        <w:t xml:space="preserve">AiInteraction</w:t>
      </w:r>
      <w:r>
        <w:t xml:space="preserve"> </w:t>
      </w:r>
      <w:r>
        <w:t xml:space="preserve">with its action type, tokens used and</w:t>
      </w:r>
      <w:r>
        <w:t xml:space="preserve"> </w:t>
      </w:r>
      <w:r>
        <w:t xml:space="preserve">model; reading is recorded as</w:t>
      </w:r>
      <w:r>
        <w:t xml:space="preserve"> </w:t>
      </w:r>
      <w:r>
        <w:rPr>
          <w:rStyle w:val="VerbatimChar"/>
        </w:rPr>
        <w:t xml:space="preserve">AnalyticsEvent</w:t>
      </w:r>
      <w:r>
        <w:t xml:space="preserve"> </w:t>
      </w:r>
      <w:r>
        <w:t xml:space="preserve">rows (view, scroll, time on page, like,</w:t>
      </w:r>
      <w:r>
        <w:t xml:space="preserve"> </w:t>
      </w:r>
      <w:r>
        <w:t xml:space="preserve">comment, repost); and the user carries the remaining daily token allowance and the time</w:t>
      </w:r>
      <w:r>
        <w:t xml:space="preserve"> </w:t>
      </w:r>
      <w:r>
        <w:t xml:space="preserve">of its last reset. The diagram shows that cost and reading are both recorded as</w:t>
      </w:r>
      <w:r>
        <w:t xml:space="preserve"> </w:t>
      </w:r>
      <w:r>
        <w:t xml:space="preserve">append-only rows: the allowance can be audited from the interaction log, and every</w:t>
      </w:r>
      <w:r>
        <w:t xml:space="preserve"> </w:t>
      </w:r>
      <w:r>
        <w:t xml:space="preserve">metric of Release 2 is computed from events written from this sprint on.</w:t>
      </w:r>
    </w:p>
    <w:p>
      <w:pPr>
        <w:pStyle w:val="BodyText"/>
      </w:pPr>
      <w:r>
        <w:rPr>
          <w:b/>
          <w:bCs/>
        </w:rPr>
        <w:t xml:space="preserve">Sequence diagram —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75" w:name="fig:seq-inline"/>
    <w:p>
      <w:pPr>
        <w:pStyle w:val="CaptionedFigure"/>
      </w:pPr>
      <w:r>
        <w:drawing>
          <wp:inline>
            <wp:extent cx="5334000" cy="4540250"/>
            <wp:effectExtent b="0" l="0" r="0" t="0"/>
            <wp:docPr descr="Figure 3.12– Sequence diagram: inline AI action" title="" id="173" name="Picture"/>
            <a:graphic>
              <a:graphicData uri="http://schemas.openxmlformats.org/drawingml/2006/picture">
                <pic:pic>
                  <pic:nvPicPr>
                    <pic:cNvPr descr="../diagrams/fig-4-6-sequence-inline-ai-edit/fig-4-6-sequence-inline-ai-edit.png" id="174" name="Picture"/>
                    <pic:cNvPicPr>
                      <a:picLocks noChangeArrowheads="1" noChangeAspect="1"/>
                    </pic:cNvPicPr>
                  </pic:nvPicPr>
                  <pic:blipFill>
                    <a:blip r:embed="rId172"/>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75"/>
    <w:p>
      <w:pPr>
        <w:pStyle w:val="BodyText"/>
      </w:pPr>
      <w:r>
        <w:t xml:space="preserve">The editor captures the selected range once, before anything is streamed, so that a</w:t>
      </w:r>
      <w:r>
        <w:t xml:space="preserve"> </w:t>
      </w:r>
      <w:r>
        <w:t xml:space="preserve">click elsewhere cannot move it. The system checks the daily allowance and refuses with</w:t>
      </w:r>
      <w:r>
        <w:t xml:space="preserve"> </w:t>
      </w:r>
      <w:r>
        <w:t xml:space="preserve">403 and a plan-aware notice when it is exhausted; otherwise it builds the prompt from</w:t>
      </w:r>
      <w:r>
        <w:t xml:space="preserve"> </w:t>
      </w:r>
      <w:r>
        <w:t xml:space="preserve">the action, the selection and the surrounding article, streams the suggestion to the</w:t>
      </w:r>
      <w:r>
        <w:t xml:space="preserve"> </w:t>
      </w:r>
      <w:r>
        <w:t xml:space="preserve">editor as it is generated, and records the interaction and its cost. The allowance is</w:t>
      </w:r>
      <w:r>
        <w:t xml:space="preserve"> </w:t>
      </w:r>
      <w:r>
        <w:t xml:space="preserve">checked once, before the call: a reply may cost more than what remained, and the</w:t>
      </w:r>
      <w:r>
        <w:t xml:space="preserve"> </w:t>
      </w:r>
      <w:r>
        <w:t xml:space="preserve">balance then stops at zero. The diagram shows the trade-off chosen — the writer is</w:t>
      </w:r>
      <w:r>
        <w:t xml:space="preserve"> </w:t>
      </w:r>
      <w:r>
        <w:t xml:space="preserve">never cut off in the middle of a reply, at the price of a small overrun on the last</w:t>
      </w:r>
      <w:r>
        <w:t xml:space="preserve"> </w:t>
      </w:r>
      <w:r>
        <w:t xml:space="preserve">call of the day.</w:t>
      </w:r>
    </w:p>
    <w:p>
      <w:pPr>
        <w:pStyle w:val="BodyText"/>
      </w:pPr>
      <w:r>
        <w:rPr>
          <w:b/>
          <w:bCs/>
        </w:rPr>
        <w:t xml:space="preserve">Event capture.</w:t>
      </w:r>
      <w:r>
        <w:t xml:space="preserve"> </w:t>
      </w:r>
      <w:r>
        <w:t xml:space="preserve">The article page observes scroll depth and engaged time and sends</w:t>
      </w:r>
      <w:r>
        <w:t xml:space="preserve"> </w:t>
      </w:r>
      <w:r>
        <w:t xml:space="preserve">batched events — every ten events, every five seconds, or when the page is left — to</w:t>
      </w:r>
      <w:r>
        <w:t xml:space="preserve"> </w:t>
      </w:r>
      <w:r>
        <w:rPr>
          <w:rStyle w:val="VerbatimChar"/>
        </w:rPr>
        <w:t xml:space="preserve">POST /analytics/events</w:t>
      </w:r>
      <w:r>
        <w:t xml:space="preserve">. The server, not the client, attaches the reader’s identity</w:t>
      </w:r>
      <w:r>
        <w:t xml:space="preserve"> </w:t>
      </w:r>
      <w:r>
        <w:t xml:space="preserve">from the access token, the country and the device, so a reader cannot forge another</w:t>
      </w:r>
      <w:r>
        <w:t xml:space="preserve"> </w:t>
      </w:r>
      <w:r>
        <w:t xml:space="preserve">reader’s events. Capture starts in this sprint so that real reading data accumulates</w:t>
      </w:r>
      <w:r>
        <w:t xml:space="preserve"> </w:t>
      </w:r>
      <w:r>
        <w:t xml:space="preserve">before the dashboards of Release 2 aggregate it.</w:t>
      </w:r>
    </w:p>
    <w:bookmarkEnd w:id="176"/>
    <w:bookmarkStart w:id="201"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180" w:name="fig:editor"/>
    <w:p>
      <w:pPr>
        <w:pStyle w:val="CaptionedFigure"/>
      </w:pPr>
      <w:r>
        <w:drawing>
          <wp:inline>
            <wp:extent cx="4267200" cy="2667000"/>
            <wp:effectExtent b="0" l="0" r="0" t="0"/>
            <wp:docPr descr="Figure 3.13– The rich-text editor with the assistant panel" title="" id="178" name="Picture"/>
            <a:graphic>
              <a:graphicData uri="http://schemas.openxmlformats.org/drawingml/2006/picture">
                <pic:pic>
                  <pic:nvPicPr>
                    <pic:cNvPr descr="../figures/screens/writer-03-editor.png" id="179" name="Picture"/>
                    <pic:cNvPicPr>
                      <a:picLocks noChangeArrowheads="1" noChangeAspect="1"/>
                    </pic:cNvPicPr>
                  </pic:nvPicPr>
                  <pic:blipFill>
                    <a:blip r:embed="rId1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180"/>
    <w:p>
      <w:pPr>
        <w:pStyle w:val="BodyText"/>
      </w:pPr>
      <w:r>
        <w:t xml:space="preserve">The draft is edited as rich text, with a toolbar for emphasis, three heading levels,</w:t>
      </w:r>
      <w:r>
        <w:t xml:space="preserve"> </w:t>
      </w:r>
      <w:r>
        <w:t xml:space="preserve">lists, quotes, code and images (FR-18, FR-20); the</w:t>
      </w:r>
      <w:r>
        <w:t xml:space="preserve"> </w:t>
      </w:r>
      <w:r>
        <w:rPr>
          <w:i/>
          <w:iCs/>
        </w:rPr>
        <w:t xml:space="preserve">Saved</w:t>
      </w:r>
      <w:r>
        <w:t xml:space="preserve"> </w:t>
      </w:r>
      <w:r>
        <w:t xml:space="preserve">label beside the title</w:t>
      </w:r>
      <w:r>
        <w:t xml:space="preserve"> </w:t>
      </w:r>
      <w:r>
        <w:t xml:space="preserve">reports the automatic save that replaces a save button (FR-19). The assistant sits beside the text rather than in another page,</w:t>
      </w:r>
      <w:r>
        <w:t xml:space="preserve"> </w:t>
      </w:r>
      <w:r>
        <w:t xml:space="preserve">which is the premise of the whole product: help arrives where the writing 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184" w:name="fig:publish-dialog"/>
    <w:p>
      <w:pPr>
        <w:pStyle w:val="CaptionedFigure"/>
      </w:pPr>
      <w:r>
        <w:drawing>
          <wp:inline>
            <wp:extent cx="4267200" cy="2667000"/>
            <wp:effectExtent b="0" l="0" r="0" t="0"/>
            <wp:docPr descr="Figure 3.14– The publish dialog: placement, visibility, tags and excerpt" title="" id="182" name="Picture"/>
            <a:graphic>
              <a:graphicData uri="http://schemas.openxmlformats.org/drawingml/2006/picture">
                <pic:pic>
                  <pic:nvPicPr>
                    <pic:cNvPr descr="../figures/screens/writer-04-publish-dialog.png" id="183" name="Picture"/>
                    <pic:cNvPicPr>
                      <a:picLocks noChangeArrowheads="1" noChangeAspect="1"/>
                    </pic:cNvPicPr>
                  </pic:nvPicPr>
                  <pic:blipFill>
                    <a:blip r:embed="rId1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184"/>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 placement, visibility, cover, tags</w:t>
      </w:r>
      <w:r>
        <w:t xml:space="preserve"> </w:t>
      </w:r>
      <w:r>
        <w:t xml:space="preserve">and excerpt (FR-21, FR-23, FR-24) —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188" w:name="fig:ai-panel"/>
    <w:p>
      <w:pPr>
        <w:pStyle w:val="CaptionedFigure"/>
      </w:pPr>
      <w:r>
        <w:drawing>
          <wp:inline>
            <wp:extent cx="4267200" cy="2667000"/>
            <wp:effectExtent b="0" l="0" r="0" t="0"/>
            <wp:docPr descr="Figure 3.15– The AI assistant panel" title="" id="186" name="Picture"/>
            <a:graphic>
              <a:graphicData uri="http://schemas.openxmlformats.org/drawingml/2006/picture">
                <pic:pic>
                  <pic:nvPicPr>
                    <pic:cNvPr descr="../figures/screens/writer-05-ai-panel.png" id="187" name="Picture"/>
                    <pic:cNvPicPr>
                      <a:picLocks noChangeArrowheads="1" noChangeAspect="1"/>
                    </pic:cNvPicPr>
                  </pic:nvPicPr>
                  <pic:blipFill>
                    <a:blip r:embed="rId18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188"/>
    <w:bookmarkStart w:id="192" w:name="fig:ai-answer"/>
    <w:p>
      <w:pPr>
        <w:pStyle w:val="CaptionedFigure"/>
      </w:pPr>
      <w:r>
        <w:drawing>
          <wp:inline>
            <wp:extent cx="4267200" cy="2667000"/>
            <wp:effectExtent b="0" l="0" r="0" t="0"/>
            <wp:docPr descr="Figure 3.16– An answer from the assistant" title="" id="190" name="Picture"/>
            <a:graphic>
              <a:graphicData uri="http://schemas.openxmlformats.org/drawingml/2006/picture">
                <pic:pic>
                  <pic:nvPicPr>
                    <pic:cNvPr descr="../figures/screens/writer-06-ai-answer.png" id="191" name="Picture"/>
                    <pic:cNvPicPr>
                      <a:picLocks noChangeArrowheads="1" noChangeAspect="1"/>
                    </pic:cNvPicPr>
                  </pic:nvPicPr>
                  <pic:blipFill>
                    <a:blip r:embed="rId1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192"/>
    <w:p>
      <w:pPr>
        <w:pStyle w:val="BodyText"/>
      </w:pPr>
      <w:r>
        <w:t xml:space="preserve">The panel shows the remaining allowance — 20,000 tokens at the start of the day —</w:t>
      </w:r>
      <w:r>
        <w:t xml:space="preserve"> </w:t>
      </w:r>
      <w:r>
        <w:t xml:space="preserve">before the writer asks anything (FR-31), so the cost of a question is never a</w:t>
      </w:r>
      <w:r>
        <w:t xml:space="preserve"> </w:t>
      </w:r>
      <w:r>
        <w:t xml:space="preserve">surprise. The answer is streamed as it is generated</w:t>
      </w:r>
      <w:r>
        <w:t xml:space="preserve"> </w:t>
      </w:r>
      <w:r>
        <w:t xml:space="preserve">and can be inserted into the document at the cursor (FR-27, FR-30); Sprint 8 later</w:t>
      </w:r>
      <w:r>
        <w:t xml:space="preserve"> </w:t>
      </w:r>
      <w:r>
        <w:t xml:space="preserve">replaces this manual insertion by an assistant that writes into the document itself.</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196" w:name="fig:inline-menu"/>
    <w:p>
      <w:pPr>
        <w:pStyle w:val="CaptionedFigure"/>
      </w:pPr>
      <w:r>
        <w:drawing>
          <wp:inline>
            <wp:extent cx="4267200" cy="2667000"/>
            <wp:effectExtent b="0" l="0" r="0" t="0"/>
            <wp:docPr descr="Figure 3.17– The inline actions on a selection" title="" id="194" name="Picture"/>
            <a:graphic>
              <a:graphicData uri="http://schemas.openxmlformats.org/drawingml/2006/picture">
                <pic:pic>
                  <pic:nvPicPr>
                    <pic:cNvPr descr="../figures/screens/writer-07-inline-menu.png" id="195" name="Picture"/>
                    <pic:cNvPicPr>
                      <a:picLocks noChangeArrowheads="1" noChangeAspect="1"/>
                    </pic:cNvPicPr>
                  </pic:nvPicPr>
                  <pic:blipFill>
                    <a:blip r:embed="rId1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196"/>
    <w:bookmarkStart w:id="200" w:name="fig:inline-suggestion"/>
    <w:p>
      <w:pPr>
        <w:pStyle w:val="CaptionedFigure"/>
      </w:pPr>
      <w:r>
        <w:drawing>
          <wp:inline>
            <wp:extent cx="4267200" cy="2667000"/>
            <wp:effectExtent b="0" l="0" r="0" t="0"/>
            <wp:docPr descr="Figure 3.18– An inline suggestion, ready to replace the selection" title="" id="198" name="Picture"/>
            <a:graphic>
              <a:graphicData uri="http://schemas.openxmlformats.org/drawingml/2006/picture">
                <pic:pic>
                  <pic:nvPicPr>
                    <pic:cNvPr descr="../figures/screens/writer-08-inline-suggestion.png" id="199" name="Picture"/>
                    <pic:cNvPicPr>
                      <a:picLocks noChangeArrowheads="1" noChangeAspect="1"/>
                    </pic:cNvPicPr>
                  </pic:nvPicPr>
                  <pic:blipFill>
                    <a:blip r:embed="rId19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200"/>
    <w:p>
      <w:pPr>
        <w:pStyle w:val="BodyText"/>
      </w:pPr>
      <w:r>
        <w:t xml:space="preserve">Selecting text opens the five actions of FR-28 —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01"/>
    <w:bookmarkEnd w:id="202"/>
    <w:bookmarkStart w:id="203"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03"/>
    <w:bookmarkEnd w:id="204"/>
    <w:bookmarkStart w:id="292"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05"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 likes, threaded comments, reposts, follows, reports —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05"/>
    <w:bookmarkStart w:id="256" w:name="sec:sprint3"/>
    <w:p>
      <w:pPr>
        <w:pStyle w:val="Heading2"/>
      </w:pPr>
      <w:r>
        <w:rPr>
          <w:rStyle w:val="SectionNumber"/>
        </w:rPr>
        <w:t xml:space="preserve">4.1</w:t>
      </w:r>
      <w:r>
        <w:tab/>
      </w:r>
      <w:r>
        <w:t xml:space="preserve">Sprint 3 — Social interactions, notifications and analytics</w:t>
      </w:r>
    </w:p>
    <w:bookmarkStart w:id="207"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06"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06"/>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07"/>
    <w:bookmarkStart w:id="212"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11" w:name="fig:uc-s3"/>
    <w:p>
      <w:pPr>
        <w:pStyle w:val="CaptionedFigure"/>
      </w:pPr>
      <w:r>
        <w:drawing>
          <wp:inline>
            <wp:extent cx="5334000" cy="1842862"/>
            <wp:effectExtent b="0" l="0" r="0" t="0"/>
            <wp:docPr descr="Figure 4.1– Use case diagram, Sprint 3" title="" id="209" name="Picture"/>
            <a:graphic>
              <a:graphicData uri="http://schemas.openxmlformats.org/drawingml/2006/picture">
                <pic:pic>
                  <pic:nvPicPr>
                    <pic:cNvPr descr="../diagrams/fig-5-1-use-case-sprint-3/fig-5-1-use-case-sprint-3.png" id="210" name="Picture"/>
                    <pic:cNvPicPr>
                      <a:picLocks noChangeArrowheads="1" noChangeAspect="1"/>
                    </pic:cNvPicPr>
                  </pic:nvPicPr>
                  <pic:blipFill>
                    <a:blip r:embed="rId208"/>
                    <a:stretch>
                      <a:fillRect/>
                    </a:stretch>
                  </pic:blipFill>
                  <pic:spPr bwMode="auto">
                    <a:xfrm>
                      <a:off x="0" y="0"/>
                      <a:ext cx="5334000" cy="1842862"/>
                    </a:xfrm>
                    <a:prstGeom prst="rect">
                      <a:avLst/>
                    </a:prstGeom>
                    <a:noFill/>
                    <a:ln w="9525">
                      <a:noFill/>
                      <a:headEnd/>
                      <a:tailEnd/>
                    </a:ln>
                  </pic:spPr>
                </pic:pic>
              </a:graphicData>
            </a:graphic>
          </wp:inline>
        </w:drawing>
      </w:r>
    </w:p>
    <w:p>
      <w:pPr>
        <w:pStyle w:val="ImageCaption"/>
      </w:pPr>
      <w:r>
        <w:t xml:space="preserve">Figure 4.1– Use case diagram, Sprint 3</w:t>
      </w:r>
    </w:p>
    <w:bookmarkEnd w:id="211"/>
    <w:p>
      <w:pPr>
        <w:pStyle w:val="BodyText"/>
      </w:pPr>
      <w:r>
        <w:t xml:space="preserve">Interacting with an article specialises into liking, commenting, replying, reposting,</w:t>
      </w:r>
      <w:r>
        <w:t xml:space="preserve"> </w:t>
      </w:r>
      <w:r>
        <w:t xml:space="preserve">following and reporting, and includes notifying the recipient. On a marketplace</w:t>
      </w:r>
      <w:r>
        <w:t xml:space="preserve"> </w:t>
      </w:r>
      <w:r>
        <w:t xml:space="preserve">listing, liking, commenting and reposting are refused while saving stays available,</w:t>
      </w:r>
      <w:r>
        <w:t xml:space="preserve"> </w:t>
      </w:r>
      <w:r>
        <w:t xml:space="preserve">because a listing is a private commercial offer rather than a publication (FR-70).</w:t>
      </w:r>
      <w:r>
        <w:t xml:space="preserve"> </w:t>
      </w:r>
      <w:r>
        <w:t xml:space="preserve">Viewing article analytics and reading a writer evaluation both include the aggregation</w:t>
      </w:r>
      <w:r>
        <w:t xml:space="preserve"> </w:t>
      </w:r>
      <w:r>
        <w:t xml:space="preserve">of raw events into metrics — a scheduled job rather than a user action, drawn because</w:t>
      </w:r>
      <w:r>
        <w:t xml:space="preserve"> </w:t>
      </w:r>
      <w:r>
        <w:t xml:space="preserve">no metric exists without it. The diagram therefore shows the two halves of the sprint</w:t>
      </w:r>
      <w:r>
        <w:t xml:space="preserve"> </w:t>
      </w:r>
      <w:r>
        <w:t xml:space="preserve">joined at one point: interactions produce events, and the aggregation turns events</w:t>
      </w:r>
      <w:r>
        <w:t xml:space="preserve"> </w:t>
      </w:r>
      <w:r>
        <w:t xml:space="preserve">into the numbers both the writer and the magazine read.</w:t>
      </w:r>
    </w:p>
    <w:bookmarkEnd w:id="212"/>
    <w:bookmarkStart w:id="226"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16" w:name="fig:classes-s3"/>
    <w:p>
      <w:pPr>
        <w:pStyle w:val="CaptionedFigure"/>
      </w:pPr>
      <w:r>
        <w:drawing>
          <wp:inline>
            <wp:extent cx="5334000" cy="3261576"/>
            <wp:effectExtent b="0" l="0" r="0" t="0"/>
            <wp:docPr descr="Figure 4.2– Class diagram, Sprint 3" title="" id="214" name="Picture"/>
            <a:graphic>
              <a:graphicData uri="http://schemas.openxmlformats.org/drawingml/2006/picture">
                <pic:pic>
                  <pic:nvPicPr>
                    <pic:cNvPr descr="../diagrams/fig-5-2-classes-sprint-3/fig-5-2-classes-sprint-3.png" id="215" name="Picture"/>
                    <pic:cNvPicPr>
                      <a:picLocks noChangeArrowheads="1" noChangeAspect="1"/>
                    </pic:cNvPicPr>
                  </pic:nvPicPr>
                  <pic:blipFill>
                    <a:blip r:embed="rId213"/>
                    <a:stretch>
                      <a:fillRect/>
                    </a:stretch>
                  </pic:blipFill>
                  <pic:spPr bwMode="auto">
                    <a:xfrm>
                      <a:off x="0" y="0"/>
                      <a:ext cx="5334000" cy="3261576"/>
                    </a:xfrm>
                    <a:prstGeom prst="rect">
                      <a:avLst/>
                    </a:prstGeom>
                    <a:noFill/>
                    <a:ln w="9525">
                      <a:noFill/>
                      <a:headEnd/>
                      <a:tailEnd/>
                    </a:ln>
                  </pic:spPr>
                </pic:pic>
              </a:graphicData>
            </a:graphic>
          </wp:inline>
        </w:drawing>
      </w:r>
    </w:p>
    <w:p>
      <w:pPr>
        <w:pStyle w:val="ImageCaption"/>
      </w:pPr>
      <w:r>
        <w:t xml:space="preserve">Figure 4.2– Class diagram, Sprint 3</w:t>
      </w:r>
    </w:p>
    <w:bookmarkEnd w:id="216"/>
    <w:p>
      <w:pPr>
        <w:pStyle w:val="BodyText"/>
      </w:pPr>
      <w:r>
        <w:t xml:space="preserve">Likes, reposts and follows are many-to-many associations; comments and notifications</w:t>
      </w:r>
      <w:r>
        <w:t xml:space="preserve"> </w:t>
      </w:r>
      <w:r>
        <w:t xml:space="preserve">are classes because they carry content and state. The four rollup tables are</w:t>
      </w:r>
      <w:r>
        <w:t xml:space="preserve"> </w:t>
      </w:r>
      <w:r>
        <w:rPr>
          <w:rStyle w:val="VerbatimChar"/>
        </w:rPr>
        <w:t xml:space="preserve">ArticleMetrics</w:t>
      </w:r>
      <w:r>
        <w:t xml:space="preserve"> </w:t>
      </w:r>
      <w:r>
        <w:t xml:space="preserve">per article, and</w:t>
      </w:r>
      <w:r>
        <w:t xml:space="preserve"> </w:t>
      </w:r>
      <w:r>
        <w:rPr>
          <w:rStyle w:val="VerbatimChar"/>
        </w:rPr>
        <w:t xml:space="preserve">WriterAudienceMetrics</w:t>
      </w:r>
      <w:r>
        <w:t xml:space="preserve">,</w:t>
      </w:r>
      <w:r>
        <w:t xml:space="preserve"> </w:t>
      </w:r>
      <w:r>
        <w:rPr>
          <w:rStyle w:val="VerbatimChar"/>
        </w:rPr>
        <w:t xml:space="preserve">WriterContentMetrics</w:t>
      </w:r>
      <w:r>
        <w:t xml:space="preserve"> </w:t>
      </w:r>
      <w:r>
        <w:t xml:space="preserve">and</w:t>
      </w:r>
      <w:r>
        <w:t xml:space="preserve"> </w:t>
      </w:r>
      <w:r>
        <w:rPr>
          <w:rStyle w:val="VerbatimChar"/>
        </w:rPr>
        <w:t xml:space="preserve">WriterQualityMetrics</w:t>
      </w:r>
      <w:r>
        <w:t xml:space="preserve"> </w:t>
      </w:r>
      <w:r>
        <w:t xml:space="preserve">per writer. The diagram shows that the metrics are stored</w:t>
      </w:r>
      <w:r>
        <w:t xml:space="preserve"> </w:t>
      </w:r>
      <w:r>
        <w:t xml:space="preserve">separately from the events they summarise: each rollup has one row per article or per</w:t>
      </w:r>
      <w:r>
        <w:t xml:space="preserve"> </w:t>
      </w:r>
      <w:r>
        <w:t xml:space="preserve">writer, rewritten by the aggregation, so reading a dashboard costs the same whatever</w:t>
      </w:r>
      <w:r>
        <w:t xml:space="preserve"> </w:t>
      </w:r>
      <w:r>
        <w:t xml:space="preserve">the number of events behind it.</w:t>
      </w:r>
    </w:p>
    <w:p>
      <w:pPr>
        <w:pStyle w:val="BodyText"/>
      </w:pPr>
      <w:r>
        <w:rPr>
          <w:b/>
          <w:bCs/>
        </w:rPr>
        <w:t xml:space="preserve">Sequence diagram —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20" w:name="fig:seq-aggregation"/>
    <w:p>
      <w:pPr>
        <w:pStyle w:val="CaptionedFigure"/>
      </w:pPr>
      <w:r>
        <w:drawing>
          <wp:inline>
            <wp:extent cx="5334000" cy="4114438"/>
            <wp:effectExtent b="0" l="0" r="0" t="0"/>
            <wp:docPr descr="Figure 4.3– Sequence diagram: analytics aggregation" title="" id="218" name="Picture"/>
            <a:graphic>
              <a:graphicData uri="http://schemas.openxmlformats.org/drawingml/2006/picture">
                <pic:pic>
                  <pic:nvPicPr>
                    <pic:cNvPr descr="../diagrams/fig-5-3-sequence-analytics-aggregation/fig-5-3-sequence-analytics-aggregation.png" id="219" name="Picture"/>
                    <pic:cNvPicPr>
                      <a:picLocks noChangeArrowheads="1" noChangeAspect="1"/>
                    </pic:cNvPicPr>
                  </pic:nvPicPr>
                  <pic:blipFill>
                    <a:blip r:embed="rId217"/>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20"/>
    <w:p>
      <w:pPr>
        <w:pStyle w:val="BodyText"/>
      </w:pPr>
      <w:r>
        <w:t xml:space="preserve">The browser batches events; the API takes the reader’s identity from the access token</w:t>
      </w:r>
      <w:r>
        <w:t xml:space="preserve"> </w:t>
      </w:r>
      <w:r>
        <w:t xml:space="preserve">when one is sent — never from the request body — and attaches the time and device</w:t>
      </w:r>
      <w:r>
        <w:t xml:space="preserve"> </w:t>
      </w:r>
      <w:r>
        <w:t xml:space="preserve">server-side before appending the event. Every five minutes the worker reads only the</w:t>
      </w:r>
      <w:r>
        <w:t xml:space="preserve"> </w:t>
      </w:r>
      <w:r>
        <w:t xml:space="preserve">events since the last run and upserts the per-article metrics; just after, it computes</w:t>
      </w:r>
      <w:r>
        <w:t xml:space="preserve"> </w:t>
      </w:r>
      <w:r>
        <w:t xml:space="preserve">the three per-writer rollups and rechecks marketplace eligibility. Dashboards read the</w:t>
      </w:r>
      <w:r>
        <w:t xml:space="preserve"> </w:t>
      </w:r>
      <w:r>
        <w:t xml:space="preserve">rollups, never the raw events, so they stay fast as the event log grows (NFR-15,</w:t>
      </w:r>
      <w:r>
        <w:t xml:space="preserve"> </w:t>
      </w:r>
      <w:r>
        <w:t xml:space="preserve">NFR-16). The diagram shows the one place where freshness is traded for speed: a metric</w:t>
      </w:r>
      <w:r>
        <w:t xml:space="preserve"> </w:t>
      </w:r>
      <w:r>
        <w:t xml:space="preserve">can be up to five minutes behind the events.</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21"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21"/>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25" w:name="fig:seq-notify"/>
    <w:p>
      <w:pPr>
        <w:pStyle w:val="CaptionedFigure"/>
      </w:pPr>
      <w:r>
        <w:drawing>
          <wp:inline>
            <wp:extent cx="5334000" cy="5801006"/>
            <wp:effectExtent b="0" l="0" r="0" t="0"/>
            <wp:docPr descr="Figure 4.4– Sequence diagram: live notification delivery" title="" id="223" name="Picture"/>
            <a:graphic>
              <a:graphicData uri="http://schemas.openxmlformats.org/drawingml/2006/picture">
                <pic:pic>
                  <pic:nvPicPr>
                    <pic:cNvPr descr="../diagrams/fig-5-9-sequence-notification-delivery/fig-5-9-sequence-notification-delivery.png" id="224" name="Picture"/>
                    <pic:cNvPicPr>
                      <a:picLocks noChangeArrowheads="1" noChangeAspect="1"/>
                    </pic:cNvPicPr>
                  </pic:nvPicPr>
                  <pic:blipFill>
                    <a:blip r:embed="rId222"/>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25"/>
    <w:p>
      <w:pPr>
        <w:pStyle w:val="BodyText"/>
      </w:pPr>
      <w:r>
        <w:t xml:space="preserve">The client keeps a server-sent-events stream open; when a reader likes an article, the</w:t>
      </w:r>
      <w:r>
        <w:t xml:space="preserve"> </w:t>
      </w:r>
      <w:r>
        <w:t xml:space="preserve">like and the notification row are written first, and only after the commit is the</w:t>
      </w:r>
      <w:r>
        <w:t xml:space="preserve"> </w:t>
      </w:r>
      <w:r>
        <w:t xml:space="preserve">event pushed to the recipient’s open streams. If the connection drops, the client</w:t>
      </w:r>
      <w:r>
        <w:t xml:space="preserve"> </w:t>
      </w:r>
      <w:r>
        <w:t xml:space="preserve">reconnects with the identifier of the last event received and the server replays what</w:t>
      </w:r>
      <w:r>
        <w:t xml:space="preserve"> </w:t>
      </w:r>
      <w:r>
        <w:t xml:space="preserve">was missed. The diagram shows why a notification is never lost and never announces</w:t>
      </w:r>
      <w:r>
        <w:t xml:space="preserve"> </w:t>
      </w:r>
      <w:r>
        <w:t xml:space="preserve">something that did not happen: the database is the record, and the live push is only a</w:t>
      </w:r>
      <w:r>
        <w:t xml:space="preserve"> </w:t>
      </w:r>
      <w:r>
        <w:t xml:space="preserve">faster way to read it.</w:t>
      </w:r>
    </w:p>
    <w:bookmarkEnd w:id="226"/>
    <w:bookmarkStart w:id="255"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30" w:name="fig:feed-reader"/>
    <w:p>
      <w:pPr>
        <w:pStyle w:val="CaptionedFigure"/>
      </w:pPr>
      <w:r>
        <w:drawing>
          <wp:inline>
            <wp:extent cx="4267200" cy="2667000"/>
            <wp:effectExtent b="0" l="0" r="0" t="0"/>
            <wp:docPr descr="Figure 4.5– The feed of a signed-in reader, with live card controls" title="" id="228" name="Picture"/>
            <a:graphic>
              <a:graphicData uri="http://schemas.openxmlformats.org/drawingml/2006/picture">
                <pic:pic>
                  <pic:nvPicPr>
                    <pic:cNvPr descr="../figures/screens/reader-01-feed.png" id="229" name="Picture"/>
                    <pic:cNvPicPr>
                      <a:picLocks noChangeArrowheads="1" noChangeAspect="1"/>
                    </pic:cNvPicPr>
                  </pic:nvPicPr>
                  <pic:blipFill>
                    <a:blip r:embed="rId2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30"/>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34" w:name="fig:notifications"/>
    <w:p>
      <w:pPr>
        <w:pStyle w:val="CaptionedFigure"/>
      </w:pPr>
      <w:r>
        <w:drawing>
          <wp:inline>
            <wp:extent cx="4267200" cy="2667000"/>
            <wp:effectExtent b="0" l="0" r="0" t="0"/>
            <wp:docPr descr="Figure 4.6– Notifications, filtered and grouped by day" title="" id="232" name="Picture"/>
            <a:graphic>
              <a:graphicData uri="http://schemas.openxmlformats.org/drawingml/2006/picture">
                <pic:pic>
                  <pic:nvPicPr>
                    <pic:cNvPr descr="../figures/screens/writer-12-notifications.png" id="233" name="Picture"/>
                    <pic:cNvPicPr>
                      <a:picLocks noChangeArrowheads="1" noChangeAspect="1"/>
                    </pic:cNvPicPr>
                  </pic:nvPicPr>
                  <pic:blipFill>
                    <a:blip r:embed="rId2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34"/>
    <w:p>
      <w:pPr>
        <w:pStyle w:val="BodyText"/>
      </w:pPr>
      <w:r>
        <w:t xml:space="preserve">Notifications are grouped by day, filtered by kind — unread, comments, purchases,</w:t>
      </w:r>
      <w:r>
        <w:t xml:space="preserve"> </w:t>
      </w:r>
      <w:r>
        <w:t xml:space="preserve">followers —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38" w:name="fig:dashboard"/>
    <w:p>
      <w:pPr>
        <w:pStyle w:val="CaptionedFigure"/>
      </w:pPr>
      <w:r>
        <w:drawing>
          <wp:inline>
            <wp:extent cx="4267200" cy="2667000"/>
            <wp:effectExtent b="0" l="0" r="0" t="0"/>
            <wp:docPr descr="Figure 4.7– The writer’s dashboard" title="" id="236" name="Picture"/>
            <a:graphic>
              <a:graphicData uri="http://schemas.openxmlformats.org/drawingml/2006/picture">
                <pic:pic>
                  <pic:nvPicPr>
                    <pic:cNvPr descr="../figures/screens/writer-01-dashboard.png" id="237" name="Picture"/>
                    <pic:cNvPicPr>
                      <a:picLocks noChangeArrowheads="1" noChangeAspect="1"/>
                    </pic:cNvPicPr>
                  </pic:nvPicPr>
                  <pic:blipFill>
                    <a:blip r:embed="rId2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38"/>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 how am I</w:t>
      </w:r>
      <w:r>
        <w:t xml:space="preserve"> </w:t>
      </w:r>
      <w:r>
        <w:t xml:space="preserve">doing — on one screen.</w:t>
      </w:r>
    </w:p>
    <w:bookmarkStart w:id="242" w:name="fig:my-articles"/>
    <w:p>
      <w:pPr>
        <w:pStyle w:val="CaptionedFigure"/>
      </w:pPr>
      <w:r>
        <w:drawing>
          <wp:inline>
            <wp:extent cx="4267200" cy="2667000"/>
            <wp:effectExtent b="0" l="0" r="0" t="0"/>
            <wp:docPr descr="Figure 4.8– “My articles”: every article, sortable by performance" title="" id="240" name="Picture"/>
            <a:graphic>
              <a:graphicData uri="http://schemas.openxmlformats.org/drawingml/2006/picture">
                <pic:pic>
                  <pic:nvPicPr>
                    <pic:cNvPr descr="../figures/screens/writer-13-my-articles.png" id="241" name="Picture"/>
                    <pic:cNvPicPr>
                      <a:picLocks noChangeArrowheads="1" noChangeAspect="1"/>
                    </pic:cNvPicPr>
                  </pic:nvPicPr>
                  <pic:blipFill>
                    <a:blip r:embed="rId2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42"/>
    <w:p>
      <w:pPr>
        <w:pStyle w:val="BodyText"/>
      </w:pPr>
      <w:r>
        <w:t xml:space="preserve">“My articles”</w:t>
      </w:r>
      <w:r>
        <w:t xml:space="preserve"> </w:t>
      </w:r>
      <w:r>
        <w:t xml:space="preserve">lists every article, drafts and marketplace listings included, searchable</w:t>
      </w:r>
      <w:r>
        <w:t xml:space="preserve"> </w:t>
      </w:r>
      <w:r>
        <w:t xml:space="preserve">by content and filterable by date, with its views and engagement (FR-33). The</w:t>
      </w:r>
      <w:r>
        <w:t xml:space="preserve"> </w:t>
      </w:r>
      <w:r>
        <w:t xml:space="preserve">engagement column is the per-view rate of</w:t>
      </w:r>
      <w:r>
        <w:t xml:space="preserve"> </w:t>
      </w:r>
      <w:hyperlink w:anchor="tbl:metrics">
        <w:r>
          <w:rPr>
            <w:rStyle w:val="Hyperlink"/>
          </w:rPr>
          <w:t xml:space="preserve">Table 4.2</w:t>
        </w:r>
      </w:hyperlink>
      <w:r>
        <w:t xml:space="preserve">, which is why values above 100%</w:t>
      </w:r>
      <w:r>
        <w:t xml:space="preserve"> </w:t>
      </w:r>
      <w:r>
        <w:t xml:space="preserve">appear on articles whose seeded reactions outnumber their recorded views. Sorting</w:t>
      </w:r>
      <w:r>
        <w:t xml:space="preserve"> </w:t>
      </w:r>
      <w:r>
        <w:t xml:space="preserve">happens on the server across the whole body of work, not on the page shown.</w:t>
      </w:r>
    </w:p>
    <w:bookmarkStart w:id="246" w:name="fig:writer-analytics"/>
    <w:p>
      <w:pPr>
        <w:pStyle w:val="CaptionedFigure"/>
      </w:pPr>
      <w:r>
        <w:drawing>
          <wp:inline>
            <wp:extent cx="4267200" cy="2667000"/>
            <wp:effectExtent b="0" l="0" r="0" t="0"/>
            <wp:docPr descr="Figure 4.9– The writer’s analytics: views over the last 30 days" title="" id="244" name="Picture"/>
            <a:graphic>
              <a:graphicData uri="http://schemas.openxmlformats.org/drawingml/2006/picture">
                <pic:pic>
                  <pic:nvPicPr>
                    <pic:cNvPr descr="../figures/screens/writer-10-dashboard-analytics.png" id="245" name="Picture"/>
                    <pic:cNvPicPr>
                      <a:picLocks noChangeArrowheads="1" noChangeAspect="1"/>
                    </pic:cNvPicPr>
                  </pic:nvPicPr>
                  <pic:blipFill>
                    <a:blip r:embed="rId2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46"/>
    <w:p>
      <w:pPr>
        <w:pStyle w:val="BodyText"/>
      </w:pPr>
      <w:r>
        <w:t xml:space="preserve">The analytics page gives the totals — views, average read time, engagement rate,</w:t>
      </w:r>
      <w:r>
        <w:t xml:space="preserve"> </w:t>
      </w:r>
      <w:r>
        <w:t xml:space="preserve">likes — and the daily views of the last 30 days (FR-32). The note under the chart says</w:t>
      </w:r>
      <w:r>
        <w:t xml:space="preserve"> </w:t>
      </w:r>
      <w:r>
        <w:t xml:space="preserve">that it is counted from the events, not from a rollup: a daily series is the one panel</w:t>
      </w:r>
      <w:r>
        <w:t xml:space="preserve"> </w:t>
      </w:r>
      <w:r>
        <w:t xml:space="preserve">that may read the event log directly, bounded to thirty days, as NFR-15 allows.</w:t>
      </w:r>
    </w:p>
    <w:p>
      <w:pPr>
        <w:pStyle w:val="BodyText"/>
      </w:pPr>
      <w:hyperlink w:anchor="fig:writer-profile">
        <w:r>
          <w:rPr>
            <w:rStyle w:val="Hyperlink"/>
          </w:rPr>
          <w:t xml:space="preserve">Figure 4.10</w:t>
        </w:r>
      </w:hyperlink>
      <w:r>
        <w:t xml:space="preserve"> </w:t>
      </w:r>
      <w:r>
        <w:t xml:space="preserve">shows a writer’s public profile.</w:t>
      </w:r>
    </w:p>
    <w:bookmarkStart w:id="250" w:name="fig:writer-profile"/>
    <w:p>
      <w:pPr>
        <w:pStyle w:val="CaptionedFigure"/>
      </w:pPr>
      <w:r>
        <w:drawing>
          <wp:inline>
            <wp:extent cx="4267200" cy="2667000"/>
            <wp:effectExtent b="0" l="0" r="0" t="0"/>
            <wp:docPr descr="Figure 4.10– A writer’s public profile" title="" id="248" name="Picture"/>
            <a:graphic>
              <a:graphicData uri="http://schemas.openxmlformats.org/drawingml/2006/picture">
                <pic:pic>
                  <pic:nvPicPr>
                    <pic:cNvPr descr="../figures/screens/guest-07-writer-profile.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50"/>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54" w:name="fig:find-writers"/>
    <w:p>
      <w:pPr>
        <w:pStyle w:val="CaptionedFigure"/>
      </w:pPr>
      <w:r>
        <w:drawing>
          <wp:inline>
            <wp:extent cx="4267200" cy="2667000"/>
            <wp:effectExtent b="0" l="0" r="0" t="0"/>
            <wp:docPr descr="Figure 4.11– A magazine browsing eligible writers" title="" id="252" name="Picture"/>
            <a:graphic>
              <a:graphicData uri="http://schemas.openxmlformats.org/drawingml/2006/picture">
                <pic:pic>
                  <pic:nvPicPr>
                    <pic:cNvPr descr="../figures/screens/magazine-07-discover-writers.png" id="253" name="Picture"/>
                    <pic:cNvPicPr>
                      <a:picLocks noChangeArrowheads="1" noChangeAspect="1"/>
                    </pic:cNvPicPr>
                  </pic:nvPicPr>
                  <pic:blipFill>
                    <a:blip r:embed="rId2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54"/>
    <w:p>
      <w:pPr>
        <w:pStyle w:val="BodyText"/>
      </w:pPr>
      <w:r>
        <w:t xml:space="preserve">A magazine browses writers filtered to the eligible ones and by topic, searches them by</w:t>
      </w:r>
      <w:r>
        <w:t xml:space="preserve"> </w:t>
      </w:r>
      <w:r>
        <w:t xml:space="preserve">name or bio, and sorts them — here by engagement (FR-44). Each card already gives</w:t>
      </w:r>
      <w:r>
        <w:t xml:space="preserve"> </w:t>
      </w:r>
      <w:r>
        <w:t xml:space="preserve">readers, engagement and article count, and</w:t>
      </w:r>
      <w:r>
        <w:t xml:space="preserve"> </w:t>
      </w:r>
      <w:r>
        <w:rPr>
          <w:i/>
          <w:iCs/>
        </w:rPr>
        <w:t xml:space="preserve">View evaluation</w:t>
      </w:r>
      <w:r>
        <w:t xml:space="preserve"> </w:t>
      </w:r>
      <w:r>
        <w:t xml:space="preserve">opens the full report. In</w:t>
      </w:r>
      <w:r>
        <w:t xml:space="preserve"> </w:t>
      </w:r>
      <w:r>
        <w:t xml:space="preserve">this sprint the page is reachable by any magazine account; from Sprint 5 it sits behind</w:t>
      </w:r>
      <w:r>
        <w:t xml:space="preserve"> </w:t>
      </w:r>
      <w:r>
        <w:t xml:space="preserve">the subscription wall, which is why FR-44 is attributed to both sprints.</w:t>
      </w:r>
    </w:p>
    <w:bookmarkEnd w:id="255"/>
    <w:bookmarkEnd w:id="256"/>
    <w:bookmarkStart w:id="290" w:name="sec:sprint4"/>
    <w:p>
      <w:pPr>
        <w:pStyle w:val="Heading2"/>
      </w:pPr>
      <w:r>
        <w:rPr>
          <w:rStyle w:val="SectionNumber"/>
        </w:rPr>
        <w:t xml:space="preserve">4.2</w:t>
      </w:r>
      <w:r>
        <w:tab/>
      </w:r>
      <w:r>
        <w:t xml:space="preserve">Sprint 4 — Retrieval, portfolio insights and hybrid search</w:t>
      </w:r>
    </w:p>
    <w:bookmarkStart w:id="258"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57"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57"/>
    <w:p>
      <w:pPr>
        <w:pStyle w:val="BodyText"/>
      </w:pPr>
      <w:r>
        <w:t xml:space="preserve">The sprint commits 52 points, the second heaviest load of the project. Its</w:t>
      </w:r>
      <w:r>
        <w:t xml:space="preserve"> </w:t>
      </w:r>
      <w:r>
        <w:t xml:space="preserve">stories share one new component — the embedding of published articles — and could only</w:t>
      </w:r>
      <w:r>
        <w:t xml:space="preserve"> </w:t>
      </w:r>
      <w:r>
        <w:t xml:space="preserve">be estimated once it existed, which is why the sprint begins with it.</w:t>
      </w:r>
    </w:p>
    <w:bookmarkEnd w:id="258"/>
    <w:bookmarkStart w:id="263"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62" w:name="fig:uc-s4"/>
    <w:p>
      <w:pPr>
        <w:pStyle w:val="CaptionedFigure"/>
      </w:pPr>
      <w:r>
        <w:drawing>
          <wp:inline>
            <wp:extent cx="5334000" cy="2944149"/>
            <wp:effectExtent b="0" l="0" r="0" t="0"/>
            <wp:docPr descr="Figure 4.12– Use case diagram, Sprint 4" title="" id="260" name="Picture"/>
            <a:graphic>
              <a:graphicData uri="http://schemas.openxmlformats.org/drawingml/2006/picture">
                <pic:pic>
                  <pic:nvPicPr>
                    <pic:cNvPr descr="../diagrams/fig-5-5-use-case-sprint-4/fig-5-5-use-case-sprint-4.png" id="261" name="Picture"/>
                    <pic:cNvPicPr>
                      <a:picLocks noChangeArrowheads="1" noChangeAspect="1"/>
                    </pic:cNvPicPr>
                  </pic:nvPicPr>
                  <pic:blipFill>
                    <a:blip r:embed="rId259"/>
                    <a:stretch>
                      <a:fillRect/>
                    </a:stretch>
                  </pic:blipFill>
                  <pic:spPr bwMode="auto">
                    <a:xfrm>
                      <a:off x="0" y="0"/>
                      <a:ext cx="5334000" cy="2944149"/>
                    </a:xfrm>
                    <a:prstGeom prst="rect">
                      <a:avLst/>
                    </a:prstGeom>
                    <a:noFill/>
                    <a:ln w="9525">
                      <a:noFill/>
                      <a:headEnd/>
                      <a:tailEnd/>
                    </a:ln>
                  </pic:spPr>
                </pic:pic>
              </a:graphicData>
            </a:graphic>
          </wp:inline>
        </w:drawing>
      </w:r>
    </w:p>
    <w:p>
      <w:pPr>
        <w:pStyle w:val="ImageCaption"/>
      </w:pPr>
      <w:r>
        <w:t xml:space="preserve">Figure 4.12– Use case diagram, Sprint 4</w:t>
      </w:r>
    </w:p>
    <w:bookmarkEnd w:id="262"/>
    <w:p>
      <w:pPr>
        <w:pStyle w:val="BodyText"/>
      </w:pPr>
      <w:r>
        <w:t xml:space="preserve">Searching specialises into searching by keyword and by meaning and includes merging the</w:t>
      </w:r>
      <w:r>
        <w:t xml:space="preserve"> </w:t>
      </w:r>
      <w:r>
        <w:t xml:space="preserve">two result sets; using the assistant includes retrieving passages from the writer’s own</w:t>
      </w:r>
      <w:r>
        <w:t xml:space="preserve"> </w:t>
      </w:r>
      <w:r>
        <w:t xml:space="preserve">corpus and showing the sources used; publishing includes embedding the article,</w:t>
      </w:r>
      <w:r>
        <w:t xml:space="preserve"> </w:t>
      </w:r>
      <w:r>
        <w:t xml:space="preserve">extracting the writer’s voice profile and invalidating the insights cache; reading a</w:t>
      </w:r>
      <w:r>
        <w:t xml:space="preserve"> </w:t>
      </w:r>
      <w:r>
        <w:t xml:space="preserve">writer evaluation is extended by generating portfolio insights. The diagram shows that</w:t>
      </w:r>
      <w:r>
        <w:t xml:space="preserve"> </w:t>
      </w:r>
      <w:r>
        <w:t xml:space="preserve">publishing has become the trigger of the whole AI layer: every capability of the sprint</w:t>
      </w:r>
      <w:r>
        <w:t xml:space="preserve"> </w:t>
      </w:r>
      <w:r>
        <w:t xml:space="preserve">depends on what happens after a writer clicks</w:t>
      </w:r>
      <w:r>
        <w:t xml:space="preserve"> </w:t>
      </w:r>
      <w:r>
        <w:rPr>
          <w:i/>
          <w:iCs/>
        </w:rPr>
        <w:t xml:space="preserve">Publish</w:t>
      </w:r>
      <w:r>
        <w:t xml:space="preserve">.</w:t>
      </w:r>
    </w:p>
    <w:bookmarkEnd w:id="263"/>
    <w:bookmarkStart w:id="280"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67" w:name="fig:classes-s4"/>
    <w:p>
      <w:pPr>
        <w:pStyle w:val="CaptionedFigure"/>
      </w:pPr>
      <w:r>
        <w:drawing>
          <wp:inline>
            <wp:extent cx="5334000" cy="1922628"/>
            <wp:effectExtent b="0" l="0" r="0" t="0"/>
            <wp:docPr descr="Figure 4.13– Class diagram, Sprint 4" title="" id="265" name="Picture"/>
            <a:graphic>
              <a:graphicData uri="http://schemas.openxmlformats.org/drawingml/2006/picture">
                <pic:pic>
                  <pic:nvPicPr>
                    <pic:cNvPr descr="../diagrams/fig-5-6-classes-sprint-4/fig-5-6-classes-sprint-4.png" id="266" name="Picture"/>
                    <pic:cNvPicPr>
                      <a:picLocks noChangeArrowheads="1" noChangeAspect="1"/>
                    </pic:cNvPicPr>
                  </pic:nvPicPr>
                  <pic:blipFill>
                    <a:blip r:embed="rId264"/>
                    <a:stretch>
                      <a:fillRect/>
                    </a:stretch>
                  </pic:blipFill>
                  <pic:spPr bwMode="auto">
                    <a:xfrm>
                      <a:off x="0" y="0"/>
                      <a:ext cx="5334000" cy="1922628"/>
                    </a:xfrm>
                    <a:prstGeom prst="rect">
                      <a:avLst/>
                    </a:prstGeom>
                    <a:noFill/>
                    <a:ln w="9525">
                      <a:noFill/>
                      <a:headEnd/>
                      <a:tailEnd/>
                    </a:ln>
                  </pic:spPr>
                </pic:pic>
              </a:graphicData>
            </a:graphic>
          </wp:inline>
        </w:drawing>
      </w:r>
    </w:p>
    <w:p>
      <w:pPr>
        <w:pStyle w:val="ImageCaption"/>
      </w:pPr>
      <w:r>
        <w:t xml:space="preserve">Figure 4.13– Class diagram, Sprint 4</w:t>
      </w:r>
    </w:p>
    <w:bookmarkEnd w:id="267"/>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extracted voice profile (tone, style examples,</w:t>
      </w:r>
      <w:r>
        <w:t xml:space="preserve"> </w:t>
      </w:r>
      <w:r>
        <w:t xml:space="preserve">vocabulary, topics); the</w:t>
      </w:r>
      <w:r>
        <w:t xml:space="preserve"> </w:t>
      </w:r>
      <w:r>
        <w:rPr>
          <w:rStyle w:val="VerbatimChar"/>
        </w:rPr>
        <w:t xml:space="preserve">PortfolioInsight</w:t>
      </w:r>
      <w:r>
        <w:t xml:space="preserve"> </w:t>
      </w:r>
      <w:r>
        <w:t xml:space="preserve">caches the AI assessment of a writer; the</w:t>
      </w:r>
      <w:r>
        <w:t xml:space="preserve"> </w:t>
      </w:r>
      <w:r>
        <w:rPr>
          <w:rStyle w:val="VerbatimChar"/>
        </w:rPr>
        <w:t xml:space="preserve">AiInteraction</w:t>
      </w:r>
      <w:r>
        <w:t xml:space="preserve"> </w:t>
      </w:r>
      <w:r>
        <w:t xml:space="preserve">log records every call. The diagram shows that the AI layer adds data</w:t>
      </w:r>
      <w:r>
        <w:t xml:space="preserve"> </w:t>
      </w:r>
      <w:r>
        <w:t xml:space="preserve">derived from articles and never modifies them: every chunk, profile and insight can be</w:t>
      </w:r>
      <w:r>
        <w:t xml:space="preserve"> </w:t>
      </w:r>
      <w:r>
        <w:t xml:space="preserve">deleted and rebuilt from the published articles, which is what the re-embedding on</w:t>
      </w:r>
      <w:r>
        <w:t xml:space="preserve"> </w:t>
      </w:r>
      <w:r>
        <w:t xml:space="preserve">every publication does.</w:t>
      </w:r>
    </w:p>
    <w:p>
      <w:pPr>
        <w:pStyle w:val="BodyText"/>
      </w:pPr>
      <w:r>
        <w:rPr>
          <w:b/>
          <w:bCs/>
        </w:rPr>
        <w:t xml:space="preserve">Sequence diagram —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71" w:name="fig:seq-publish"/>
    <w:p>
      <w:pPr>
        <w:pStyle w:val="CaptionedFigure"/>
      </w:pPr>
      <w:r>
        <w:drawing>
          <wp:inline>
            <wp:extent cx="5334000" cy="4182776"/>
            <wp:effectExtent b="0" l="0" r="0" t="0"/>
            <wp:docPr descr="Figure 4.14– Sequence diagram: the publishing pipeline" title="" id="269" name="Picture"/>
            <a:graphic>
              <a:graphicData uri="http://schemas.openxmlformats.org/drawingml/2006/picture">
                <pic:pic>
                  <pic:nvPicPr>
                    <pic:cNvPr descr="../diagrams/fig-5-8-sequence-publish-pipeline/fig-5-8-sequence-publish-pipeline.png" id="270" name="Picture"/>
                    <pic:cNvPicPr>
                      <a:picLocks noChangeArrowheads="1" noChangeAspect="1"/>
                    </pic:cNvPicPr>
                  </pic:nvPicPr>
                  <pic:blipFill>
                    <a:blip r:embed="rId268"/>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71"/>
    <w:p>
      <w:pPr>
        <w:pStyle w:val="BodyText"/>
      </w:pPr>
      <w:r>
        <w:t xml:space="preserve">The API writes the article and enqueues an embedding job. The worker deletes the</w:t>
      </w:r>
      <w:r>
        <w:t xml:space="preserve"> </w:t>
      </w:r>
      <w:r>
        <w:t xml:space="preserve">article’s previous chunks, splits it into passages of 120 to 1,200 characters — each</w:t>
      </w:r>
      <w:r>
        <w:t xml:space="preserve"> </w:t>
      </w:r>
      <w:r>
        <w:t xml:space="preserve">prefixed with its nearest heading, so that a short paragraph embeds near its</w:t>
      </w:r>
      <w:r>
        <w:t xml:space="preserve"> </w:t>
      </w:r>
      <w:r>
        <w:t xml:space="preserve">subject — embeds them, stores the vectors and drops the writer’s cached insights. It</w:t>
      </w:r>
      <w:r>
        <w:t xml:space="preserve"> </w:t>
      </w:r>
      <w:r>
        <w:t xml:space="preserve">then chains the extraction of the voice profile from the most recent articles, which</w:t>
      </w:r>
      <w:r>
        <w:t xml:space="preserve"> </w:t>
      </w:r>
      <w:r>
        <w:t xml:space="preserve">the model returns as a schema‑validated object. The diagram shows that publishing</w:t>
      </w:r>
      <w:r>
        <w:t xml:space="preserve"> </w:t>
      </w:r>
      <w:r>
        <w:t xml:space="preserve">returns immediately: the writer never waits for an embedding, and a failure of the</w:t>
      </w:r>
      <w:r>
        <w:t xml:space="preserve"> </w:t>
      </w:r>
      <w:r>
        <w:t xml:space="preserve">provider delays retrieval without blocking publication.</w:t>
      </w:r>
    </w:p>
    <w:p>
      <w:pPr>
        <w:pStyle w:val="BodyText"/>
      </w:pPr>
      <w:r>
        <w:rPr>
          <w:b/>
          <w:bCs/>
        </w:rPr>
        <w:t xml:space="preserve">Sequence diagram —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75" w:name="fig:seq-rag"/>
    <w:p>
      <w:pPr>
        <w:pStyle w:val="CaptionedFigure"/>
      </w:pPr>
      <w:r>
        <w:drawing>
          <wp:inline>
            <wp:extent cx="5334000" cy="4254984"/>
            <wp:effectExtent b="0" l="0" r="0" t="0"/>
            <wp:docPr descr="Figure 4.15– Sequence diagram: AI chat with retrieval" title="" id="273" name="Picture"/>
            <a:graphic>
              <a:graphicData uri="http://schemas.openxmlformats.org/drawingml/2006/picture">
                <pic:pic>
                  <pic:nvPicPr>
                    <pic:cNvPr descr="../diagrams/fig-5-4-sequence-ai-chat-rag/fig-5-4-sequence-ai-chat-rag.png" id="274" name="Picture"/>
                    <pic:cNvPicPr>
                      <a:picLocks noChangeArrowheads="1" noChangeAspect="1"/>
                    </pic:cNvPicPr>
                  </pic:nvPicPr>
                  <pic:blipFill>
                    <a:blip r:embed="rId272"/>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75"/>
    <w:p>
      <w:pPr>
        <w:pStyle w:val="BodyText"/>
      </w:pPr>
      <w:r>
        <w:t xml:space="preserve">The question is embedded; the five passages of the writer’s own work closest to it by</w:t>
      </w:r>
      <w:r>
        <w:t xml:space="preserve"> </w:t>
      </w:r>
      <w:r>
        <w:t xml:space="preserve">cosine similarity are retrieved, provided they score above 0.60; the voice profile is</w:t>
      </w:r>
      <w:r>
        <w:t xml:space="preserve"> </w:t>
      </w:r>
      <w:r>
        <w:t xml:space="preserve">read; the prompt is assembled from role, memory, passages and question; the answer is</w:t>
      </w:r>
      <w:r>
        <w:t xml:space="preserve"> </w:t>
      </w:r>
      <w:r>
        <w:t xml:space="preserve">streamed, and the passages used are shown as sources. The similarity floor lets</w:t>
      </w:r>
      <w:r>
        <w:t xml:space="preserve"> </w:t>
      </w:r>
      <w:r>
        <w:t xml:space="preserve">retrieval return</w:t>
      </w:r>
      <w:r>
        <w:t xml:space="preserve"> </w:t>
      </w:r>
      <w:r>
        <w:rPr>
          <w:i/>
          <w:iCs/>
        </w:rPr>
        <w:t xml:space="preserve">nothing</w:t>
      </w:r>
      <w:r>
        <w:t xml:space="preserve"> </w:t>
      </w:r>
      <w:r>
        <w:t xml:space="preserve">rather than five irrelevant passages, and the voice profile</w:t>
      </w:r>
      <w:r>
        <w:t xml:space="preserve"> </w:t>
      </w:r>
      <w:r>
        <w:t xml:space="preserve">keeps the answer in the writer’s style even then.</w:t>
      </w:r>
      <w:r>
        <w:t xml:space="preserve"> </w:t>
      </w:r>
      <w:hyperlink w:anchor="sec:eval-rag">
        <w:r>
          <w:rPr>
            <w:rStyle w:val="Hyperlink"/>
          </w:rPr>
          <w:t xml:space="preserve">Section 7.2</w:t>
        </w:r>
      </w:hyperlink>
      <w:r>
        <w:t xml:space="preserve"> </w:t>
      </w:r>
      <w:r>
        <w:t xml:space="preserve">measures how well</w:t>
      </w:r>
      <w:r>
        <w:t xml:space="preserve"> </w:t>
      </w:r>
      <w:r>
        <w:t xml:space="preserve">this retrieval finds the right passage and how often the floor correctly returns</w:t>
      </w:r>
      <w:r>
        <w:t xml:space="preserve"> </w:t>
      </w:r>
      <w:r>
        <w:t xml:space="preserve">nothing.</w:t>
      </w:r>
    </w:p>
    <w:p>
      <w:pPr>
        <w:pStyle w:val="BodyText"/>
      </w:pPr>
      <w:r>
        <w:rPr>
          <w:b/>
          <w:bCs/>
        </w:rPr>
        <w:t xml:space="preserve">Sequence diagram — hybrid search.</w:t>
      </w:r>
      <w:r>
        <w:t xml:space="preserve"> </w:t>
      </w:r>
      <w:hyperlink w:anchor="fig:seq-search">
        <w:r>
          <w:rPr>
            <w:rStyle w:val="Hyperlink"/>
          </w:rPr>
          <w:t xml:space="preserve">Figure 4.16</w:t>
        </w:r>
      </w:hyperlink>
      <w:r>
        <w:t xml:space="preserve"> </w:t>
      </w:r>
      <w:r>
        <w:t xml:space="preserve">shows search.</w:t>
      </w:r>
    </w:p>
    <w:bookmarkStart w:id="279" w:name="fig:seq-search"/>
    <w:p>
      <w:pPr>
        <w:pStyle w:val="CaptionedFigure"/>
      </w:pPr>
      <w:r>
        <w:drawing>
          <wp:inline>
            <wp:extent cx="5334000" cy="4274721"/>
            <wp:effectExtent b="0" l="0" r="0" t="0"/>
            <wp:docPr descr="Figure 4.16– Sequence diagram: hybrid search with reciprocal rank fusion" title="" id="277" name="Picture"/>
            <a:graphic>
              <a:graphicData uri="http://schemas.openxmlformats.org/drawingml/2006/picture">
                <pic:pic>
                  <pic:nvPicPr>
                    <pic:cNvPr descr="../diagrams/fig-5-7-sequence-hybrid-search/fig-5-7-sequence-hybrid-search.png" id="278" name="Picture"/>
                    <pic:cNvPicPr>
                      <a:picLocks noChangeArrowheads="1" noChangeAspect="1"/>
                    </pic:cNvPicPr>
                  </pic:nvPicPr>
                  <pic:blipFill>
                    <a:blip r:embed="rId276"/>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79"/>
    <w:p>
      <w:pPr>
        <w:pStyle w:val="BodyText"/>
      </w:pPr>
      <w:r>
        <w:t xml:space="preserve">The query is ranked lexically with</w:t>
      </w:r>
      <w:r>
        <w:t xml:space="preserve"> </w:t>
      </w:r>
      <w:r>
        <w:rPr>
          <w:rStyle w:val="VerbatimChar"/>
        </w:rPr>
        <w:t xml:space="preserve">ts_rank</w:t>
      </w:r>
      <w:r>
        <w:t xml:space="preserve"> </w:t>
      </w:r>
      <w:r>
        <w:t xml:space="preserve">over the article’s weighted search vector</w:t>
      </w:r>
      <w:r>
        <w:t xml:space="preserve"> </w:t>
      </w:r>
      <w:hyperlink w:anchor="ref-postgres16fts">
        <w:r>
          <w:rPr>
            <w:rStyle w:val="Hyperlink"/>
          </w:rPr>
          <w:t xml:space="preserve">[23]</w:t>
        </w:r>
      </w:hyperlink>
      <w:r>
        <w:t xml:space="preserve">, and semantically by cosine similarity, keeping the best passage per</w:t>
      </w:r>
      <w:r>
        <w:t xml:space="preserve"> </w:t>
      </w:r>
      <w:r>
        <w:t xml:space="preserve">article. Because the two scores are on unrelated scales, the rankings are fused by</w:t>
      </w:r>
      <w:r>
        <w:t xml:space="preserve"> </w:t>
      </w:r>
      <w:r>
        <w:t xml:space="preserve">position with reciprocal rank fusion — each article scores Σ 1/(60 + rank) over the two</w:t>
      </w:r>
      <w:r>
        <w:t xml:space="preserve"> </w:t>
      </w:r>
      <w:r>
        <w:t xml:space="preserve">lists</w:t>
      </w:r>
      <w:r>
        <w:t xml:space="preserve"> </w:t>
      </w:r>
      <w:hyperlink w:anchor="ref-cormack2009rrf">
        <w:r>
          <w:rPr>
            <w:rStyle w:val="Hyperlink"/>
          </w:rPr>
          <w:t xml:space="preserve">[39]</w:t>
        </w:r>
      </w:hyperlink>
      <w:r>
        <w:t xml:space="preserve"> </w:t>
      </w:r>
      <w:r>
        <w:t xml:space="preserve">— so an article that never uses the searcher’s words can still</w:t>
      </w:r>
      <w:r>
        <w:t xml:space="preserve"> </w:t>
      </w:r>
      <w:r>
        <w:t xml:space="preserve">be found by meaning. The diagram shows that the two rankings are independent and run in</w:t>
      </w:r>
      <w:r>
        <w:t xml:space="preserve"> </w:t>
      </w:r>
      <w:r>
        <w:t xml:space="preserve">parallel: if the embedding provider fails, search degrades to keyword search instead</w:t>
      </w:r>
      <w:r>
        <w:t xml:space="preserve"> </w:t>
      </w:r>
      <w:r>
        <w:t xml:space="preserve">of failing.</w:t>
      </w:r>
      <w:r>
        <w:t xml:space="preserve"> </w:t>
      </w:r>
      <w:hyperlink w:anchor="sec:eval-search">
        <w:r>
          <w:rPr>
            <w:rStyle w:val="Hyperlink"/>
          </w:rPr>
          <w:t xml:space="preserve">Section 7.3</w:t>
        </w:r>
      </w:hyperlink>
      <w:r>
        <w:t xml:space="preserve"> </w:t>
      </w:r>
      <w:r>
        <w:t xml:space="preserve">compares the three rankings on the same queries.</w:t>
      </w:r>
    </w:p>
    <w:bookmarkEnd w:id="280"/>
    <w:bookmarkStart w:id="289"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284" w:name="fig:search"/>
    <w:p>
      <w:pPr>
        <w:pStyle w:val="CaptionedFigure"/>
      </w:pPr>
      <w:r>
        <w:drawing>
          <wp:inline>
            <wp:extent cx="4267200" cy="2667000"/>
            <wp:effectExtent b="0" l="0" r="0" t="0"/>
            <wp:docPr descr="Figure 4.17– Search results" title="" id="282" name="Picture"/>
            <a:graphic>
              <a:graphicData uri="http://schemas.openxmlformats.org/drawingml/2006/picture">
                <pic:pic>
                  <pic:nvPicPr>
                    <pic:cNvPr descr="../figures/screens/guest-09-search-results.png" id="283" name="Picture"/>
                    <pic:cNvPicPr>
                      <a:picLocks noChangeArrowheads="1" noChangeAspect="1"/>
                    </pic:cNvPicPr>
                  </pic:nvPicPr>
                  <pic:blipFill>
                    <a:blip r:embed="rId2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284"/>
    <w:p>
      <w:pPr>
        <w:pStyle w:val="BodyText"/>
      </w:pPr>
      <w:r>
        <w:t xml:space="preserve">The page says how it works —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288" w:name="fig:evaluation"/>
    <w:p>
      <w:pPr>
        <w:pStyle w:val="CaptionedFigure"/>
      </w:pPr>
      <w:r>
        <w:drawing>
          <wp:inline>
            <wp:extent cx="4267200" cy="2667000"/>
            <wp:effectExtent b="0" l="0" r="0" t="0"/>
            <wp:docPr descr="Figure 4.18– A writer evaluation report with portfolio insights" title="" id="286" name="Picture"/>
            <a:graphic>
              <a:graphicData uri="http://schemas.openxmlformats.org/drawingml/2006/picture">
                <pic:pic>
                  <pic:nvPicPr>
                    <pic:cNvPr descr="../figures/screens/magazine-08-writer-evaluation.png" id="287" name="Picture"/>
                    <pic:cNvPicPr>
                      <a:picLocks noChangeArrowheads="1" noChangeAspect="1"/>
                    </pic:cNvPicPr>
                  </pic:nvPicPr>
                  <pic:blipFill>
                    <a:blip r:embed="rId28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288"/>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 audience, quality with its</w:t>
      </w:r>
      <w:r>
        <w:t xml:space="preserve"> </w:t>
      </w:r>
      <w:r>
        <w:t xml:space="preserve">retention curve, and content with its topics — and the portfolio insights generated by</w:t>
      </w:r>
      <w:r>
        <w:t xml:space="preserve"> </w:t>
      </w:r>
      <w:r>
        <w:t xml:space="preserve">the model, here a description of the writer’s voice, with</w:t>
      </w:r>
      <w:r>
        <w:t xml:space="preserve"> </w:t>
      </w:r>
      <w:r>
        <w:rPr>
          <w:i/>
          <w:iCs/>
        </w:rPr>
        <w:t xml:space="preserve">Regenerate</w:t>
      </w:r>
      <w:r>
        <w:t xml:space="preserve"> </w:t>
      </w:r>
      <w:r>
        <w:t xml:space="preserve">as the explicit</w:t>
      </w:r>
      <w:r>
        <w:t xml:space="preserve"> </w:t>
      </w:r>
      <w:r>
        <w:t xml:space="preserve">action of FR-46 (FR-45, FR-46). Two fields the capture cannot measure, geographic</w:t>
      </w:r>
      <w:r>
        <w:t xml:space="preserve"> </w:t>
      </w:r>
      <w:r>
        <w:t xml:space="preserve">distribution and device split, are stated as not collected rather than shown as zero.</w:t>
      </w:r>
      <w:r>
        <w:t xml:space="preserve"> </w:t>
      </w:r>
      <w:r>
        <w:t xml:space="preserve">The screen is the reason the analytics exist: it turns reading into evidence a buyer</w:t>
      </w:r>
      <w:r>
        <w:t xml:space="preserve"> </w:t>
      </w:r>
      <w:r>
        <w:t xml:space="preserve">can weigh.</w:t>
      </w:r>
    </w:p>
    <w:bookmarkEnd w:id="289"/>
    <w:bookmarkEnd w:id="290"/>
    <w:bookmarkStart w:id="291"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291"/>
    <w:bookmarkEnd w:id="292"/>
    <w:bookmarkStart w:id="401"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293"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293"/>
    <w:bookmarkStart w:id="388" w:name="sec:sprint5"/>
    <w:p>
      <w:pPr>
        <w:pStyle w:val="Heading2"/>
      </w:pPr>
      <w:r>
        <w:rPr>
          <w:rStyle w:val="SectionNumber"/>
        </w:rPr>
        <w:t xml:space="preserve">5.1</w:t>
      </w:r>
      <w:r>
        <w:tab/>
      </w:r>
      <w:r>
        <w:t xml:space="preserve">Sprint 5 — Marketplace, subscriptions, premium and moderation</w:t>
      </w:r>
    </w:p>
    <w:bookmarkStart w:id="295"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294"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294"/>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295"/>
    <w:bookmarkStart w:id="301"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299" w:name="fig:uc-s5"/>
    <w:p>
      <w:pPr>
        <w:pStyle w:val="CaptionedFigure"/>
      </w:pPr>
      <w:r>
        <w:drawing>
          <wp:inline>
            <wp:extent cx="5334000" cy="2958406"/>
            <wp:effectExtent b="0" l="0" r="0" t="0"/>
            <wp:docPr descr="Figure 5.1– Use case diagram, Sprint 5" title="" id="297" name="Picture"/>
            <a:graphic>
              <a:graphicData uri="http://schemas.openxmlformats.org/drawingml/2006/picture">
                <pic:pic>
                  <pic:nvPicPr>
                    <pic:cNvPr descr="../diagrams/fig-6-1-use-case-sprint-5/fig-6-1-use-case-sprint-5.png" id="298" name="Picture"/>
                    <pic:cNvPicPr>
                      <a:picLocks noChangeArrowheads="1" noChangeAspect="1"/>
                    </pic:cNvPicPr>
                  </pic:nvPicPr>
                  <pic:blipFill>
                    <a:blip r:embed="rId296"/>
                    <a:stretch>
                      <a:fillRect/>
                    </a:stretch>
                  </pic:blipFill>
                  <pic:spPr bwMode="auto">
                    <a:xfrm>
                      <a:off x="0" y="0"/>
                      <a:ext cx="5334000" cy="2958406"/>
                    </a:xfrm>
                    <a:prstGeom prst="rect">
                      <a:avLst/>
                    </a:prstGeom>
                    <a:noFill/>
                    <a:ln w="9525">
                      <a:noFill/>
                      <a:headEnd/>
                      <a:tailEnd/>
                    </a:ln>
                  </pic:spPr>
                </pic:pic>
              </a:graphicData>
            </a:graphic>
          </wp:inline>
        </w:drawing>
      </w:r>
    </w:p>
    <w:p>
      <w:pPr>
        <w:pStyle w:val="ImageCaption"/>
      </w:pPr>
      <w:r>
        <w:t xml:space="preserve">Figure 5.1– Use case diagram, Sprint 5</w:t>
      </w:r>
    </w:p>
    <w:bookmarkEnd w:id="299"/>
    <w:p>
      <w:pPr>
        <w:pStyle w:val="BodyText"/>
      </w:pPr>
      <w:r>
        <w:t xml:space="preserve">An unsubscribed magazine can only subscribe; a subscribed magazine browses the</w:t>
      </w:r>
      <w:r>
        <w:t xml:space="preserve"> </w:t>
      </w:r>
      <w:r>
        <w:t xml:space="preserve">marketplace, purchases an article exclusively — unlocking a preview extends the</w:t>
      </w:r>
      <w:r>
        <w:t xml:space="preserve"> </w:t>
      </w:r>
      <w:r>
        <w:t xml:space="preserve">purchase — tops up credits, views its library and publishes a purchased article from</w:t>
      </w:r>
      <w:r>
        <w:t xml:space="preserve"> </w:t>
      </w:r>
      <w:r>
        <w:t xml:space="preserve">it. Every credit movement includes moving credits in one transaction. An eligible</w:t>
      </w:r>
      <w:r>
        <w:t xml:space="preserve"> </w:t>
      </w:r>
      <w:r>
        <w:t xml:space="preserve">writer lists an article, which includes setting a price and classifying the content at</w:t>
      </w:r>
      <w:r>
        <w:t xml:space="preserve"> </w:t>
      </w:r>
      <w:r>
        <w:t xml:space="preserve">publish time; the administrator reviews the report queue, grants eligibility and</w:t>
      </w:r>
      <w:r>
        <w:t xml:space="preserve"> </w:t>
      </w:r>
      <w:r>
        <w:t xml:space="preserve">manages users. The diagram shows that the subscription is the gate of every magazine</w:t>
      </w:r>
      <w:r>
        <w:t xml:space="preserve"> </w:t>
      </w:r>
      <w:r>
        <w:t xml:space="preserve">use case but one, which is what the actor split A6 / A7 of</w:t>
      </w:r>
      <w:r>
        <w:t xml:space="preserve"> </w:t>
      </w:r>
      <w:hyperlink w:anchor="sec:actors">
        <w:r>
          <w:rPr>
            <w:rStyle w:val="Hyperlink"/>
          </w:rPr>
          <w:t xml:space="preserve">Section 1.3</w:t>
        </w:r>
      </w:hyperlink>
      <w:r>
        <w:t xml:space="preserve"> </w:t>
      </w:r>
      <w:r>
        <w:t xml:space="preserve">expresses.</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300"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00"/>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 10%, 20%, 500, 5,000 and 1,000 — are</w:t>
      </w:r>
      <w:r>
        <w:t xml:space="preserve"> </w:t>
      </w:r>
      <w:r>
        <w:t xml:space="preserve">product decisions, kept as named constants (</w:t>
      </w:r>
      <w:hyperlink w:anchor="sec:parameters">
        <w:r>
          <w:rPr>
            <w:rStyle w:val="Hyperlink"/>
          </w:rPr>
          <w:t xml:space="preserve">Section 2.3</w:t>
        </w:r>
      </w:hyperlink>
      <w:r>
        <w:t xml:space="preserve">).</w:t>
      </w:r>
    </w:p>
    <w:bookmarkEnd w:id="301"/>
    <w:bookmarkStart w:id="326"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05" w:name="fig:classes-s5"/>
    <w:p>
      <w:pPr>
        <w:pStyle w:val="CaptionedFigure"/>
      </w:pPr>
      <w:r>
        <w:drawing>
          <wp:inline>
            <wp:extent cx="5334000" cy="2414302"/>
            <wp:effectExtent b="0" l="0" r="0" t="0"/>
            <wp:docPr descr="Figure 5.2– Class diagram, Sprint 5" title="" id="303" name="Picture"/>
            <a:graphic>
              <a:graphicData uri="http://schemas.openxmlformats.org/drawingml/2006/picture">
                <pic:pic>
                  <pic:nvPicPr>
                    <pic:cNvPr descr="../diagrams/fig-6-2-classes-sprint-5/fig-6-2-classes-sprint-5.png" id="304" name="Picture"/>
                    <pic:cNvPicPr>
                      <a:picLocks noChangeArrowheads="1" noChangeAspect="1"/>
                    </pic:cNvPicPr>
                  </pic:nvPicPr>
                  <pic:blipFill>
                    <a:blip r:embed="rId302"/>
                    <a:stretch>
                      <a:fillRect/>
                    </a:stretch>
                  </pic:blipFill>
                  <pic:spPr bwMode="auto">
                    <a:xfrm>
                      <a:off x="0" y="0"/>
                      <a:ext cx="5334000" cy="2414302"/>
                    </a:xfrm>
                    <a:prstGeom prst="rect">
                      <a:avLst/>
                    </a:prstGeom>
                    <a:noFill/>
                    <a:ln w="9525">
                      <a:noFill/>
                      <a:headEnd/>
                      <a:tailEnd/>
                    </a:ln>
                  </pic:spPr>
                </pic:pic>
              </a:graphicData>
            </a:graphic>
          </wp:inline>
        </w:drawing>
      </w:r>
    </w:p>
    <w:p>
      <w:pPr>
        <w:pStyle w:val="ImageCaption"/>
      </w:pPr>
      <w:r>
        <w:t xml:space="preserve">Figure 5.2– Class diagram, Sprint 5</w:t>
      </w:r>
    </w:p>
    <w:bookmarkEnd w:id="305"/>
    <w:p>
      <w:pPr>
        <w:pStyle w:val="BodyText"/>
      </w:pPr>
      <w:r>
        <w:t xml:space="preserve">A</w:t>
      </w:r>
      <w:r>
        <w:t xml:space="preserve"> </w:t>
      </w:r>
      <w:r>
        <w:rPr>
          <w:rStyle w:val="VerbatimChar"/>
        </w:rPr>
        <w:t xml:space="preserve">Purchase</w:t>
      </w:r>
      <w:r>
        <w:t xml:space="preserve"> </w:t>
      </w:r>
      <w:r>
        <w:t xml:space="preserve">records a stage — preview unlock or full purchase — with the credits paid,</w:t>
      </w:r>
      <w:r>
        <w:t xml:space="preserve"> </w:t>
      </w:r>
      <w:r>
        <w:t xml:space="preserve">the platform fee and the writer’s payout, and a full purchase links to the preview that</w:t>
      </w:r>
      <w:r>
        <w:t xml:space="preserve"> </w:t>
      </w:r>
      <w:r>
        <w:t xml:space="preserve">preceded it. Each stage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amounts are always positive and their direction</w:t>
      </w:r>
      <w:r>
        <w:t xml:space="preserve"> </w:t>
      </w:r>
      <w:r>
        <w:t xml:space="preserve">comes from the type, enforced by a constraint. The diagram shows that no balance is</w:t>
      </w:r>
      <w:r>
        <w:t xml:space="preserve"> </w:t>
      </w:r>
      <w:r>
        <w:t xml:space="preserve">stored without its explanation: the magazine’s credit balance and the writer’s earnings</w:t>
      </w:r>
      <w:r>
        <w:t xml:space="preserve"> </w:t>
      </w:r>
      <w:r>
        <w:t xml:space="preserve">are caches of the transaction rows, which is exactly what the ledger invariants check</w:t>
      </w:r>
      <w:r>
        <w:t xml:space="preserve"> </w:t>
      </w:r>
      <w:r>
        <w:t xml:space="preserve">(NFR-19).</w:t>
      </w:r>
    </w:p>
    <w:p>
      <w:pPr>
        <w:pStyle w:val="BodyText"/>
      </w:pPr>
      <w:r>
        <w:rPr>
          <w:b/>
          <w:bCs/>
        </w:rPr>
        <w:t xml:space="preserve">Sequence diagram —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09" w:name="fig:seq-purchase"/>
    <w:p>
      <w:pPr>
        <w:pStyle w:val="CaptionedFigure"/>
      </w:pPr>
      <w:r>
        <w:drawing>
          <wp:inline>
            <wp:extent cx="5334000" cy="8528664"/>
            <wp:effectExtent b="0" l="0" r="0" t="0"/>
            <wp:docPr descr="Figure 5.3– Sequence diagram: preview, purchase and publication" title="" id="307" name="Picture"/>
            <a:graphic>
              <a:graphicData uri="http://schemas.openxmlformats.org/drawingml/2006/picture">
                <pic:pic>
                  <pic:nvPicPr>
                    <pic:cNvPr descr="../diagrams/fig-6-3-sequence-two-stage-purchase/fig-6-3-sequence-two-stage-purchase.png" id="308" name="Picture"/>
                    <pic:cNvPicPr>
                      <a:picLocks noChangeArrowheads="1" noChangeAspect="1"/>
                    </pic:cNvPicPr>
                  </pic:nvPicPr>
                  <pic:blipFill>
                    <a:blip r:embed="rId306"/>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09"/>
    <w:p>
      <w:pPr>
        <w:pStyle w:val="BodyText"/>
      </w:pPr>
      <w:r>
        <w:t xml:space="preserve">Each purchase stage opens one database transaction: it locks the article row and reads</w:t>
      </w:r>
      <w:r>
        <w:t xml:space="preserve"> </w:t>
      </w:r>
      <w:r>
        <w:t xml:space="preserve">its owner, refusing with 409 if another magazine already owns it, then locks the</w:t>
      </w:r>
      <w:r>
        <w:t xml:space="preserve"> </w:t>
      </w:r>
      <w:r>
        <w:t xml:space="preserve">magazine’s credit balance, refuses with 402 when it is insufficient, debits the</w:t>
      </w:r>
      <w:r>
        <w:t xml:space="preserve"> </w:t>
      </w:r>
      <w:r>
        <w:t xml:space="preserve">magazine, credits the writer, and writes the purchase and its three ledger rows. The</w:t>
      </w:r>
      <w:r>
        <w:t xml:space="preserve"> </w:t>
      </w:r>
      <w:r>
        <w:t xml:space="preserve">full purchase charges only what the preview has not already paid, and leaves the</w:t>
      </w:r>
      <w:r>
        <w:t xml:space="preserve"> </w:t>
      </w:r>
      <w:r>
        <w:t xml:space="preserve">article in the magazine’s library, owned and unpublished; publishing is a third call.</w:t>
      </w:r>
      <w:r>
        <w:t xml:space="preserve"> </w:t>
      </w:r>
      <w:r>
        <w:t xml:space="preserve">The diagram shows the two guarantees of the design: the row lock rules out two</w:t>
      </w:r>
      <w:r>
        <w:t xml:space="preserve"> </w:t>
      </w:r>
      <w:r>
        <w:t xml:space="preserve">magazines buying the same article or one magazine spending the same credits twice</w:t>
      </w:r>
      <w:r>
        <w:t xml:space="preserve"> </w:t>
      </w:r>
      <w:r>
        <w:t xml:space="preserve">(NFR-20), and the idempotency key on every request rules out a retried request</w:t>
      </w:r>
      <w:r>
        <w:t xml:space="preserve"> </w:t>
      </w:r>
      <w:r>
        <w:t xml:space="preserve">charging twice (NFR-06).</w:t>
      </w:r>
    </w:p>
    <w:p>
      <w:pPr>
        <w:pStyle w:val="BodyText"/>
      </w:pPr>
      <w:r>
        <w:rPr>
          <w:b/>
          <w:bCs/>
        </w:rPr>
        <w:t xml:space="preserve">Activity diagram —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13" w:name="fig:act-eligibility"/>
    <w:p>
      <w:pPr>
        <w:pStyle w:val="CaptionedFigure"/>
      </w:pPr>
      <w:r>
        <w:drawing>
          <wp:inline>
            <wp:extent cx="5334000" cy="6402079"/>
            <wp:effectExtent b="0" l="0" r="0" t="0"/>
            <wp:docPr descr="Figure 5.4– Activity diagram: the marketplace eligibility gate" title="" id="311" name="Picture"/>
            <a:graphic>
              <a:graphicData uri="http://schemas.openxmlformats.org/drawingml/2006/picture">
                <pic:pic>
                  <pic:nvPicPr>
                    <pic:cNvPr descr="../diagrams/fig-6-4-activity-eligibility-gate/fig-6-4-activity-eligibility-gate.png" id="312" name="Picture"/>
                    <pic:cNvPicPr>
                      <a:picLocks noChangeArrowheads="1" noChangeAspect="1"/>
                    </pic:cNvPicPr>
                  </pic:nvPicPr>
                  <pic:blipFill>
                    <a:blip r:embed="rId310"/>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13"/>
    <w:p>
      <w:pPr>
        <w:pStyle w:val="BodyText"/>
      </w:pPr>
      <w:r>
        <w:t xml:space="preserve">After each aggregation the worker checks the writers above both thresholds who are not</w:t>
      </w:r>
      <w:r>
        <w:t xml:space="preserve"> </w:t>
      </w:r>
      <w:r>
        <w:t xml:space="preserve">yet eligible, marks them eligible and writes an audit-log entry with the metric</w:t>
      </w:r>
      <w:r>
        <w:t xml:space="preserve"> </w:t>
      </w:r>
      <w:r>
        <w:t xml:space="preserve">snapshot; an administrator can grant eligibility directly, with the same audit trail.</w:t>
      </w:r>
      <w:r>
        <w:t xml:space="preserve"> </w:t>
      </w:r>
      <w:r>
        <w:t xml:space="preserve">Comment likes and reposts are deliberately not counted as reactions, so that other</w:t>
      </w:r>
      <w:r>
        <w:t xml:space="preserve"> </w:t>
      </w:r>
      <w:r>
        <w:t xml:space="preserve">people’s activity cannot move a writer’s threshold. The diagram shows that both paths</w:t>
      </w:r>
      <w:r>
        <w:t xml:space="preserve"> </w:t>
      </w:r>
      <w:r>
        <w:t xml:space="preserve">end in the same audit entry, so every eligible writer can be traced to the numbers or</w:t>
      </w:r>
      <w:r>
        <w:t xml:space="preserve"> </w:t>
      </w:r>
      <w:r>
        <w:t xml:space="preserve">the person that made them eligible.</w:t>
      </w:r>
    </w:p>
    <w:p>
      <w:pPr>
        <w:pStyle w:val="BodyText"/>
      </w:pPr>
      <w:r>
        <w:rPr>
          <w:b/>
          <w:bCs/>
        </w:rPr>
        <w:t xml:space="preserve">Sequence diagram —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17" w:name="fig:seq-moderation"/>
    <w:p>
      <w:pPr>
        <w:pStyle w:val="CaptionedFigure"/>
      </w:pPr>
      <w:r>
        <w:drawing>
          <wp:inline>
            <wp:extent cx="5334000" cy="6177576"/>
            <wp:effectExtent b="0" l="0" r="0" t="0"/>
            <wp:docPr descr="Figure 5.5– Sequence diagram: reporting and moderation" title="" id="315" name="Picture"/>
            <a:graphic>
              <a:graphicData uri="http://schemas.openxmlformats.org/drawingml/2006/picture">
                <pic:pic>
                  <pic:nvPicPr>
                    <pic:cNvPr descr="../diagrams/fig-6-5-sequence-moderation/fig-6-5-sequence-moderation.png" id="316" name="Picture"/>
                    <pic:cNvPicPr>
                      <a:picLocks noChangeArrowheads="1" noChangeAspect="1"/>
                    </pic:cNvPicPr>
                  </pic:nvPicPr>
                  <pic:blipFill>
                    <a:blip r:embed="rId314"/>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17"/>
    <w:p>
      <w:pPr>
        <w:pStyle w:val="BodyText"/>
      </w:pPr>
      <w:r>
        <w:t xml:space="preserve">After publication a classifier model reviews the article; a flag files a pending report</w:t>
      </w:r>
      <w:r>
        <w:t xml:space="preserve"> </w:t>
      </w:r>
      <w:r>
        <w:t xml:space="preserve">with no reporter but never blocks publication. Readers report articles, users or</w:t>
      </w:r>
      <w:r>
        <w:t xml:space="preserve"> </w:t>
      </w:r>
      <w:r>
        <w:t xml:space="preserve">comments. The administrator works the queue: dismiss the report, remove the article or</w:t>
      </w:r>
      <w:r>
        <w:t xml:space="preserve"> </w:t>
      </w:r>
      <w:r>
        <w:t xml:space="preserve">ban the author, a ban taking effect within fifteen minutes (NFR-09). The diagram shows</w:t>
      </w:r>
      <w:r>
        <w:t xml:space="preserve"> </w:t>
      </w:r>
      <w:r>
        <w:t xml:space="preserve">the policy behind the design: the classifier only</w:t>
      </w:r>
      <w:r>
        <w:t xml:space="preserve"> </w:t>
      </w:r>
      <w:r>
        <w:rPr>
          <w:i/>
          <w:iCs/>
        </w:rPr>
        <w:t xml:space="preserve">files</w:t>
      </w:r>
      <w:r>
        <w:t xml:space="preserve"> </w:t>
      </w:r>
      <w:r>
        <w:t xml:space="preserve">a report, because refusing</w:t>
      </w:r>
      <w:r>
        <w:t xml:space="preserve"> </w:t>
      </w:r>
      <w:r>
        <w:t xml:space="preserve">publication on a false positive would be worse than a human clearing it from the</w:t>
      </w:r>
      <w:r>
        <w:t xml:space="preserve"> </w:t>
      </w:r>
      <w:r>
        <w:t xml:space="preserve">queue. Its precision and recall are measured in</w:t>
      </w:r>
      <w:r>
        <w:t xml:space="preserve"> </w:t>
      </w:r>
      <w:hyperlink w:anchor="sec:eval-moderation">
        <w:r>
          <w:rPr>
            <w:rStyle w:val="Hyperlink"/>
          </w:rPr>
          <w:t xml:space="preserve">Section 7.4</w:t>
        </w:r>
      </w:hyperlink>
      <w:r>
        <w:t xml:space="preserve">.</w:t>
      </w:r>
    </w:p>
    <w:p>
      <w:pPr>
        <w:pStyle w:val="BodyText"/>
      </w:pPr>
      <w:r>
        <w:rPr>
          <w:b/>
          <w:bCs/>
        </w:rPr>
        <w:t xml:space="preserve">Activity diagram —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21" w:name="fig:act-access"/>
    <w:p>
      <w:pPr>
        <w:pStyle w:val="CaptionedFigure"/>
      </w:pPr>
      <w:r>
        <w:drawing>
          <wp:inline>
            <wp:extent cx="5334000" cy="2662435"/>
            <wp:effectExtent b="0" l="0" r="0" t="0"/>
            <wp:docPr descr="Figure 5.6– Activity diagram: the article access decision" title="" id="319" name="Picture"/>
            <a:graphic>
              <a:graphicData uri="http://schemas.openxmlformats.org/drawingml/2006/picture">
                <pic:pic>
                  <pic:nvPicPr>
                    <pic:cNvPr descr="../diagrams/fig-6-6-activity-article-access/fig-6-6-activity-article-access.png" id="320" name="Picture"/>
                    <pic:cNvPicPr>
                      <a:picLocks noChangeArrowheads="1" noChangeAspect="1"/>
                    </pic:cNvPicPr>
                  </pic:nvPicPr>
                  <pic:blipFill>
                    <a:blip r:embed="rId318"/>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21"/>
    <w:p>
      <w:pPr>
        <w:pStyle w:val="BodyText"/>
      </w:pPr>
      <w:r>
        <w:t xml:space="preserve">The author and administrators always read. A marketplace article is visible only to a</w:t>
      </w:r>
      <w:r>
        <w:t xml:space="preserve"> </w:t>
      </w:r>
      <w:r>
        <w:t xml:space="preserve">magazine with an active subscription, and its body only once that magazine has</w:t>
      </w:r>
      <w:r>
        <w:t xml:space="preserve"> </w:t>
      </w:r>
      <w:r>
        <w:t xml:space="preserve">previewed or bought it — otherwise it receives the title, excerpt and price with the</w:t>
      </w:r>
      <w:r>
        <w:t xml:space="preserve"> </w:t>
      </w:r>
      <w:r>
        <w:t xml:space="preserve">content set to</w:t>
      </w:r>
      <w:r>
        <w:t xml:space="preserve"> </w:t>
      </w:r>
      <w:r>
        <w:rPr>
          <w:rStyle w:val="VerbatimChar"/>
        </w:rPr>
        <w:t xml:space="preserve">null</w:t>
      </w:r>
      <w:r>
        <w:t xml:space="preserve">. A premium public article requires the premium plan or a</w:t>
      </w:r>
      <w:r>
        <w:t xml:space="preserve"> </w:t>
      </w:r>
      <w:r>
        <w:t xml:space="preserve">subscribed magazine. A free public article is readable by everyone. The diagram is the</w:t>
      </w:r>
      <w:r>
        <w:t xml:space="preserve"> </w:t>
      </w:r>
      <w:r>
        <w:t xml:space="preserve">rule of FR-56 and NFR-04: the browser is told the verdict and never computes it, so a</w:t>
      </w:r>
      <w:r>
        <w:t xml:space="preserve"> </w:t>
      </w:r>
      <w:r>
        <w:t xml:space="preserve">modified client cannot read what it has not paid for.</w:t>
      </w:r>
    </w:p>
    <w:p>
      <w:pPr>
        <w:pStyle w:val="BodyText"/>
      </w:pPr>
      <w:r>
        <w:rPr>
          <w:b/>
          <w:bCs/>
        </w:rPr>
        <w:t xml:space="preserve">State diagram —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25" w:name="fig:state-article"/>
    <w:p>
      <w:pPr>
        <w:pStyle w:val="CaptionedFigure"/>
      </w:pPr>
      <w:r>
        <w:drawing>
          <wp:inline>
            <wp:extent cx="5334000" cy="2595636"/>
            <wp:effectExtent b="0" l="0" r="0" t="0"/>
            <wp:docPr descr="Figure 5.7– State diagram: the article lifecycle" title="" id="323" name="Picture"/>
            <a:graphic>
              <a:graphicData uri="http://schemas.openxmlformats.org/drawingml/2006/picture">
                <pic:pic>
                  <pic:nvPicPr>
                    <pic:cNvPr descr="../diagrams/fig-6-8-state-article-lifecycle/fig-6-8-state-article-lifecycle.png" id="324" name="Picture"/>
                    <pic:cNvPicPr>
                      <a:picLocks noChangeArrowheads="1" noChangeAspect="1"/>
                    </pic:cNvPicPr>
                  </pic:nvPicPr>
                  <pic:blipFill>
                    <a:blip r:embed="rId322"/>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25"/>
    <w:p>
      <w:pPr>
        <w:pStyle w:val="BodyText"/>
      </w:pPr>
      <w:r>
        <w:t xml:space="preserve">A draft is published as free, premium or listed on the marketplace. A listed article</w:t>
      </w:r>
      <w:r>
        <w:t xml:space="preserve"> </w:t>
      </w:r>
      <w:r>
        <w:t xml:space="preserve">can be withdrawn to public — never the reverse, because an article the public has read</w:t>
      </w:r>
      <w:r>
        <w:t xml:space="preserve"> </w:t>
      </w:r>
      <w:r>
        <w:t xml:space="preserve">has no exclusivity left to sell — or deleted, as long as no magazine owns it. Its first</w:t>
      </w:r>
      <w:r>
        <w:t xml:space="preserve"> </w:t>
      </w:r>
      <w:r>
        <w:t xml:space="preserve">full purchase makes it</w:t>
      </w:r>
      <w:r>
        <w:t xml:space="preserve"> </w:t>
      </w:r>
      <w:r>
        <w:rPr>
          <w:i/>
          <w:iCs/>
        </w:rPr>
        <w:t xml:space="preserve">owned</w:t>
      </w:r>
      <w:r>
        <w:t xml:space="preserve">, after which the writer can neither withdraw nor delete</w:t>
      </w:r>
      <w:r>
        <w:t xml:space="preserve"> </w:t>
      </w:r>
      <w:r>
        <w:t xml:space="preserve">it; the magazine’s publication makes it</w:t>
      </w:r>
      <w:r>
        <w:t xml:space="preserve"> </w:t>
      </w:r>
      <w:r>
        <w:rPr>
          <w:i/>
          <w:iCs/>
        </w:rPr>
        <w:t xml:space="preserve">published by a magazine</w:t>
      </w:r>
      <w:r>
        <w:t xml:space="preserve">, public and free. The</w:t>
      </w:r>
      <w:r>
        <w:t xml:space="preserve"> </w:t>
      </w:r>
      <w:r>
        <w:t xml:space="preserve">diagram shows that every transition that could destroy what a magazine paid for is</w:t>
      </w:r>
      <w:r>
        <w:t xml:space="preserve"> </w:t>
      </w:r>
      <w:r>
        <w:t xml:space="preserve">absent, which is what makes the exclusivity of</w:t>
      </w:r>
      <w:r>
        <w:t xml:space="preserve"> </w:t>
      </w:r>
      <w:hyperlink w:anchor="tbl:rules">
        <w:r>
          <w:rPr>
            <w:rStyle w:val="Hyperlink"/>
          </w:rPr>
          <w:t xml:space="preserve">Table 5.2</w:t>
        </w:r>
      </w:hyperlink>
      <w:r>
        <w:t xml:space="preserve"> </w:t>
      </w:r>
      <w:r>
        <w:t xml:space="preserve">enforceable.</w:t>
      </w:r>
    </w:p>
    <w:bookmarkEnd w:id="326"/>
    <w:bookmarkStart w:id="387"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30" w:name="fig:paywall"/>
    <w:p>
      <w:pPr>
        <w:pStyle w:val="CaptionedFigure"/>
      </w:pPr>
      <w:r>
        <w:drawing>
          <wp:inline>
            <wp:extent cx="4267200" cy="2667000"/>
            <wp:effectExtent b="0" l="0" r="0" t="0"/>
            <wp:docPr descr="Figure 5.8– A premium article behind the paywall" title="" id="328" name="Picture"/>
            <a:graphic>
              <a:graphicData uri="http://schemas.openxmlformats.org/drawingml/2006/picture">
                <pic:pic>
                  <pic:nvPicPr>
                    <pic:cNvPr descr="../figures/screens/guest-06-article-premium-paywall.png" id="329" name="Picture"/>
                    <pic:cNvPicPr>
                      <a:picLocks noChangeArrowheads="1" noChangeAspect="1"/>
                    </pic:cNvPicPr>
                  </pic:nvPicPr>
                  <pic:blipFill>
                    <a:blip r:embed="rId3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30"/>
    <w:p>
      <w:pPr>
        <w:pStyle w:val="BodyText"/>
      </w:pPr>
      <w:r>
        <w:t xml:space="preserve">The visitor reads the title, the author and the opening of the article; the rest of the</w:t>
      </w:r>
      <w:r>
        <w:t xml:space="preserve"> </w:t>
      </w:r>
      <w:r>
        <w:t xml:space="preserve">body is withheld by the access decision of</w:t>
      </w:r>
      <w:r>
        <w:t xml:space="preserve"> </w:t>
      </w:r>
      <w:hyperlink w:anchor="fig:act-access">
        <w:r>
          <w:rPr>
            <w:rStyle w:val="Hyperlink"/>
          </w:rPr>
          <w:t xml:space="preserve">Figure 5.6</w:t>
        </w:r>
      </w:hyperlink>
      <w:r>
        <w:t xml:space="preserve">, and only a premium reader</w:t>
      </w:r>
      <w:r>
        <w:t xml:space="preserve"> </w:t>
      </w:r>
      <w:r>
        <w:t xml:space="preserve">or a subscribed magazine receives it (FR-03, FR-16). What the screen does not show is as important as</w:t>
      </w:r>
      <w:r>
        <w:t xml:space="preserve"> </w:t>
      </w:r>
      <w:r>
        <w:t xml:space="preserve">what it shows: the body never reaches the browser, so it cannot be revealed by</w:t>
      </w:r>
      <w:r>
        <w:t xml:space="preserve"> </w:t>
      </w:r>
      <w:r>
        <w:t xml:space="preserve">inspecting the page.</w:t>
      </w:r>
    </w:p>
    <w:p>
      <w:pPr>
        <w:pStyle w:val="BodyText"/>
      </w:pPr>
      <w:hyperlink w:anchor="fig:plans">
        <w:r>
          <w:rPr>
            <w:rStyle w:val="Hyperlink"/>
          </w:rPr>
          <w:t xml:space="preserve">Figure 5.9</w:t>
        </w:r>
      </w:hyperlink>
      <w:r>
        <w:t xml:space="preserve"> </w:t>
      </w:r>
      <w:r>
        <w:t xml:space="preserve">shows the plans offered to a reader.</w:t>
      </w:r>
    </w:p>
    <w:bookmarkStart w:id="334" w:name="fig:plans"/>
    <w:p>
      <w:pPr>
        <w:pStyle w:val="CaptionedFigure"/>
      </w:pPr>
      <w:r>
        <w:drawing>
          <wp:inline>
            <wp:extent cx="4267200" cy="2667000"/>
            <wp:effectExtent b="0" l="0" r="0" t="0"/>
            <wp:docPr descr="Figure 5.9– The plans: free and premium" title="" id="332" name="Picture"/>
            <a:graphic>
              <a:graphicData uri="http://schemas.openxmlformats.org/drawingml/2006/picture">
                <pic:pic>
                  <pic:nvPicPr>
                    <pic:cNvPr descr="../figures/screens/reader-03-subscription-plans.png" id="333" name="Picture"/>
                    <pic:cNvPicPr>
                      <a:picLocks noChangeArrowheads="1" noChangeAspect="1"/>
                    </pic:cNvPicPr>
                  </pic:nvPicPr>
                  <pic:blipFill>
                    <a:blip r:embed="rId3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34"/>
    <w:p>
      <w:pPr>
        <w:pStyle w:val="BodyText"/>
      </w:pPr>
      <w:r>
        <w:t xml:space="preserve">The comparison states the difference between the plans — premium articles and the AI</w:t>
      </w:r>
      <w:r>
        <w:t xml:space="preserve"> </w:t>
      </w:r>
      <w:r>
        <w:t xml:space="preserve">assistant with 20,000 tokens a day —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38" w:name="fig:subscription"/>
    <w:p>
      <w:pPr>
        <w:pStyle w:val="CaptionedFigure"/>
      </w:pPr>
      <w:r>
        <w:drawing>
          <wp:inline>
            <wp:extent cx="4267200" cy="2667000"/>
            <wp:effectExtent b="0" l="0" r="0" t="0"/>
            <wp:docPr descr="Figure 5.10– A magazine’s subscription and credits" title="" id="336" name="Picture"/>
            <a:graphic>
              <a:graphicData uri="http://schemas.openxmlformats.org/drawingml/2006/picture">
                <pic:pic>
                  <pic:nvPicPr>
                    <pic:cNvPr descr="../figures/screens/magazine-06-subscription-credits.png" id="337" name="Picture"/>
                    <pic:cNvPicPr>
                      <a:picLocks noChangeArrowheads="1" noChangeAspect="1"/>
                    </pic:cNvPicPr>
                  </pic:nvPicPr>
                  <pic:blipFill>
                    <a:blip r:embed="rId3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38"/>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42" w:name="fig:marketplace"/>
    <w:p>
      <w:pPr>
        <w:pStyle w:val="CaptionedFigure"/>
      </w:pPr>
      <w:r>
        <w:drawing>
          <wp:inline>
            <wp:extent cx="4267200" cy="2667000"/>
            <wp:effectExtent b="0" l="0" r="0" t="0"/>
            <wp:docPr descr="Figure 5.11– The marketplace, with preview and purchase prices" title="" id="340" name="Picture"/>
            <a:graphic>
              <a:graphicData uri="http://schemas.openxmlformats.org/drawingml/2006/picture">
                <pic:pic>
                  <pic:nvPicPr>
                    <pic:cNvPr descr="../figures/screens/magazine-01-marketplace.png" id="341" name="Picture"/>
                    <pic:cNvPicPr>
                      <a:picLocks noChangeArrowheads="1" noChangeAspect="1"/>
                    </pic:cNvPicPr>
                  </pic:nvPicPr>
                  <pic:blipFill>
                    <a:blip r:embed="rId3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42"/>
    <w:bookmarkStart w:id="346" w:name="fig:listing"/>
    <w:p>
      <w:pPr>
        <w:pStyle w:val="CaptionedFigure"/>
      </w:pPr>
      <w:r>
        <w:drawing>
          <wp:inline>
            <wp:extent cx="4267200" cy="2667000"/>
            <wp:effectExtent b="0" l="0" r="0" t="0"/>
            <wp:docPr descr="Figure 5.12– A listing before preview" title="" id="344" name="Picture"/>
            <a:graphic>
              <a:graphicData uri="http://schemas.openxmlformats.org/drawingml/2006/picture">
                <pic:pic>
                  <pic:nvPicPr>
                    <pic:cNvPr descr="../figures/screens/magazine-02-listing-detail.png" id="345" name="Picture"/>
                    <pic:cNvPicPr>
                      <a:picLocks noChangeArrowheads="1" noChangeAspect="1"/>
                    </pic:cNvPicPr>
                  </pic:nvPicPr>
                  <pic:blipFill>
                    <a:blip r:embed="rId3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46"/>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 14 credits for an article at 140 —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50" w:name="fig:preview-confirm"/>
    <w:p>
      <w:pPr>
        <w:pStyle w:val="CaptionedFigure"/>
      </w:pPr>
      <w:r>
        <w:drawing>
          <wp:inline>
            <wp:extent cx="4267200" cy="2667000"/>
            <wp:effectExtent b="0" l="0" r="0" t="0"/>
            <wp:docPr descr="Figure 5.13– Confirming a preview unlock: price and balance after" title="" id="348" name="Picture"/>
            <a:graphic>
              <a:graphicData uri="http://schemas.openxmlformats.org/drawingml/2006/picture">
                <pic:pic>
                  <pic:nvPicPr>
                    <pic:cNvPr descr="../figures/screens/magazine-03-purchase-confirm.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50"/>
    <w:p>
      <w:pPr>
        <w:pStyle w:val="BodyText"/>
      </w:pPr>
      <w:r>
        <w:t xml:space="preserve">Before any credit moves, the dialog states what is bought, what is paid now and the</w:t>
      </w:r>
      <w:r>
        <w:t xml:space="preserve"> </w:t>
      </w:r>
      <w:r>
        <w:t xml:space="preserve">balance after — 238 → 224 —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54" w:name="fig:library"/>
    <w:p>
      <w:pPr>
        <w:pStyle w:val="CaptionedFigure"/>
      </w:pPr>
      <w:r>
        <w:drawing>
          <wp:inline>
            <wp:extent cx="4267200" cy="2667000"/>
            <wp:effectExtent b="0" l="0" r="0" t="0"/>
            <wp:docPr descr="Figure 5.14– The magazine’s library: unpublished and published" title="" id="352" name="Picture"/>
            <a:graphic>
              <a:graphicData uri="http://schemas.openxmlformats.org/drawingml/2006/picture">
                <pic:pic>
                  <pic:nvPicPr>
                    <pic:cNvPr descr="../figures/screens/magazine-04-library.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54"/>
    <w:bookmarkStart w:id="358" w:name="fig:publish-library"/>
    <w:p>
      <w:pPr>
        <w:pStyle w:val="CaptionedFigure"/>
      </w:pPr>
      <w:r>
        <w:drawing>
          <wp:inline>
            <wp:extent cx="4267200" cy="2667000"/>
            <wp:effectExtent b="0" l="0" r="0" t="0"/>
            <wp:docPr descr="Figure 5.15– Publishing a purchased article under the magazine’s masthead" title="" id="356" name="Picture"/>
            <a:graphic>
              <a:graphicData uri="http://schemas.openxmlformats.org/drawingml/2006/picture">
                <pic:pic>
                  <pic:nvPicPr>
                    <pic:cNvPr descr="../figures/screens/magazine-09-publish-from-library.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58"/>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62" w:name="fig:licensed"/>
    <w:p>
      <w:pPr>
        <w:pStyle w:val="CaptionedFigure"/>
      </w:pPr>
      <w:r>
        <w:drawing>
          <wp:inline>
            <wp:extent cx="4267200" cy="2667000"/>
            <wp:effectExtent b="0" l="0" r="0" t="0"/>
            <wp:docPr descr="Figure 5.16– A licensed article naming both the writer and the magazine" title="" id="360" name="Picture"/>
            <a:graphic>
              <a:graphicData uri="http://schemas.openxmlformats.org/drawingml/2006/picture">
                <pic:pic>
                  <pic:nvPicPr>
                    <pic:cNvPr descr="../figures/screens/guest-10-licensed-articl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62"/>
    <w:bookmarkStart w:id="366" w:name="fig:magazine-profile"/>
    <w:p>
      <w:pPr>
        <w:pStyle w:val="CaptionedFigure"/>
      </w:pPr>
      <w:r>
        <w:drawing>
          <wp:inline>
            <wp:extent cx="4267200" cy="2667000"/>
            <wp:effectExtent b="0" l="0" r="0" t="0"/>
            <wp:docPr descr="Figure 5.17– A magazine’s public profile and its published articles" title="" id="364" name="Picture"/>
            <a:graphic>
              <a:graphicData uri="http://schemas.openxmlformats.org/drawingml/2006/picture">
                <pic:pic>
                  <pic:nvPicPr>
                    <pic:cNvPr descr="../figures/screens/guest-08-magazine-profile.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66"/>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70" w:name="fig:earnings"/>
    <w:p>
      <w:pPr>
        <w:pStyle w:val="CaptionedFigure"/>
      </w:pPr>
      <w:r>
        <w:drawing>
          <wp:inline>
            <wp:extent cx="4267200" cy="2667000"/>
            <wp:effectExtent b="0" l="0" r="0" t="0"/>
            <wp:docPr descr="Figure 5.18– A writer’s earnings, itemised by preview and purchase" title="" id="368" name="Picture"/>
            <a:graphic>
              <a:graphicData uri="http://schemas.openxmlformats.org/drawingml/2006/picture">
                <pic:pic>
                  <pic:nvPicPr>
                    <pic:cNvPr descr="../figures/screens/writer-09-earnings.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70"/>
    <w:bookmarkStart w:id="374" w:name="fig:sold-article"/>
    <w:p>
      <w:pPr>
        <w:pStyle w:val="CaptionedFigure"/>
      </w:pPr>
      <w:r>
        <w:drawing>
          <wp:inline>
            <wp:extent cx="4267200" cy="2667000"/>
            <wp:effectExtent b="0" l="0" r="0" t="0"/>
            <wp:docPr descr="Figure 5.19– A sold article, as its author sees it" title="" id="372" name="Picture"/>
            <a:graphic>
              <a:graphicData uri="http://schemas.openxmlformats.org/drawingml/2006/picture">
                <pic:pic>
                  <pic:nvPicPr>
                    <pic:cNvPr descr="../figures/screens/writer-11-sold-article.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74"/>
    <w:p>
      <w:pPr>
        <w:pStyle w:val="BodyText"/>
      </w:pPr>
      <w:r>
        <w:t xml:space="preserve">Earnings are itemised by article and by stage, and each line of the payout history</w:t>
      </w:r>
      <w:r>
        <w:t xml:space="preserve"> </w:t>
      </w:r>
      <w:r>
        <w:t xml:space="preserve">shows what the magazine paid and the platform fee: for a purchase, 54 credits paid,</w:t>
      </w:r>
      <w:r>
        <w:t xml:space="preserve"> </w:t>
      </w:r>
      <w:r>
        <w:t xml:space="preserve">10 credits of fee — 20% rounded down — and 44 credits to the writer (FR-37). The</w:t>
      </w:r>
      <w:r>
        <w:t xml:space="preserve"> </w:t>
      </w:r>
      <w:r>
        <w:t xml:space="preserve">arithmetic of</w:t>
      </w:r>
      <w:r>
        <w:t xml:space="preserve"> </w:t>
      </w:r>
      <w:hyperlink w:anchor="tbl:rules">
        <w:r>
          <w:rPr>
            <w:rStyle w:val="Hyperlink"/>
          </w:rPr>
          <w:t xml:space="preserve">Table 5.2</w:t>
        </w:r>
      </w:hyperlink>
      <w:r>
        <w:t xml:space="preserve"> </w:t>
      </w:r>
      <w:r>
        <w:t xml:space="preserve">is therefore visible to the writer, line by line, which is the</w:t>
      </w:r>
      <w:r>
        <w:t xml:space="preserve"> </w:t>
      </w:r>
      <w:r>
        <w:t xml:space="preserve">trust US-42 asks for. A sold article tells its author who owns it, and can no longer be</w:t>
      </w:r>
      <w:r>
        <w:t xml:space="preserve"> </w:t>
      </w:r>
      <w:r>
        <w:t xml:space="preserve">withdrawn or deleted (FR-72), as the lifecycle of</w:t>
      </w:r>
      <w:r>
        <w:t xml:space="preserve"> </w:t>
      </w:r>
      <w:hyperlink w:anchor="fig:state-article">
        <w:r>
          <w:rPr>
            <w:rStyle w:val="Hyperlink"/>
          </w:rPr>
          <w:t xml:space="preserve">Figure 5.7</w:t>
        </w:r>
      </w:hyperlink>
      <w:r>
        <w:t xml:space="preserve"> </w:t>
      </w:r>
      <w:r>
        <w:t xml:space="preserve">requires.</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78" w:name="fig:admin-grant"/>
    <w:p>
      <w:pPr>
        <w:pStyle w:val="CaptionedFigure"/>
      </w:pPr>
      <w:r>
        <w:drawing>
          <wp:inline>
            <wp:extent cx="4267200" cy="2667000"/>
            <wp:effectExtent b="0" l="0" r="0" t="0"/>
            <wp:docPr descr="Figure 5.20– Administration: manual eligibility grant" title="" id="376" name="Picture"/>
            <a:graphic>
              <a:graphicData uri="http://schemas.openxmlformats.org/drawingml/2006/picture">
                <pic:pic>
                  <pic:nvPicPr>
                    <pic:cNvPr descr="../figures/screens/admin-01-eligibility-grant.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78"/>
    <w:bookmarkStart w:id="382" w:name="fig:admin-users"/>
    <w:p>
      <w:pPr>
        <w:pStyle w:val="CaptionedFigure"/>
      </w:pPr>
      <w:r>
        <w:drawing>
          <wp:inline>
            <wp:extent cx="4267200" cy="2667000"/>
            <wp:effectExtent b="0" l="0" r="0" t="0"/>
            <wp:docPr descr="Figure 5.21– Administration: user management" title="" id="380" name="Picture"/>
            <a:graphic>
              <a:graphicData uri="http://schemas.openxmlformats.org/drawingml/2006/picture">
                <pic:pic>
                  <pic:nvPicPr>
                    <pic:cNvPr descr="../figures/screens/admin-02-user-tabl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382"/>
    <w:bookmarkStart w:id="386" w:name="fig:admin-reports"/>
    <w:p>
      <w:pPr>
        <w:pStyle w:val="CaptionedFigure"/>
      </w:pPr>
      <w:r>
        <w:drawing>
          <wp:inline>
            <wp:extent cx="4267200" cy="2667000"/>
            <wp:effectExtent b="0" l="0" r="0" t="0"/>
            <wp:docPr descr="Figure 5.22– Administration: the report queue" title="" id="384" name="Picture"/>
            <a:graphic>
              <a:graphicData uri="http://schemas.openxmlformats.org/drawingml/2006/picture">
                <pic:pic>
                  <pic:nvPicPr>
                    <pic:cNvPr descr="../figures/screens/admin-03-report-queue.png" id="385" name="Picture"/>
                    <pic:cNvPicPr>
                      <a:picLocks noChangeArrowheads="1" noChangeAspect="1"/>
                    </pic:cNvPicPr>
                  </pic:nvPicPr>
                  <pic:blipFill>
                    <a:blip r:embed="rId3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386"/>
    <w:p>
      <w:pPr>
        <w:pStyle w:val="BodyText"/>
      </w:pPr>
      <w:r>
        <w:t xml:space="preserve">The grant records who made a writer eligible (FR-55); the user table searches and</w:t>
      </w:r>
      <w:r>
        <w:t xml:space="preserve"> </w:t>
      </w:r>
      <w:r>
        <w:t xml:space="preserve">filters accounts and edits a plan (FR-53, FR-54); the report queue lists reports by</w:t>
      </w:r>
      <w:r>
        <w:t xml:space="preserve"> </w:t>
      </w:r>
      <w:r>
        <w:t xml:space="preserve">status with the four actions of</w:t>
      </w:r>
      <w:r>
        <w:t xml:space="preserve"> </w:t>
      </w:r>
      <w:hyperlink w:anchor="fig:seq-moderation">
        <w:r>
          <w:rPr>
            <w:rStyle w:val="Hyperlink"/>
          </w:rPr>
          <w:t xml:space="preserve">Figure 5.5</w:t>
        </w:r>
      </w:hyperlink>
      <w:r>
        <w:t xml:space="preserve"> </w:t>
      </w:r>
      <w:r>
        <w:t xml:space="preserve">— dismiss, mark resolved, remove the</w:t>
      </w:r>
      <w:r>
        <w:t xml:space="preserve"> </w:t>
      </w:r>
      <w:r>
        <w:t xml:space="preserve">article, ban the author (FR-51, FR-52). The second report of</w:t>
      </w:r>
      <w:r>
        <w:t xml:space="preserve"> </w:t>
      </w:r>
      <w:hyperlink w:anchor="fig:admin-reports">
        <w:r>
          <w:rPr>
            <w:rStyle w:val="Hyperlink"/>
          </w:rPr>
          <w:t xml:space="preserve">Figure 5.22</w:t>
        </w:r>
      </w:hyperlink>
      <w:r>
        <w:t xml:space="preserve"> </w:t>
      </w:r>
      <w:r>
        <w:t xml:space="preserve">has no</w:t>
      </w:r>
      <w:r>
        <w:t xml:space="preserve"> </w:t>
      </w:r>
      <w:r>
        <w:t xml:space="preserve">reporter: it was filed by the classifier at publish time (FR-57), and the</w:t>
      </w:r>
      <w:r>
        <w:t xml:space="preserve"> </w:t>
      </w:r>
      <w:r>
        <w:t xml:space="preserve">administrator’s note records why the article stayed published — the human decision the</w:t>
      </w:r>
      <w:r>
        <w:t xml:space="preserve"> </w:t>
      </w:r>
      <w:r>
        <w:t xml:space="preserve">design reserves for a person.</w:t>
      </w:r>
    </w:p>
    <w:bookmarkEnd w:id="387"/>
    <w:bookmarkEnd w:id="388"/>
    <w:bookmarkStart w:id="399" w:name="sec:sprint6"/>
    <w:p>
      <w:pPr>
        <w:pStyle w:val="Heading2"/>
      </w:pPr>
      <w:r>
        <w:rPr>
          <w:rStyle w:val="SectionNumber"/>
        </w:rPr>
        <w:t xml:space="preserve">5.2</w:t>
      </w:r>
      <w:r>
        <w:tab/>
      </w:r>
      <w:r>
        <w:t xml:space="preserve">Sprint 6 — Tests, demonstration and deployment</w:t>
      </w:r>
    </w:p>
    <w:bookmarkStart w:id="390"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389"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389"/>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390"/>
    <w:bookmarkStart w:id="391"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391"/>
    <w:bookmarkStart w:id="396"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395" w:name="fig:test-strategy"/>
    <w:p>
      <w:pPr>
        <w:pStyle w:val="CaptionedFigure"/>
      </w:pPr>
      <w:r>
        <w:drawing>
          <wp:inline>
            <wp:extent cx="5334000" cy="2581469"/>
            <wp:effectExtent b="0" l="0" r="0" t="0"/>
            <wp:docPr descr="Figure 5.23– Test strategy" title="" id="393" name="Picture"/>
            <a:graphic>
              <a:graphicData uri="http://schemas.openxmlformats.org/drawingml/2006/picture">
                <pic:pic>
                  <pic:nvPicPr>
                    <pic:cNvPr descr="../diagrams/fig-6-7-test-strategy/fig-6-7-test-strategy.png" id="394" name="Picture"/>
                    <pic:cNvPicPr>
                      <a:picLocks noChangeArrowheads="1" noChangeAspect="1"/>
                    </pic:cNvPicPr>
                  </pic:nvPicPr>
                  <pic:blipFill>
                    <a:blip r:embed="rId392"/>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395"/>
    <w:p>
      <w:pPr>
        <w:pStyle w:val="BodyText"/>
      </w:pPr>
      <w:r>
        <w:t xml:space="preserve">The base is the</w:t>
      </w:r>
      <w:r>
        <w:t xml:space="preserve"> </w:t>
      </w:r>
      <w:r>
        <w:rPr>
          <w:b/>
          <w:bCs/>
        </w:rPr>
        <w:t xml:space="preserve">unit and service tests</w:t>
      </w:r>
      <w:r>
        <w:t xml:space="preserve"> </w:t>
      </w:r>
      <w:r>
        <w:t xml:space="preserve">of the backend, which run against a real</w:t>
      </w:r>
      <w:r>
        <w:t xml:space="preserve"> </w:t>
      </w:r>
      <w:r>
        <w:t xml:space="preserve">PostgreSQL database rather than mocks, so that constraints, transactions and row locks</w:t>
      </w:r>
      <w:r>
        <w:t xml:space="preserve"> </w:t>
      </w:r>
      <w:r>
        <w:t xml:space="preserve">are exercised for real; each test runs in a transaction that is rolled back. Above them,</w:t>
      </w:r>
      <w:r>
        <w:t xml:space="preserve"> </w:t>
      </w:r>
      <w:r>
        <w:rPr>
          <w:b/>
          <w:bCs/>
        </w:rPr>
        <w:t xml:space="preserve">integration tests</w:t>
      </w:r>
      <w:r>
        <w:t xml:space="preserve"> </w:t>
      </w:r>
      <w:r>
        <w:t xml:space="preserve">go through the API — authentication, publishing, purchasing — and</w:t>
      </w:r>
      <w:r>
        <w:t xml:space="preserve"> </w:t>
      </w:r>
      <w:r>
        <w:t xml:space="preserve">verify the ledger afterwards. At the top,</w:t>
      </w:r>
      <w:r>
        <w:t xml:space="preserve"> </w:t>
      </w:r>
      <w:r>
        <w:rPr>
          <w:b/>
          <w:bCs/>
        </w:rPr>
        <w:t xml:space="preserve">end-to-end tests</w:t>
      </w:r>
      <w:r>
        <w:t xml:space="preserve"> </w:t>
      </w:r>
      <w:r>
        <w:t xml:space="preserve">drive a real browser over</w:t>
      </w:r>
      <w:r>
        <w:t xml:space="preserve"> </w:t>
      </w:r>
      <w:r>
        <w:t xml:space="preserve">a seeded corpus. Two families protect the money: the</w:t>
      </w:r>
      <w:r>
        <w:t xml:space="preserve"> </w:t>
      </w:r>
      <w:r>
        <w:rPr>
          <w:b/>
          <w:bCs/>
        </w:rPr>
        <w:t xml:space="preserve">ledger invariant harness</w:t>
      </w:r>
      <w:r>
        <w:t xml:space="preserve">,</w:t>
      </w:r>
      <w:r>
        <w:t xml:space="preserve"> </w:t>
      </w:r>
      <w:r>
        <w:t xml:space="preserve">whose tests are mostly negative — a fixture builds a coherent purchase, corrupts one</w:t>
      </w:r>
      <w:r>
        <w:t xml:space="preserve"> </w:t>
      </w:r>
      <w:r>
        <w:t xml:space="preserve">column and checks that the right invariant fires — and a</w:t>
      </w:r>
      <w:r>
        <w:t xml:space="preserve"> </w:t>
      </w:r>
      <w:r>
        <w:rPr>
          <w:b/>
          <w:bCs/>
        </w:rPr>
        <w:t xml:space="preserve">price sweep</w:t>
      </w:r>
      <w:r>
        <w:t xml:space="preserve"> </w:t>
      </w:r>
      <w:r>
        <w:t xml:space="preserve">that checks</w:t>
      </w:r>
      <w:r>
        <w:t xml:space="preserve"> </w:t>
      </w:r>
      <w:r>
        <w:t xml:space="preserve">every price from 1 to 300 credits, both stages and both splits, reconciling exactly.</w:t>
      </w:r>
      <w:r>
        <w:t xml:space="preserve"> </w:t>
      </w:r>
      <w:r>
        <w:t xml:space="preserve">The figure shows the choice behind the strategy: the database is never mocked, because</w:t>
      </w:r>
      <w:r>
        <w:t xml:space="preserve"> </w:t>
      </w:r>
      <w:r>
        <w:t xml:space="preserve">the guarantees under test — a unique constraint, a row lock, a rollback — live in the</w:t>
      </w:r>
      <w:r>
        <w:t xml:space="preserve"> </w:t>
      </w:r>
      <w:r>
        <w:t xml:space="preserve">database.</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396"/>
    <w:bookmarkStart w:id="398"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397"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397"/>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 where the ledger checks live —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w:t>
      </w:r>
      <w:r>
        <w:t xml:space="preserve">— its</w:t>
      </w:r>
      <w:r>
        <w:t xml:space="preserve"> </w:t>
      </w:r>
      <w:r>
        <w:t xml:space="preserve">configuration, TLS setup and pipeline are done, its hosting is not —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398"/>
    <w:bookmarkEnd w:id="399"/>
    <w:bookmarkStart w:id="400" w:name="conclusion-4"/>
    <w:p>
      <w:pPr>
        <w:pStyle w:val="Heading2"/>
      </w:pPr>
      <w:r>
        <w:t xml:space="preserve">Conclusion</w:t>
      </w:r>
    </w:p>
    <w:p>
      <w:pPr>
        <w:pStyle w:val="FirstParagraph"/>
      </w:pPr>
      <w:r>
        <w:t xml:space="preserve">Release 3 delivered the marketplace end to end —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 together with moderation, a test suite of 796 backend tests concentrated on</w:t>
      </w:r>
      <w:r>
        <w:t xml:space="preserve"> </w:t>
      </w:r>
      <w:r>
        <w:t xml:space="preserve">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00"/>
    <w:bookmarkEnd w:id="401"/>
    <w:bookmarkStart w:id="502"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402"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02"/>
    <w:bookmarkStart w:id="432" w:name="sec:sprint7"/>
    <w:p>
      <w:pPr>
        <w:pStyle w:val="Heading2"/>
      </w:pPr>
      <w:r>
        <w:rPr>
          <w:rStyle w:val="SectionNumber"/>
        </w:rPr>
        <w:t xml:space="preserve">6.1</w:t>
      </w:r>
      <w:r>
        <w:tab/>
      </w:r>
      <w:r>
        <w:t xml:space="preserve">Sprint 7 — Comment likes, lists, block, save and share</w:t>
      </w:r>
    </w:p>
    <w:bookmarkStart w:id="404"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403"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03"/>
    <w:p>
      <w:pPr>
        <w:pStyle w:val="BodyText"/>
      </w:pPr>
      <w:r>
        <w:t xml:space="preserve">The sprint commits 18 points, a light load: its five stories reuse the</w:t>
      </w:r>
      <w:r>
        <w:t xml:space="preserve"> </w:t>
      </w:r>
      <w:r>
        <w:t xml:space="preserve">interaction model of Sprint 3 — each is a new many-to-many association with a</w:t>
      </w:r>
      <w:r>
        <w:t xml:space="preserve"> </w:t>
      </w:r>
      <w:r>
        <w:t xml:space="preserve">notification —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04"/>
    <w:bookmarkStart w:id="409"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08" w:name="fig:uc-s7"/>
    <w:p>
      <w:pPr>
        <w:pStyle w:val="CaptionedFigure"/>
      </w:pPr>
      <w:r>
        <w:drawing>
          <wp:inline>
            <wp:extent cx="5334000" cy="2183652"/>
            <wp:effectExtent b="0" l="0" r="0" t="0"/>
            <wp:docPr descr="Figure 6.1– Use case diagram, Sprint 7" title="" id="406" name="Picture"/>
            <a:graphic>
              <a:graphicData uri="http://schemas.openxmlformats.org/drawingml/2006/picture">
                <pic:pic>
                  <pic:nvPicPr>
                    <pic:cNvPr descr="../diagrams/fig-7-1-use-case-sprint-7/fig-7-1-use-case-sprint-7.png" id="407" name="Picture"/>
                    <pic:cNvPicPr>
                      <a:picLocks noChangeArrowheads="1" noChangeAspect="1"/>
                    </pic:cNvPicPr>
                  </pic:nvPicPr>
                  <pic:blipFill>
                    <a:blip r:embed="rId405"/>
                    <a:stretch>
                      <a:fillRect/>
                    </a:stretch>
                  </pic:blipFill>
                  <pic:spPr bwMode="auto">
                    <a:xfrm>
                      <a:off x="0" y="0"/>
                      <a:ext cx="5334000" cy="2183652"/>
                    </a:xfrm>
                    <a:prstGeom prst="rect">
                      <a:avLst/>
                    </a:prstGeom>
                    <a:noFill/>
                    <a:ln w="9525">
                      <a:noFill/>
                      <a:headEnd/>
                      <a:tailEnd/>
                    </a:ln>
                  </pic:spPr>
                </pic:pic>
              </a:graphicData>
            </a:graphic>
          </wp:inline>
        </w:drawing>
      </w:r>
    </w:p>
    <w:p>
      <w:pPr>
        <w:pStyle w:val="ImageCaption"/>
      </w:pPr>
      <w:r>
        <w:t xml:space="preserve">Figure 6.1– Use case diagram, Sprint 7</w:t>
      </w:r>
    </w:p>
    <w:bookmarkEnd w:id="408"/>
    <w:p>
      <w:pPr>
        <w:pStyle w:val="BodyText"/>
      </w:pPr>
      <w:r>
        <w:t xml:space="preserve">Sharing and the follower lists need no account; following from a list extends viewing</w:t>
      </w:r>
      <w:r>
        <w:t xml:space="preserve"> </w:t>
      </w:r>
      <w:r>
        <w:t xml:space="preserve">it. Liking a comment and saving an article include notifying the recipient. A block</w:t>
      </w:r>
      <w:r>
        <w:t xml:space="preserve"> </w:t>
      </w:r>
      <w:r>
        <w:t xml:space="preserve">hides the two accounts from each other — profiles, articles and comments — and the only</w:t>
      </w:r>
      <w:r>
        <w:t xml:space="preserve"> </w:t>
      </w:r>
      <w:r>
        <w:t xml:space="preserve">place to lift it is the blocker’s settings. Saves are private: the author is notified,</w:t>
      </w:r>
      <w:r>
        <w:t xml:space="preserve"> </w:t>
      </w:r>
      <w:r>
        <w:t xml:space="preserve">but nobody else can see what a reader keeps. The diagram shows the difference between</w:t>
      </w:r>
      <w:r>
        <w:t xml:space="preserve"> </w:t>
      </w:r>
      <w:r>
        <w:t xml:space="preserve">the two new kinds of relationship: liking, following and sharing are public signals,</w:t>
      </w:r>
      <w:r>
        <w:t xml:space="preserve"> </w:t>
      </w:r>
      <w:r>
        <w:t xml:space="preserve">while saving and blocking are private choices that only their author can see.</w:t>
      </w:r>
    </w:p>
    <w:bookmarkEnd w:id="409"/>
    <w:bookmarkStart w:id="414"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13" w:name="fig:classes-s7"/>
    <w:p>
      <w:pPr>
        <w:pStyle w:val="CaptionedFigure"/>
      </w:pPr>
      <w:r>
        <w:drawing>
          <wp:inline>
            <wp:extent cx="5334000" cy="2408694"/>
            <wp:effectExtent b="0" l="0" r="0" t="0"/>
            <wp:docPr descr="Figure 6.2– Class diagram, Sprint 7" title="" id="411" name="Picture"/>
            <a:graphic>
              <a:graphicData uri="http://schemas.openxmlformats.org/drawingml/2006/picture">
                <pic:pic>
                  <pic:nvPicPr>
                    <pic:cNvPr descr="../diagrams/fig-7-2-classes-sprint-7/fig-7-2-classes-sprint-7.png" id="412" name="Picture"/>
                    <pic:cNvPicPr>
                      <a:picLocks noChangeArrowheads="1" noChangeAspect="1"/>
                    </pic:cNvPicPr>
                  </pic:nvPicPr>
                  <pic:blipFill>
                    <a:blip r:embed="rId410"/>
                    <a:stretch>
                      <a:fillRect/>
                    </a:stretch>
                  </pic:blipFill>
                  <pic:spPr bwMode="auto">
                    <a:xfrm>
                      <a:off x="0" y="0"/>
                      <a:ext cx="5334000" cy="2408694"/>
                    </a:xfrm>
                    <a:prstGeom prst="rect">
                      <a:avLst/>
                    </a:prstGeom>
                    <a:noFill/>
                    <a:ln w="9525">
                      <a:noFill/>
                      <a:headEnd/>
                      <a:tailEnd/>
                    </a:ln>
                  </pic:spPr>
                </pic:pic>
              </a:graphicData>
            </a:graphic>
          </wp:inline>
        </w:drawing>
      </w:r>
    </w:p>
    <w:p>
      <w:pPr>
        <w:pStyle w:val="ImageCaption"/>
      </w:pPr>
      <w:r>
        <w:t xml:space="preserve">Figure 6.2– Class diagram, Sprint 7</w:t>
      </w:r>
    </w:p>
    <w:bookmarkEnd w:id="413"/>
    <w:p>
      <w:pPr>
        <w:pStyle w:val="BodyText"/>
      </w:pPr>
      <w:r>
        <w:t xml:space="preserve">Comment likes, blocks and saves are many-to-many associations, each stored as a join</w:t>
      </w:r>
      <w:r>
        <w:t xml:space="preserve"> </w:t>
      </w:r>
      <w:r>
        <w:t xml:space="preserve">table with a unique constraint on its pair, so a repeated request is a no-op, and a</w:t>
      </w:r>
      <w:r>
        <w:t xml:space="preserve"> </w:t>
      </w:r>
      <w:r>
        <w:t xml:space="preserve">notification is emitted only when a row was actually inserted; a check constraint</w:t>
      </w:r>
      <w:r>
        <w:t xml:space="preserve"> </w:t>
      </w:r>
      <w:r>
        <w:t xml:space="preserve">forbids blocking oneself. A block row is directional, but every read treats it both</w:t>
      </w:r>
      <w:r>
        <w:t xml:space="preserve"> </w:t>
      </w:r>
      <w:r>
        <w:t xml:space="preserve">ways. Comment likes are kept apart from article likes, so that by construction they can</w:t>
      </w:r>
      <w:r>
        <w:t xml:space="preserve"> </w:t>
      </w:r>
      <w:r>
        <w:t xml:space="preserve">never count towards a writer’s eligibility. The diagram shows that the sprint changed no</w:t>
      </w:r>
      <w:r>
        <w:t xml:space="preserve"> </w:t>
      </w:r>
      <w:r>
        <w:t xml:space="preserve">existing class: the social layer grew by association only, which is why it could be</w:t>
      </w:r>
      <w:r>
        <w:t xml:space="preserve"> </w:t>
      </w:r>
      <w:r>
        <w:t xml:space="preserve">added at the end without reopening the marketplace rules.</w:t>
      </w:r>
    </w:p>
    <w:bookmarkEnd w:id="414"/>
    <w:bookmarkStart w:id="431"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18" w:name="fig:saved"/>
    <w:p>
      <w:pPr>
        <w:pStyle w:val="CaptionedFigure"/>
      </w:pPr>
      <w:r>
        <w:drawing>
          <wp:inline>
            <wp:extent cx="4267200" cy="2667000"/>
            <wp:effectExtent b="0" l="0" r="0" t="0"/>
            <wp:docPr descr="Figure 6.3– The Saved shelf" title="" id="416" name="Picture"/>
            <a:graphic>
              <a:graphicData uri="http://schemas.openxmlformats.org/drawingml/2006/picture">
                <pic:pic>
                  <pic:nvPicPr>
                    <pic:cNvPr descr="../figures/screens/reader-05-saved.png" id="417" name="Picture"/>
                    <pic:cNvPicPr>
                      <a:picLocks noChangeArrowheads="1" noChangeAspect="1"/>
                    </pic:cNvPicPr>
                  </pic:nvPicPr>
                  <pic:blipFill>
                    <a:blip r:embed="rId41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18"/>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22" w:name="fig:blocked"/>
    <w:p>
      <w:pPr>
        <w:pStyle w:val="CaptionedFigure"/>
      </w:pPr>
      <w:r>
        <w:drawing>
          <wp:inline>
            <wp:extent cx="4267200" cy="2667000"/>
            <wp:effectExtent b="0" l="0" r="0" t="0"/>
            <wp:docPr descr="Figure 6.4– Blocked accounts, in settings" title="" id="420" name="Picture"/>
            <a:graphic>
              <a:graphicData uri="http://schemas.openxmlformats.org/drawingml/2006/picture">
                <pic:pic>
                  <pic:nvPicPr>
                    <pic:cNvPr descr="../figures/screens/reader-06-blocked-accounts.png" id="421" name="Picture"/>
                    <pic:cNvPicPr>
                      <a:picLocks noChangeArrowheads="1" noChangeAspect="1"/>
                    </pic:cNvPicPr>
                  </pic:nvPicPr>
                  <pic:blipFill>
                    <a:blip r:embed="rId41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22"/>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26" w:name="fig:following-feed"/>
    <w:p>
      <w:pPr>
        <w:pStyle w:val="CaptionedFigure"/>
      </w:pPr>
      <w:r>
        <w:drawing>
          <wp:inline>
            <wp:extent cx="4267200" cy="2667000"/>
            <wp:effectExtent b="0" l="0" r="0" t="0"/>
            <wp:docPr descr="Figure 6.5– The following feed" title="" id="424" name="Picture"/>
            <a:graphic>
              <a:graphicData uri="http://schemas.openxmlformats.org/drawingml/2006/picture">
                <pic:pic>
                  <pic:nvPicPr>
                    <pic:cNvPr descr="../figures/screens/reader-07-following-feed.png" id="425" name="Picture"/>
                    <pic:cNvPicPr>
                      <a:picLocks noChangeArrowheads="1" noChangeAspect="1"/>
                    </pic:cNvPicPr>
                  </pic:nvPicPr>
                  <pic:blipFill>
                    <a:blip r:embed="rId4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26"/>
    <w:bookmarkStart w:id="430" w:name="fig:followers-search"/>
    <w:p>
      <w:pPr>
        <w:pStyle w:val="CaptionedFigure"/>
      </w:pPr>
      <w:r>
        <w:drawing>
          <wp:inline>
            <wp:extent cx="4267200" cy="2667000"/>
            <wp:effectExtent b="0" l="0" r="0" t="0"/>
            <wp:docPr descr="Figure 6.6– A follower list, searched" title="" id="428" name="Picture"/>
            <a:graphic>
              <a:graphicData uri="http://schemas.openxmlformats.org/drawingml/2006/picture">
                <pic:pic>
                  <pic:nvPicPr>
                    <pic:cNvPr descr="../figures/screens/reader-08-followers-search.png" id="429" name="Picture"/>
                    <pic:cNvPicPr>
                      <a:picLocks noChangeArrowheads="1" noChangeAspect="1"/>
                    </pic:cNvPicPr>
                  </pic:nvPicPr>
                  <pic:blipFill>
                    <a:blip r:embed="rId4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30"/>
    <w:p>
      <w:pPr>
        <w:pStyle w:val="BodyText"/>
      </w:pPr>
      <w:r>
        <w:t xml:space="preserve">The following feed shows only the writers a reader follows, and the follower lists can</w:t>
      </w:r>
      <w:r>
        <w:t xml:space="preserve"> </w:t>
      </w:r>
      <w:r>
        <w:t xml:space="preserve">be browsed, searched and acted on — following back from the list itself (FR-61). Both</w:t>
      </w:r>
      <w:r>
        <w:t xml:space="preserve"> </w:t>
      </w:r>
      <w:r>
        <w:t xml:space="preserve">turn the follow relationship of Sprint 3 into a way to discover people through people.</w:t>
      </w:r>
    </w:p>
    <w:bookmarkEnd w:id="431"/>
    <w:bookmarkEnd w:id="432"/>
    <w:bookmarkStart w:id="470" w:name="sec:sprint8"/>
    <w:p>
      <w:pPr>
        <w:pStyle w:val="Heading2"/>
      </w:pPr>
      <w:r>
        <w:rPr>
          <w:rStyle w:val="SectionNumber"/>
        </w:rPr>
        <w:t xml:space="preserve">6.2</w:t>
      </w:r>
      <w:r>
        <w:tab/>
      </w:r>
      <w:r>
        <w:t xml:space="preserve">Sprint 8 — Live cards, the assistant that writes, and voice</w:t>
      </w:r>
    </w:p>
    <w:bookmarkStart w:id="434"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33"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33"/>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34"/>
    <w:bookmarkStart w:id="439"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38" w:name="fig:uc-s8"/>
    <w:p>
      <w:pPr>
        <w:pStyle w:val="CaptionedFigure"/>
      </w:pPr>
      <w:r>
        <w:drawing>
          <wp:inline>
            <wp:extent cx="5334000" cy="3824227"/>
            <wp:effectExtent b="0" l="0" r="0" t="0"/>
            <wp:docPr descr="Figure 6.7– Use case diagram, Sprint 8" title="" id="436" name="Picture"/>
            <a:graphic>
              <a:graphicData uri="http://schemas.openxmlformats.org/drawingml/2006/picture">
                <pic:pic>
                  <pic:nvPicPr>
                    <pic:cNvPr descr="../diagrams/fig-7-3-use-case-sprint-8/fig-7-3-use-case-sprint-8.png" id="437" name="Picture"/>
                    <pic:cNvPicPr>
                      <a:picLocks noChangeArrowheads="1" noChangeAspect="1"/>
                    </pic:cNvPicPr>
                  </pic:nvPicPr>
                  <pic:blipFill>
                    <a:blip r:embed="rId435"/>
                    <a:stretch>
                      <a:fillRect/>
                    </a:stretch>
                  </pic:blipFill>
                  <pic:spPr bwMode="auto">
                    <a:xfrm>
                      <a:off x="0" y="0"/>
                      <a:ext cx="5334000" cy="3824227"/>
                    </a:xfrm>
                    <a:prstGeom prst="rect">
                      <a:avLst/>
                    </a:prstGeom>
                    <a:noFill/>
                    <a:ln w="9525">
                      <a:noFill/>
                      <a:headEnd/>
                      <a:tailEnd/>
                    </a:ln>
                  </pic:spPr>
                </pic:pic>
              </a:graphicData>
            </a:graphic>
          </wp:inline>
        </w:drawing>
      </w:r>
    </w:p>
    <w:p>
      <w:pPr>
        <w:pStyle w:val="ImageCaption"/>
      </w:pPr>
      <w:r>
        <w:t xml:space="preserve">Figure 6.7– Use case diagram, Sprint 8</w:t>
      </w:r>
    </w:p>
    <w:bookmarkEnd w:id="438"/>
    <w:p>
      <w:pPr>
        <w:pStyle w:val="BodyText"/>
      </w:pPr>
      <w:r>
        <w:t xml:space="preserve">Briefing the assistant specialises into receiving an answer in the panel and having</w:t>
      </w:r>
      <w:r>
        <w:t xml:space="preserve"> </w:t>
      </w:r>
      <w:r>
        <w:t xml:space="preserve">text written into the document, and includes following the live pipeline steps and</w:t>
      </w:r>
      <w:r>
        <w:t xml:space="preserve"> </w:t>
      </w:r>
      <w:r>
        <w:t xml:space="preserve">consuming the allowance; keeping or discarding the written text includes the write.</w:t>
      </w:r>
      <w:r>
        <w:t xml:space="preserve"> </w:t>
      </w:r>
      <w:r>
        <w:t xml:space="preserve">Dictating extends the brief and is billed; hearing the reply extends the answer. The</w:t>
      </w:r>
      <w:r>
        <w:t xml:space="preserve"> </w:t>
      </w:r>
      <w:r>
        <w:t xml:space="preserve">choice between answering and writing is the assistant’s, made per message; it</w:t>
      </w:r>
      <w:r>
        <w:t xml:space="preserve"> </w:t>
      </w:r>
      <w:r>
        <w:t xml:space="preserve">supersedes the manual</w:t>
      </w:r>
      <w:r>
        <w:t xml:space="preserve"> </w:t>
      </w:r>
      <w:r>
        <w:t xml:space="preserve">“insert the answer into the document”</w:t>
      </w:r>
      <w:r>
        <w:t xml:space="preserve"> </w:t>
      </w:r>
      <w:r>
        <w:t xml:space="preserve">of Sprint 2 (FR-30,</w:t>
      </w:r>
      <w:r>
        <w:t xml:space="preserve"> </w:t>
      </w:r>
      <w:r>
        <w:t xml:space="preserve">superseded by FR-78). The diagram shows the change of role: in Sprint 2 the writer</w:t>
      </w:r>
      <w:r>
        <w:t xml:space="preserve"> </w:t>
      </w:r>
      <w:r>
        <w:t xml:space="preserve">copied text from a chat, in Sprint 8 the assistant writes where the writer works and</w:t>
      </w:r>
      <w:r>
        <w:t xml:space="preserve"> </w:t>
      </w:r>
      <w:r>
        <w:t xml:space="preserve">the writer keeps or discards it.</w:t>
      </w:r>
    </w:p>
    <w:bookmarkEnd w:id="439"/>
    <w:bookmarkStart w:id="452" w:name="design-7"/>
    <w:p>
      <w:pPr>
        <w:pStyle w:val="Heading3"/>
      </w:pPr>
      <w:r>
        <w:rPr>
          <w:rStyle w:val="SectionNumber"/>
        </w:rPr>
        <w:t xml:space="preserve">6.2.3</w:t>
      </w:r>
      <w:r>
        <w:tab/>
      </w:r>
      <w:r>
        <w:t xml:space="preserve">Design</w:t>
      </w:r>
    </w:p>
    <w:p>
      <w:pPr>
        <w:pStyle w:val="FirstParagraph"/>
      </w:pPr>
      <w:r>
        <w:rPr>
          <w:b/>
          <w:bCs/>
        </w:rPr>
        <w:t xml:space="preserve">Sequence diagram — one assistant turn.</w:t>
      </w:r>
      <w:r>
        <w:t xml:space="preserve"> </w:t>
      </w:r>
      <w:hyperlink w:anchor="fig:seq-turn">
        <w:r>
          <w:rPr>
            <w:rStyle w:val="Hyperlink"/>
          </w:rPr>
          <w:t xml:space="preserve">Figure 6.8</w:t>
        </w:r>
      </w:hyperlink>
      <w:r>
        <w:t xml:space="preserve"> </w:t>
      </w:r>
      <w:r>
        <w:t xml:space="preserve">shows a turn.</w:t>
      </w:r>
    </w:p>
    <w:bookmarkStart w:id="443" w:name="fig:seq-turn"/>
    <w:p>
      <w:pPr>
        <w:pStyle w:val="CaptionedFigure"/>
      </w:pPr>
      <w:r>
        <w:drawing>
          <wp:inline>
            <wp:extent cx="5334000" cy="4888028"/>
            <wp:effectExtent b="0" l="0" r="0" t="0"/>
            <wp:docPr descr="Figure 6.8– Sequence diagram: one assistant turn" title="" id="441" name="Picture"/>
            <a:graphic>
              <a:graphicData uri="http://schemas.openxmlformats.org/drawingml/2006/picture">
                <pic:pic>
                  <pic:nvPicPr>
                    <pic:cNvPr descr="../diagrams/fig-7-4-sequence-assistant-turn/fig-7-4-sequence-assistant-turn.png" id="442" name="Picture"/>
                    <pic:cNvPicPr>
                      <a:picLocks noChangeArrowheads="1" noChangeAspect="1"/>
                    </pic:cNvPicPr>
                  </pic:nvPicPr>
                  <pic:blipFill>
                    <a:blip r:embed="rId440"/>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43"/>
    <w:p>
      <w:pPr>
        <w:pStyle w:val="BodyText"/>
      </w:pPr>
      <w:r>
        <w:t xml:space="preserve">The request carries the conversation, the article and any selection. The system reads</w:t>
      </w:r>
      <w:r>
        <w:t xml:space="preserve"> </w:t>
      </w:r>
      <w:r>
        <w:t xml:space="preserve">the draft, the writer’s voice profile and — when documents are attached — passages from</w:t>
      </w:r>
      <w:r>
        <w:t xml:space="preserve"> </w:t>
      </w:r>
      <w:r>
        <w:t xml:space="preserve">them, reporting each stage to the panel as it completes. A single routing call to the</w:t>
      </w:r>
      <w:r>
        <w:t xml:space="preserve"> </w:t>
      </w:r>
      <w:r>
        <w:t xml:space="preserve">model then either answers in the panel, streamed as Markdown, or calls the</w:t>
      </w:r>
      <w:r>
        <w:t xml:space="preserve"> </w:t>
      </w:r>
      <w:r>
        <w:rPr>
          <w:rStyle w:val="VerbatimChar"/>
        </w:rPr>
        <w:t xml:space="preserve">write_to_article</w:t>
      </w:r>
      <w:r>
        <w:t xml:space="preserve"> </w:t>
      </w:r>
      <w:r>
        <w:t xml:space="preserve">tool with a placement (at the cursor or over the selection) and a</w:t>
      </w:r>
      <w:r>
        <w:t xml:space="preserve"> </w:t>
      </w:r>
      <w:r>
        <w:t xml:space="preserve">one-line brief; the model then adds a one-line recap. The tokens of both calls are</w:t>
      </w:r>
      <w:r>
        <w:t xml:space="preserve"> </w:t>
      </w:r>
      <w:r>
        <w:t xml:space="preserve">settled once, at the end; a stopped turn still bills an estimate of what was produced.</w:t>
      </w:r>
      <w:r>
        <w:t xml:space="preserve"> </w:t>
      </w:r>
      <w:r>
        <w:t xml:space="preserve">The diagram shows why the panel can show real steps rather than a spinner: each stage</w:t>
      </w:r>
      <w:r>
        <w:t xml:space="preserve"> </w:t>
      </w:r>
      <w:r>
        <w:t xml:space="preserve">is a part of the response stream, sent as soon as it is done (FR-80).</w:t>
      </w:r>
    </w:p>
    <w:p>
      <w:pPr>
        <w:pStyle w:val="BodyText"/>
      </w:pPr>
      <w:r>
        <w:rPr>
          <w:b/>
          <w:bCs/>
        </w:rPr>
        <w:t xml:space="preserve">Sequence diagram — writing into the document.</w:t>
      </w:r>
      <w:r>
        <w:t xml:space="preserve"> </w:t>
      </w:r>
      <w:hyperlink w:anchor="fig:seq-write">
        <w:r>
          <w:rPr>
            <w:rStyle w:val="Hyperlink"/>
          </w:rPr>
          <w:t xml:space="preserve">Figure 6.9</w:t>
        </w:r>
      </w:hyperlink>
      <w:r>
        <w:t xml:space="preserve"> </w:t>
      </w:r>
      <w:r>
        <w:t xml:space="preserve">shows the write.</w:t>
      </w:r>
    </w:p>
    <w:bookmarkStart w:id="447" w:name="fig:seq-write"/>
    <w:p>
      <w:pPr>
        <w:pStyle w:val="CaptionedFigure"/>
      </w:pPr>
      <w:r>
        <w:drawing>
          <wp:inline>
            <wp:extent cx="5334000" cy="3253211"/>
            <wp:effectExtent b="0" l="0" r="0" t="0"/>
            <wp:docPr descr="Figure 6.9– Sequence diagram: writing into the document" title="" id="445" name="Picture"/>
            <a:graphic>
              <a:graphicData uri="http://schemas.openxmlformats.org/drawingml/2006/picture">
                <pic:pic>
                  <pic:nvPicPr>
                    <pic:cNvPr descr="../diagrams/fig-7-5-sequence-in-document-write/fig-7-5-sequence-in-document-write.png" id="446" name="Picture"/>
                    <pic:cNvPicPr>
                      <a:picLocks noChangeArrowheads="1" noChangeAspect="1"/>
                    </pic:cNvPicPr>
                  </pic:nvPicPr>
                  <pic:blipFill>
                    <a:blip r:embed="rId444"/>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47"/>
    <w:p>
      <w:pPr>
        <w:pStyle w:val="BodyText"/>
      </w:pPr>
      <w:r>
        <w:t xml:space="preserve">The system retrieves passages from the writer’s other published articles and streams</w:t>
      </w:r>
      <w:r>
        <w:t xml:space="preserve"> </w:t>
      </w:r>
      <w:r>
        <w:t xml:space="preserve">the article text from a second model call. The panel opens a range in the editor at a</w:t>
      </w:r>
      <w:r>
        <w:t xml:space="preserve"> </w:t>
      </w:r>
      <w:r>
        <w:t xml:space="preserve">block boundary — after the block holding the cursor, or over the selected blocks — tints</w:t>
      </w:r>
      <w:r>
        <w:t xml:space="preserve"> </w:t>
      </w:r>
      <w:r>
        <w:t xml:space="preserve">it and refuses the writer’s own edits inside it; each Markdown block is inserted as</w:t>
      </w:r>
      <w:r>
        <w:t xml:space="preserve"> </w:t>
      </w:r>
      <w:r>
        <w:t xml:space="preserve">soon as it is complete, outside the undo history. When the stream ends, the writer</w:t>
      </w:r>
      <w:r>
        <w:t xml:space="preserve"> </w:t>
      </w:r>
      <w:r>
        <w:t xml:space="preserve">keeps the text, which becomes one undo step, or discards it, which restores exactly</w:t>
      </w:r>
      <w:r>
        <w:t xml:space="preserve"> </w:t>
      </w:r>
      <w:r>
        <w:t xml:space="preserve">what was there. The diagram shows the guarantee behind the design: opening the range at</w:t>
      </w:r>
      <w:r>
        <w:t xml:space="preserve"> </w:t>
      </w:r>
      <w:r>
        <w:t xml:space="preserve">a block boundary is what makes the restoration exact, because every node the writer</w:t>
      </w:r>
      <w:r>
        <w:t xml:space="preserve"> </w:t>
      </w:r>
      <w:r>
        <w:t xml:space="preserve">owns stays untouched.</w:t>
      </w:r>
    </w:p>
    <w:p>
      <w:pPr>
        <w:pStyle w:val="BodyText"/>
      </w:pPr>
      <w:r>
        <w:rPr>
          <w:b/>
          <w:bCs/>
        </w:rPr>
        <w:t xml:space="preserve">Sequence diagram — voice.</w:t>
      </w:r>
      <w:r>
        <w:t xml:space="preserve"> </w:t>
      </w:r>
      <w:hyperlink w:anchor="fig:seq-voice">
        <w:r>
          <w:rPr>
            <w:rStyle w:val="Hyperlink"/>
          </w:rPr>
          <w:t xml:space="preserve">Figure 6.10</w:t>
        </w:r>
      </w:hyperlink>
      <w:r>
        <w:t xml:space="preserve"> </w:t>
      </w:r>
      <w:r>
        <w:t xml:space="preserve">shows the voice round trip.</w:t>
      </w:r>
    </w:p>
    <w:bookmarkStart w:id="451" w:name="fig:seq-voice"/>
    <w:p>
      <w:pPr>
        <w:pStyle w:val="CaptionedFigure"/>
      </w:pPr>
      <w:r>
        <w:drawing>
          <wp:inline>
            <wp:extent cx="5334000" cy="3698187"/>
            <wp:effectExtent b="0" l="0" r="0" t="0"/>
            <wp:docPr descr="Figure 6.10– Sequence diagram: the voice round trip" title="" id="449" name="Picture"/>
            <a:graphic>
              <a:graphicData uri="http://schemas.openxmlformats.org/drawingml/2006/picture">
                <pic:pic>
                  <pic:nvPicPr>
                    <pic:cNvPr descr="../diagrams/fig-7-6-sequence-voice-round-trip/fig-7-6-sequence-voice-round-trip.png" id="450" name="Picture"/>
                    <pic:cNvPicPr>
                      <a:picLocks noChangeArrowheads="1" noChangeAspect="1"/>
                    </pic:cNvPicPr>
                  </pic:nvPicPr>
                  <pic:blipFill>
                    <a:blip r:embed="rId448"/>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51"/>
    <w:p>
      <w:pPr>
        <w:pStyle w:val="BodyText"/>
      </w:pPr>
      <w:r>
        <w:t xml:space="preserve">A recording of at most five minutes is sent with its length; the system checks the</w:t>
      </w:r>
      <w:r>
        <w:t xml:space="preserve"> </w:t>
      </w:r>
      <w:r>
        <w:t xml:space="preserve">allowance, the format and the size, transcribes it with Whisper, settles the</w:t>
      </w:r>
      <w:r>
        <w:t xml:space="preserve"> </w:t>
      </w:r>
      <w:r>
        <w:t xml:space="preserve">duration — the provider’s when it reports one, otherwise the larger of the client’s</w:t>
      </w:r>
      <w:r>
        <w:t xml:space="preserve"> </w:t>
      </w:r>
      <w:r>
        <w:t xml:space="preserve">figure and a floor derived from the file size — and bills 200 tokens per started</w:t>
      </w:r>
      <w:r>
        <w:t xml:space="preserve"> </w:t>
      </w:r>
      <w:r>
        <w:t xml:space="preserve">minute. The transcript lands in the composer, editable. Reading a reply aloud is free</w:t>
      </w:r>
      <w:r>
        <w:t xml:space="preserve"> </w:t>
      </w:r>
      <w:r>
        <w:t xml:space="preserve">to the writer and limited per account instead, to 20 replies a minute and 300 a day.</w:t>
      </w:r>
      <w:r>
        <w:t xml:space="preserve"> </w:t>
      </w:r>
      <w:r>
        <w:t xml:space="preserve">The diagram shows that the client’s claim about duration is never trusted alone: the</w:t>
      </w:r>
      <w:r>
        <w:t xml:space="preserve"> </w:t>
      </w:r>
      <w:r>
        <w:t xml:space="preserve">billing uses the larger of what the client says and what the file size proves.</w:t>
      </w:r>
    </w:p>
    <w:bookmarkEnd w:id="452"/>
    <w:bookmarkStart w:id="469"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56" w:name="fig:reposted"/>
    <w:p>
      <w:pPr>
        <w:pStyle w:val="CaptionedFigure"/>
      </w:pPr>
      <w:r>
        <w:drawing>
          <wp:inline>
            <wp:extent cx="4267200" cy="2667000"/>
            <wp:effectExtent b="0" l="0" r="0" t="0"/>
            <wp:docPr descr="Figure 6.11– The Reposted tab of a profile" title="" id="454" name="Picture"/>
            <a:graphic>
              <a:graphicData uri="http://schemas.openxmlformats.org/drawingml/2006/picture">
                <pic:pic>
                  <pic:nvPicPr>
                    <pic:cNvPr descr="../figures/screens/reader-09-reposted-tab.png" id="455" name="Picture"/>
                    <pic:cNvPicPr>
                      <a:picLocks noChangeArrowheads="1" noChangeAspect="1"/>
                    </pic:cNvPicPr>
                  </pic:nvPicPr>
                  <pic:blipFill>
                    <a:blip r:embed="rId45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56"/>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60" w:name="fig:keep-discard"/>
    <w:p>
      <w:pPr>
        <w:pStyle w:val="CaptionedFigure"/>
      </w:pPr>
      <w:r>
        <w:drawing>
          <wp:inline>
            <wp:extent cx="4267200" cy="2667000"/>
            <wp:effectExtent b="0" l="0" r="0" t="0"/>
            <wp:docPr descr="Figure 6.12– A write awaiting Keep or Discard" title="" id="458" name="Picture"/>
            <a:graphic>
              <a:graphicData uri="http://schemas.openxmlformats.org/drawingml/2006/picture">
                <pic:pic>
                  <pic:nvPicPr>
                    <pic:cNvPr descr="../figures/screens/writer-14-ai-keep-discard.png" id="459" name="Picture"/>
                    <pic:cNvPicPr>
                      <a:picLocks noChangeArrowheads="1" noChangeAspect="1"/>
                    </pic:cNvPicPr>
                  </pic:nvPicPr>
                  <pic:blipFill>
                    <a:blip r:embed="rId45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60"/>
    <w:p>
      <w:pPr>
        <w:pStyle w:val="BodyText"/>
      </w:pPr>
      <w:r>
        <w:t xml:space="preserve">Asked for a closing paragraph</w:t>
      </w:r>
      <w:r>
        <w:t xml:space="preserve"> </w:t>
      </w:r>
      <w:r>
        <w:t xml:space="preserve">“in my voice”</w:t>
      </w:r>
      <w:r>
        <w:t xml:space="preserve">, the assistant chose to write rather than</w:t>
      </w:r>
      <w:r>
        <w:t xml:space="preserve"> </w:t>
      </w:r>
      <w:r>
        <w:t xml:space="preserve">answer (FR-78). The panel lists the real steps — words read, profile, thinking, five</w:t>
      </w:r>
      <w:r>
        <w:t xml:space="preserve"> </w:t>
      </w:r>
      <w:r>
        <w:t xml:space="preserve">passages from four articles, the size of the write — and a one-line recap; in the</w:t>
      </w:r>
      <w:r>
        <w:t xml:space="preserve"> </w:t>
      </w:r>
      <w:r>
        <w:t xml:space="preserve">editor, the new paragraph is tinted at the end of the draft with</w:t>
      </w:r>
      <w:r>
        <w:t xml:space="preserve"> </w:t>
      </w:r>
      <w:r>
        <w:rPr>
          <w:i/>
          <w:iCs/>
        </w:rPr>
        <w:t xml:space="preserve">Keep</w:t>
      </w:r>
      <w:r>
        <w:t xml:space="preserve">,</w:t>
      </w:r>
      <w:r>
        <w:t xml:space="preserve"> </w:t>
      </w:r>
      <w:r>
        <w:rPr>
          <w:i/>
          <w:iCs/>
        </w:rPr>
        <w:t xml:space="preserve">Discard</w:t>
      </w:r>
      <w:r>
        <w:t xml:space="preserve"> </w:t>
      </w:r>
      <w:r>
        <w:t xml:space="preserve">and</w:t>
      </w:r>
      <w:r>
        <w:t xml:space="preserve"> </w:t>
      </w:r>
      <w:r>
        <w:t xml:space="preserve">the reminder that Ctrl+Z undoes after keeping (FR-79, FR-80). While the decision is</w:t>
      </w:r>
      <w:r>
        <w:t xml:space="preserve"> </w:t>
      </w:r>
      <w:r>
        <w:t xml:space="preserve">pending, the composer is disabled: the writer cannot start a second write over an</w:t>
      </w:r>
      <w:r>
        <w:t xml:space="preserve"> </w:t>
      </w:r>
      <w:r>
        <w:t xml:space="preserve">undecided one.</w:t>
      </w:r>
    </w:p>
    <w:p>
      <w:pPr>
        <w:pStyle w:val="BodyText"/>
      </w:pPr>
      <w:hyperlink w:anchor="fig:rail">
        <w:r>
          <w:rPr>
            <w:rStyle w:val="Hyperlink"/>
          </w:rPr>
          <w:t xml:space="preserve">Figure 6.13</w:t>
        </w:r>
      </w:hyperlink>
      <w:r>
        <w:t xml:space="preserve"> </w:t>
      </w:r>
      <w:r>
        <w:t xml:space="preserve">shows the live step on the collapsed panel.</w:t>
      </w:r>
    </w:p>
    <w:bookmarkStart w:id="464" w:name="fig:rail"/>
    <w:p>
      <w:pPr>
        <w:pStyle w:val="CaptionedFigure"/>
      </w:pPr>
      <w:r>
        <w:drawing>
          <wp:inline>
            <wp:extent cx="4267200" cy="2667000"/>
            <wp:effectExtent b="0" l="0" r="0" t="0"/>
            <wp:docPr descr="Figure 6.13– The live step on the collapsed panel" title="" id="462" name="Picture"/>
            <a:graphic>
              <a:graphicData uri="http://schemas.openxmlformats.org/drawingml/2006/picture">
                <pic:pic>
                  <pic:nvPicPr>
                    <pic:cNvPr descr="../figures/screens/writer-15-ai-rail-live-step.png" id="463" name="Picture"/>
                    <pic:cNvPicPr>
                      <a:picLocks noChangeArrowheads="1" noChangeAspect="1"/>
                    </pic:cNvPicPr>
                  </pic:nvPicPr>
                  <pic:blipFill>
                    <a:blip r:embed="rId46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64"/>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hyperlink w:anchor="fig:voice">
        <w:r>
          <w:rPr>
            <w:rStyle w:val="Hyperlink"/>
          </w:rPr>
          <w:t xml:space="preserve">Figure 6.14</w:t>
        </w:r>
      </w:hyperlink>
      <w:r>
        <w:t xml:space="preserve"> </w:t>
      </w:r>
      <w:r>
        <w:t xml:space="preserve">shows a prompt being recorded.</w:t>
      </w:r>
    </w:p>
    <w:bookmarkStart w:id="468" w:name="fig:voice"/>
    <w:p>
      <w:pPr>
        <w:pStyle w:val="CaptionedFigure"/>
      </w:pPr>
      <w:r>
        <w:drawing>
          <wp:inline>
            <wp:extent cx="4267200" cy="2106385"/>
            <wp:effectExtent b="0" l="0" r="0" t="0"/>
            <wp:docPr descr="Figure 6.14– Recording a prompt" title="" id="466" name="Picture"/>
            <a:graphic>
              <a:graphicData uri="http://schemas.openxmlformats.org/drawingml/2006/picture">
                <pic:pic>
                  <pic:nvPicPr>
                    <pic:cNvPr descr="../figures/screens/writer-19-voice-recording.png" id="467" name="Picture"/>
                    <pic:cNvPicPr>
                      <a:picLocks noChangeArrowheads="1" noChangeAspect="1"/>
                    </pic:cNvPicPr>
                  </pic:nvPicPr>
                  <pic:blipFill>
                    <a:blip r:embed="rId465"/>
                    <a:stretch>
                      <a:fillRect/>
                    </a:stretch>
                  </pic:blipFill>
                  <pic:spPr bwMode="auto">
                    <a:xfrm>
                      <a:off x="0" y="0"/>
                      <a:ext cx="4267200" cy="2106385"/>
                    </a:xfrm>
                    <a:prstGeom prst="rect">
                      <a:avLst/>
                    </a:prstGeom>
                    <a:noFill/>
                    <a:ln w="9525">
                      <a:noFill/>
                      <a:headEnd/>
                      <a:tailEnd/>
                    </a:ln>
                  </pic:spPr>
                </pic:pic>
              </a:graphicData>
            </a:graphic>
          </wp:inline>
        </w:drawing>
      </w:r>
    </w:p>
    <w:p>
      <w:pPr>
        <w:pStyle w:val="ImageCaption"/>
      </w:pPr>
      <w:r>
        <w:t xml:space="preserve">Figure 6.14– Recording a prompt</w:t>
      </w:r>
    </w:p>
    <w:bookmarkEnd w:id="468"/>
    <w:p>
      <w:pPr>
        <w:pStyle w:val="BodyText"/>
      </w:pPr>
      <w:r>
        <w:t xml:space="preserve">While recording, the composer says</w:t>
      </w:r>
      <w:r>
        <w:t xml:space="preserve"> </w:t>
      </w:r>
      <w:r>
        <w:rPr>
          <w:i/>
          <w:iCs/>
        </w:rPr>
        <w:t xml:space="preserve">Listening… speak your prompt</w:t>
      </w:r>
      <w:r>
        <w:t xml:space="preserve"> </w:t>
      </w:r>
      <w:r>
        <w:t xml:space="preserve">and shows the</w:t>
      </w:r>
      <w:r>
        <w:t xml:space="preserve"> </w:t>
      </w:r>
      <w:r>
        <w:t xml:space="preserve">elapsed time with a control to confirm and one to cancel; on confirmation the</w:t>
      </w:r>
      <w:r>
        <w:t xml:space="preserve"> </w:t>
      </w:r>
      <w:r>
        <w:t xml:space="preserve">transcript fills the composer, where it can be edited before sending (FR-82).</w:t>
      </w:r>
      <w:r>
        <w:t xml:space="preserve"> </w:t>
      </w:r>
      <w:r>
        <w:t xml:space="preserve">Dictation is billed against the same daily allowance as typed prompts, so voice is a</w:t>
      </w:r>
      <w:r>
        <w:t xml:space="preserve"> </w:t>
      </w:r>
      <w:r>
        <w:t xml:space="preserve">way of writing a prompt, not a separate service.</w:t>
      </w:r>
    </w:p>
    <w:bookmarkEnd w:id="469"/>
    <w:bookmarkEnd w:id="470"/>
    <w:bookmarkStart w:id="500" w:name="sec:sprint9"/>
    <w:p>
      <w:pPr>
        <w:pStyle w:val="Heading2"/>
      </w:pPr>
      <w:r>
        <w:rPr>
          <w:rStyle w:val="SectionNumber"/>
        </w:rPr>
        <w:t xml:space="preserve">6.3</w:t>
      </w:r>
      <w:r>
        <w:tab/>
      </w:r>
      <w:r>
        <w:t xml:space="preserve">Sprint 9 — Document library and citations</w:t>
      </w:r>
    </w:p>
    <w:bookmarkStart w:id="472"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71"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71"/>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72"/>
    <w:bookmarkStart w:id="477"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6.15</w:t>
        </w:r>
      </w:hyperlink>
      <w:r>
        <w:t xml:space="preserve"> </w:t>
      </w:r>
      <w:r>
        <w:t xml:space="preserve">gives the use cases of Sprint 9.</w:t>
      </w:r>
    </w:p>
    <w:bookmarkStart w:id="476" w:name="fig:uc-s9"/>
    <w:p>
      <w:pPr>
        <w:pStyle w:val="CaptionedFigure"/>
      </w:pPr>
      <w:r>
        <w:drawing>
          <wp:inline>
            <wp:extent cx="5334000" cy="1415786"/>
            <wp:effectExtent b="0" l="0" r="0" t="0"/>
            <wp:docPr descr="Figure 6.15– Use case diagram, Sprint 9" title="" id="474" name="Picture"/>
            <a:graphic>
              <a:graphicData uri="http://schemas.openxmlformats.org/drawingml/2006/picture">
                <pic:pic>
                  <pic:nvPicPr>
                    <pic:cNvPr descr="../diagrams/fig-7-7-use-case-sprint-9/fig-7-7-use-case-sprint-9.png" id="475" name="Picture"/>
                    <pic:cNvPicPr>
                      <a:picLocks noChangeArrowheads="1" noChangeAspect="1"/>
                    </pic:cNvPicPr>
                  </pic:nvPicPr>
                  <pic:blipFill>
                    <a:blip r:embed="rId473"/>
                    <a:stretch>
                      <a:fillRect/>
                    </a:stretch>
                  </pic:blipFill>
                  <pic:spPr bwMode="auto">
                    <a:xfrm>
                      <a:off x="0" y="0"/>
                      <a:ext cx="5334000" cy="1415786"/>
                    </a:xfrm>
                    <a:prstGeom prst="rect">
                      <a:avLst/>
                    </a:prstGeom>
                    <a:noFill/>
                    <a:ln w="9525">
                      <a:noFill/>
                      <a:headEnd/>
                      <a:tailEnd/>
                    </a:ln>
                  </pic:spPr>
                </pic:pic>
              </a:graphicData>
            </a:graphic>
          </wp:inline>
        </w:drawing>
      </w:r>
    </w:p>
    <w:p>
      <w:pPr>
        <w:pStyle w:val="ImageCaption"/>
      </w:pPr>
      <w:r>
        <w:t xml:space="preserve">Figure 6.15– Use case diagram, Sprint 9</w:t>
      </w:r>
    </w:p>
    <w:bookmarkEnd w:id="476"/>
    <w:p>
      <w:pPr>
        <w:pStyle w:val="BodyText"/>
      </w:pPr>
      <w:r>
        <w:t xml:space="preserve">Managing the library specialises into uploading, retrying a failed document and</w:t>
      </w:r>
      <w:r>
        <w:t xml:space="preserve"> </w:t>
      </w:r>
      <w:r>
        <w:t xml:space="preserve">deleting; uploading and retrying include extracting, chunking and embedding the text.</w:t>
      </w:r>
      <w:r>
        <w:t xml:space="preserve"> </w:t>
      </w:r>
      <w:r>
        <w:t xml:space="preserve">Attaching documents to an article is extended by detaching one. Asking the assistant</w:t>
      </w:r>
      <w:r>
        <w:t xml:space="preserve"> </w:t>
      </w:r>
      <w:r>
        <w:t xml:space="preserve">is extended by citing passages as</w:t>
      </w:r>
      <w:r>
        <w:t xml:space="preserve"> </w:t>
      </w:r>
      <w:r>
        <w:rPr>
          <w:i/>
          <w:iCs/>
        </w:rPr>
        <w:t xml:space="preserve">[Title, p. N]</w:t>
      </w:r>
      <w:r>
        <w:t xml:space="preserve">, itself extended by opening a cited</w:t>
      </w:r>
      <w:r>
        <w:t xml:space="preserve"> </w:t>
      </w:r>
      <w:r>
        <w:t xml:space="preserve">passage at its page. Documents are PDF, DOCX, TXT or Markdown files under 10 MB and 200</w:t>
      </w:r>
      <w:r>
        <w:t xml:space="preserve"> </w:t>
      </w:r>
      <w:r>
        <w:t xml:space="preserve">pages, at most 20 per writer. The diagram shows the privacy boundary of the feature: a</w:t>
      </w:r>
      <w:r>
        <w:t xml:space="preserve"> </w:t>
      </w:r>
      <w:r>
        <w:t xml:space="preserve">document is the writer’s alone, and it never feeds the voice profile, portfolio</w:t>
      </w:r>
      <w:r>
        <w:t xml:space="preserve"> </w:t>
      </w:r>
      <w:r>
        <w:t xml:space="preserve">insights or search (FR-87).</w:t>
      </w:r>
    </w:p>
    <w:bookmarkEnd w:id="477"/>
    <w:bookmarkStart w:id="486"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6.16</w:t>
        </w:r>
      </w:hyperlink>
      <w:r>
        <w:t xml:space="preserve"> </w:t>
      </w:r>
      <w:r>
        <w:t xml:space="preserve">shows the library.</w:t>
      </w:r>
    </w:p>
    <w:bookmarkStart w:id="481" w:name="fig:classes-s9"/>
    <w:p>
      <w:pPr>
        <w:pStyle w:val="CaptionedFigure"/>
      </w:pPr>
      <w:r>
        <w:drawing>
          <wp:inline>
            <wp:extent cx="5334000" cy="4095229"/>
            <wp:effectExtent b="0" l="0" r="0" t="0"/>
            <wp:docPr descr="Figure 6.16– Class diagram, Sprint 9" title="" id="479" name="Picture"/>
            <a:graphic>
              <a:graphicData uri="http://schemas.openxmlformats.org/drawingml/2006/picture">
                <pic:pic>
                  <pic:nvPicPr>
                    <pic:cNvPr descr="../diagrams/fig-7-8-classes-sprint-9/fig-7-8-classes-sprint-9.png" id="480" name="Picture"/>
                    <pic:cNvPicPr>
                      <a:picLocks noChangeArrowheads="1" noChangeAspect="1"/>
                    </pic:cNvPicPr>
                  </pic:nvPicPr>
                  <pic:blipFill>
                    <a:blip r:embed="rId478"/>
                    <a:stretch>
                      <a:fillRect/>
                    </a:stretch>
                  </pic:blipFill>
                  <pic:spPr bwMode="auto">
                    <a:xfrm>
                      <a:off x="0" y="0"/>
                      <a:ext cx="5334000" cy="4095229"/>
                    </a:xfrm>
                    <a:prstGeom prst="rect">
                      <a:avLst/>
                    </a:prstGeom>
                    <a:noFill/>
                    <a:ln w="9525">
                      <a:noFill/>
                      <a:headEnd/>
                      <a:tailEnd/>
                    </a:ln>
                  </pic:spPr>
                </pic:pic>
              </a:graphicData>
            </a:graphic>
          </wp:inline>
        </w:drawing>
      </w:r>
    </w:p>
    <w:p>
      <w:pPr>
        <w:pStyle w:val="ImageCaption"/>
      </w:pPr>
      <w:r>
        <w:t xml:space="preserve">Figure 6.16– Class diagram, Sprint 9</w:t>
      </w:r>
    </w:p>
    <w:bookmarkEnd w:id="481"/>
    <w:p>
      <w:pPr>
        <w:pStyle w:val="BodyText"/>
      </w:pPr>
      <w:r>
        <w:t xml:space="preserve">A</w:t>
      </w:r>
      <w:r>
        <w:t xml:space="preserve"> </w:t>
      </w:r>
      <w:r>
        <w:rPr>
          <w:rStyle w:val="VerbatimChar"/>
        </w:rPr>
        <w:t xml:space="preserve">Document</w:t>
      </w:r>
      <w:r>
        <w:t xml:space="preserve"> </w:t>
      </w:r>
      <w:r>
        <w:t xml:space="preserve">carries its status, page and chunk counts and a readable error; its</w:t>
      </w:r>
      <w:r>
        <w:t xml:space="preserve"> </w:t>
      </w:r>
      <w:r>
        <w:rPr>
          <w:rStyle w:val="VerbatimChar"/>
        </w:rPr>
        <w:t xml:space="preserve">DocumentChunk</w:t>
      </w:r>
      <w:r>
        <w:t xml:space="preserve">s each keep the page they came from, which is what a citation points to;</w:t>
      </w:r>
      <w:r>
        <w:t xml:space="preserve"> </w:t>
      </w:r>
      <w:r>
        <w:t xml:space="preserve">and documents are attached to articles by a many-to-many association. The status moves</w:t>
      </w:r>
      <w:r>
        <w:t xml:space="preserve"> </w:t>
      </w:r>
      <w:r>
        <w:t xml:space="preserve">from pending to extracting to ready, or to failed with a reason the writer can act on;</w:t>
      </w:r>
      <w:r>
        <w:t xml:space="preserve"> </w:t>
      </w:r>
      <w:r>
        <w:t xml:space="preserve">the only backward move is a retry. The diagram shows that a citation is a property of</w:t>
      </w:r>
      <w:r>
        <w:t xml:space="preserve"> </w:t>
      </w:r>
      <w:r>
        <w:t xml:space="preserve">the data, not of the model’s output: the page number travels with the chunk from</w:t>
      </w:r>
      <w:r>
        <w:t xml:space="preserve"> </w:t>
      </w:r>
      <w:r>
        <w:t xml:space="preserve">extraction to the prompt.</w:t>
      </w:r>
    </w:p>
    <w:p>
      <w:pPr>
        <w:pStyle w:val="BodyText"/>
      </w:pPr>
      <w:r>
        <w:rPr>
          <w:b/>
          <w:bCs/>
        </w:rPr>
        <w:t xml:space="preserve">Sequence diagram — ingestion.</w:t>
      </w:r>
      <w:r>
        <w:t xml:space="preserve"> </w:t>
      </w:r>
      <w:hyperlink w:anchor="fig:seq-ingest">
        <w:r>
          <w:rPr>
            <w:rStyle w:val="Hyperlink"/>
          </w:rPr>
          <w:t xml:space="preserve">Figure 6.17</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485" w:name="fig:seq-ingest"/>
    <w:p>
      <w:pPr>
        <w:pStyle w:val="CaptionedFigure"/>
      </w:pPr>
      <w:r>
        <w:drawing>
          <wp:inline>
            <wp:extent cx="5334000" cy="5116941"/>
            <wp:effectExtent b="0" l="0" r="0" t="0"/>
            <wp:docPr descr="Figure 6.17– Sequence diagram: document upload and ingestion" title="" id="483" name="Picture"/>
            <a:graphic>
              <a:graphicData uri="http://schemas.openxmlformats.org/drawingml/2006/picture">
                <pic:pic>
                  <pic:nvPicPr>
                    <pic:cNvPr descr="../diagrams/fig-7-9-sequence-document-ingestion/fig-7-9-sequence-document-ingestion.png" id="484" name="Picture"/>
                    <pic:cNvPicPr>
                      <a:picLocks noChangeArrowheads="1" noChangeAspect="1"/>
                    </pic:cNvPicPr>
                  </pic:nvPicPr>
                  <pic:blipFill>
                    <a:blip r:embed="rId482"/>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6.17– Sequence diagram: document upload and ingestion</w:t>
      </w:r>
    </w:p>
    <w:bookmarkEnd w:id="485"/>
    <w:p>
      <w:pPr>
        <w:pStyle w:val="BodyText"/>
      </w:pPr>
      <w:r>
        <w:t xml:space="preserve">The browser asks for a presigned URL and uploads the file straight to a private</w:t>
      </w:r>
      <w:r>
        <w:t xml:space="preserve"> </w:t>
      </w:r>
      <w:r>
        <w:t xml:space="preserve">bucket — the file never passes through the API. The registration checks that the object</w:t>
      </w:r>
      <w:r>
        <w:t xml:space="preserve"> </w:t>
      </w:r>
      <w:r>
        <w:t xml:space="preserve">exists and is under 10 MB, counts the writer’s documents under a per-writer lock and</w:t>
      </w:r>
      <w:r>
        <w:t xml:space="preserve"> </w:t>
      </w:r>
      <w:r>
        <w:t xml:space="preserve">queues ingestion. The worker extracts the text page by page, refuses a document over</w:t>
      </w:r>
      <w:r>
        <w:t xml:space="preserve"> </w:t>
      </w:r>
      <w:r>
        <w:t xml:space="preserve">200 pages or without a text layer with a readable reason, then chunks it, embeds the</w:t>
      </w:r>
      <w:r>
        <w:t xml:space="preserve"> </w:t>
      </w:r>
      <w:r>
        <w:t xml:space="preserve">chunks and marks it ready in one transaction. The diagram shows that a document is</w:t>
      </w:r>
      <w:r>
        <w:t xml:space="preserve"> </w:t>
      </w:r>
      <w:r>
        <w:t xml:space="preserve">either fully usable or clearly refused: there is no state in which the assistant can</w:t>
      </w:r>
      <w:r>
        <w:t xml:space="preserve"> </w:t>
      </w:r>
      <w:r>
        <w:t xml:space="preserve">retrieve half a document.</w:t>
      </w:r>
    </w:p>
    <w:bookmarkEnd w:id="486"/>
    <w:bookmarkStart w:id="499"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6.18</w:t>
        </w:r>
      </w:hyperlink>
      <w:r>
        <w:t xml:space="preserve"> </w:t>
      </w:r>
      <w:r>
        <w:t xml:space="preserve">shows the document library.</w:t>
      </w:r>
    </w:p>
    <w:bookmarkStart w:id="490" w:name="fig:documents"/>
    <w:p>
      <w:pPr>
        <w:pStyle w:val="CaptionedFigure"/>
      </w:pPr>
      <w:r>
        <w:drawing>
          <wp:inline>
            <wp:extent cx="4267200" cy="2667000"/>
            <wp:effectExtent b="0" l="0" r="0" t="0"/>
            <wp:docPr descr="Figure 6.18– The document library, one document refused with its reason" title="" id="488" name="Picture"/>
            <a:graphic>
              <a:graphicData uri="http://schemas.openxmlformats.org/drawingml/2006/picture">
                <pic:pic>
                  <pic:nvPicPr>
                    <pic:cNvPr descr="../figures/screens/writer-16-document-library.png" id="489" name="Picture"/>
                    <pic:cNvPicPr>
                      <a:picLocks noChangeArrowheads="1" noChangeAspect="1"/>
                    </pic:cNvPicPr>
                  </pic:nvPicPr>
                  <pic:blipFill>
                    <a:blip r:embed="rId4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The document library, one document refused with its reason</w:t>
      </w:r>
    </w:p>
    <w:bookmarkEnd w:id="490"/>
    <w:p>
      <w:pPr>
        <w:pStyle w:val="BodyText"/>
      </w:pPr>
      <w:r>
        <w:t xml:space="preserve">The library lists each document with its type, pages, status, size and upload time,</w:t>
      </w:r>
      <w:r>
        <w:t xml:space="preserve"> </w:t>
      </w:r>
      <w:r>
        <w:t xml:space="preserve">and counts the documents against the limit — 2 of 20 (FR-84). One document is being</w:t>
      </w:r>
      <w:r>
        <w:t xml:space="preserve"> </w:t>
      </w:r>
      <w:r>
        <w:t xml:space="preserve">extracted; the other is refused with the reason</w:t>
      </w:r>
      <w:r>
        <w:t xml:space="preserve"> </w:t>
      </w:r>
      <w:r>
        <w:t xml:space="preserve">“This document has no text to read”</w:t>
      </w:r>
      <w:r>
        <w:t xml:space="preserve"> </w:t>
      </w:r>
      <w:r>
        <w:t xml:space="preserve">and offers a retry: a failure is stated in words the writer can act on, not as an error</w:t>
      </w:r>
      <w:r>
        <w:t xml:space="preserve"> </w:t>
      </w:r>
      <w:r>
        <w:t xml:space="preserve">code.</w:t>
      </w:r>
    </w:p>
    <w:p>
      <w:pPr>
        <w:pStyle w:val="BodyText"/>
      </w:pPr>
      <w:hyperlink w:anchor="fig:sources">
        <w:r>
          <w:rPr>
            <w:rStyle w:val="Hyperlink"/>
          </w:rPr>
          <w:t xml:space="preserve">Figure 6.19</w:t>
        </w:r>
      </w:hyperlink>
      <w:r>
        <w:t xml:space="preserve"> </w:t>
      </w:r>
      <w:r>
        <w:t xml:space="preserve">shows the attachment of a document from the Sources tab of the assistant.</w:t>
      </w:r>
    </w:p>
    <w:bookmarkStart w:id="494" w:name="fig:sources"/>
    <w:p>
      <w:pPr>
        <w:pStyle w:val="CaptionedFigure"/>
      </w:pPr>
      <w:r>
        <w:drawing>
          <wp:inline>
            <wp:extent cx="4267200" cy="2667000"/>
            <wp:effectExtent b="0" l="0" r="0" t="0"/>
            <wp:docPr descr="Figure 6.19– Attaching a document from the Sources tab" title="" id="492" name="Picture"/>
            <a:graphic>
              <a:graphicData uri="http://schemas.openxmlformats.org/drawingml/2006/picture">
                <pic:pic>
                  <pic:nvPicPr>
                    <pic:cNvPr descr="../figures/screens/writer-17-ai-sources-tab.png" id="493" name="Picture"/>
                    <pic:cNvPicPr>
                      <a:picLocks noChangeArrowheads="1" noChangeAspect="1"/>
                    </pic:cNvPicPr>
                  </pic:nvPicPr>
                  <pic:blipFill>
                    <a:blip r:embed="rId49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6.19– Attaching a document from the Sources tab</w:t>
      </w:r>
    </w:p>
    <w:bookmarkEnd w:id="494"/>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6.20</w:t>
        </w:r>
      </w:hyperlink>
      <w:r>
        <w:t xml:space="preserve"> </w:t>
      </w:r>
      <w:r>
        <w:t xml:space="preserve">shows a reply citing its source.</w:t>
      </w:r>
    </w:p>
    <w:bookmarkStart w:id="498" w:name="fig:cited"/>
    <w:p>
      <w:pPr>
        <w:pStyle w:val="CaptionedFigure"/>
      </w:pPr>
      <w:r>
        <w:drawing>
          <wp:inline>
            <wp:extent cx="5334000" cy="3333750"/>
            <wp:effectExtent b="0" l="0" r="0" t="0"/>
            <wp:docPr descr="Figure 6.20– A reply citing its source as [Title, p. N]" title="" id="496" name="Picture"/>
            <a:graphic>
              <a:graphicData uri="http://schemas.openxmlformats.org/drawingml/2006/picture">
                <pic:pic>
                  <pic:nvPicPr>
                    <pic:cNvPr descr="../figures/screens/writer-18-ai-cited-reply.png" id="497" name="Picture"/>
                    <pic:cNvPicPr>
                      <a:picLocks noChangeArrowheads="1" noChangeAspect="1"/>
                    </pic:cNvPicPr>
                  </pic:nvPicPr>
                  <pic:blipFill>
                    <a:blip r:embed="rId49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A reply citing its source as [Title, p. N]</w:t>
      </w:r>
    </w:p>
    <w:bookmarkEnd w:id="498"/>
    <w:p>
      <w:pPr>
        <w:pStyle w:val="BodyText"/>
      </w:pPr>
      <w:r>
        <w:t xml:space="preserve">Asked a factual question about the writer’s field notes, the assistant retrieved three</w:t>
      </w:r>
      <w:r>
        <w:t xml:space="preserve"> </w:t>
      </w:r>
      <w:r>
        <w:t xml:space="preserve">passages from one document and answered with the figure and its source,</w:t>
      </w:r>
      <w:r>
        <w:t xml:space="preserve"> </w:t>
      </w:r>
      <w:r>
        <w:rPr>
          <w:i/>
          <w:iCs/>
        </w:rPr>
        <w:t xml:space="preserve">[Tackle Market Field Notes, p. 2]</w:t>
      </w:r>
      <w:r>
        <w:t xml:space="preserve"> </w:t>
      </w:r>
      <w:r>
        <w:t xml:space="preserve">(FR-86). The steps above the answer show where the</w:t>
      </w:r>
      <w:r>
        <w:t xml:space="preserve"> </w:t>
      </w:r>
      <w:r>
        <w:t xml:space="preserve">facts came from before the answer is read. The writer can therefore check a claim</w:t>
      </w:r>
      <w:r>
        <w:t xml:space="preserve"> </w:t>
      </w:r>
      <w:r>
        <w:t xml:space="preserve">before it goes out under their name, which is the purpose of US-72.</w:t>
      </w:r>
    </w:p>
    <w:bookmarkEnd w:id="499"/>
    <w:bookmarkEnd w:id="500"/>
    <w:bookmarkStart w:id="501"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01"/>
    <w:bookmarkEnd w:id="502"/>
    <w:bookmarkStart w:id="519" w:name="sec:ch7"/>
    <w:p>
      <w:pPr>
        <w:sectPr>
          <w:footnotePr>
            <w:numRestart w:val="eachSect"/>
          </w:footnotePr>
        </w:sectPr>
      </w:pPr>
    </w:p>
    <w:p>
      <w:pPr>
        <w:pStyle w:val="Heading1"/>
      </w:pPr>
      <w:r>
        <w:rPr>
          <w:rStyle w:val="SectionNumber"/>
        </w:rPr>
        <w:t xml:space="preserve">7</w:t>
      </w:r>
      <w:r>
        <w:tab/>
      </w:r>
      <w:r>
        <w:t xml:space="preserve">Evaluation</w:t>
      </w:r>
    </w:p>
    <w:bookmarkStart w:id="503"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 —</w:t>
      </w:r>
      <w:r>
        <w:t xml:space="preserve"> </w:t>
      </w:r>
      <w:r>
        <w:t xml:space="preserve">the retrieval behind the assistant, the hybrid search and the moderation classifier —</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03"/>
    <w:bookmarkStart w:id="504"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w:t>
      </w:r>
      <w:r>
        <w:t xml:space="preserve">— the share of relevant items among the passages returned;</w:t>
      </w:r>
    </w:p>
    <w:p>
      <w:pPr>
        <w:pStyle w:val="Compact"/>
        <w:numPr>
          <w:ilvl w:val="0"/>
          <w:numId w:val="1007"/>
        </w:numPr>
      </w:pPr>
      <w:r>
        <w:rPr>
          <w:b/>
          <w:bCs/>
        </w:rPr>
        <w:t xml:space="preserve">recall@10</w:t>
      </w:r>
      <w:r>
        <w:t xml:space="preserve"> </w:t>
      </w:r>
      <w:r>
        <w:t xml:space="preserve">— the share of the relevant articles found in the first ten results;</w:t>
      </w:r>
    </w:p>
    <w:p>
      <w:pPr>
        <w:pStyle w:val="Compact"/>
        <w:numPr>
          <w:ilvl w:val="0"/>
          <w:numId w:val="1007"/>
        </w:numPr>
      </w:pPr>
      <w:r>
        <w:rPr>
          <w:b/>
          <w:bCs/>
        </w:rPr>
        <w:t xml:space="preserve">nDCG@10</w:t>
      </w:r>
      <w:r>
        <w:t xml:space="preserve"> </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04"/>
    <w:bookmarkStart w:id="506"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05"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05"/>
    <w:p>
      <w:pPr>
        <w:pStyle w:val="BodyText"/>
      </w:pPr>
      <w:r>
        <w:t xml:space="preserve">At the floor used in production (0.60), a relevant passage is among the five returned</w:t>
      </w:r>
      <w:r>
        <w:t xml:space="preserve"> </w:t>
      </w:r>
      <w:r>
        <w:t xml:space="preserve">for 89% of the questions — 96% when the question uses the passage’s words, 81% when it</w:t>
      </w:r>
      <w:r>
        <w:t xml:space="preserve"> </w:t>
      </w:r>
      <w:r>
        <w:t xml:space="preserve">paraphrases them —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06"/>
    <w:bookmarkStart w:id="508"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07"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07"/>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 the results are still</w:t>
      </w:r>
      <w:r>
        <w:t xml:space="preserve"> </w:t>
      </w:r>
      <w:r>
        <w:t xml:space="preserve">returned —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08"/>
    <w:bookmarkStart w:id="510"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 war</w:t>
      </w:r>
      <w:r>
        <w:t xml:space="preserve"> </w:t>
      </w:r>
      <w:r>
        <w:t xml:space="preserve">reporting, crime news, an addiction memoir, thriller fiction, a suicide-prevention</w:t>
      </w:r>
      <w:r>
        <w:t xml:space="preserve"> </w:t>
      </w:r>
      <w:r>
        <w:t xml:space="preserve">message, instructions on overdose treatment — that a naive classifier would flag</w:t>
      </w:r>
      <w:r>
        <w:t xml:space="preserve"> </w:t>
      </w:r>
      <w:r>
        <w:t xml:space="preserve">because of their subject. The production service was called on each text three times.</w:t>
      </w:r>
    </w:p>
    <w:bookmarkStart w:id="509"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09"/>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 which fails open by design —</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10"/>
    <w:bookmarkStart w:id="513"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11"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w:t>
            </w:r>
          </w:p>
        </w:tc>
        <w:tc>
          <w:tcPr/>
          <w:p>
            <w:pPr>
              <w:pStyle w:val="Compact"/>
              <w:jc w:val="center"/>
            </w:pPr>
            <w:r>
              <w:t xml:space="preserve">bound by the provider quota</w:t>
            </w:r>
          </w:p>
        </w:tc>
      </w:tr>
    </w:tbl>
    <w:bookmarkEnd w:id="511"/>
    <w:p>
      <w:pPr>
        <w:pStyle w:val="BodyText"/>
      </w:pPr>
      <w:r>
        <w:t xml:space="preserve">Every route that reads the database answers in under 50 ms at the 95th percentile on</w:t>
      </w:r>
      <w:r>
        <w:t xml:space="preserve"> </w:t>
      </w:r>
      <w:r>
        <w:t xml:space="preserve">a laptop, and the two routes backed by the rollups — the evaluation report and the</w:t>
      </w:r>
      <w:r>
        <w:t xml:space="preserve"> </w:t>
      </w:r>
      <w:r>
        <w:t xml:space="preserve">dashboard —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12"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12"/>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13"/>
    <w:bookmarkStart w:id="514"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14"/>
    <w:bookmarkStart w:id="517"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15"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jc w:val="left"/>
            </w:pPr>
            <w:r>
              <w:t xml:space="preserve">—</w:t>
            </w: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jc w:val="left"/>
            </w:pPr>
            <w:r>
              <w:t xml:space="preserve">—</w:t>
            </w: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jc w:val="left"/>
            </w:pPr>
            <w:r>
              <w:t xml:space="preserve">—</w:t>
            </w: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jc w:val="left"/>
            </w:pPr>
            <w:r>
              <w:t xml:space="preserve">—</w:t>
            </w: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jc w:val="left"/>
            </w:pPr>
            <w:r>
              <w:t xml:space="preserve">—</w:t>
            </w: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jc w:val="left"/>
            </w:pPr>
            <w:r>
              <w:t xml:space="preserve">—</w:t>
            </w: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15"/>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16"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16"/>
    <w:p>
      <w:pPr>
        <w:pStyle w:val="BodyText"/>
      </w:pPr>
      <w:r>
        <w:t xml:space="preserve">The retrospective shows a pattern. The rules written down early — the ledger</w:t>
      </w:r>
      <w:r>
        <w:t xml:space="preserve"> </w:t>
      </w:r>
      <w:r>
        <w:t xml:space="preserve">invariants, the access decision, the definition of done —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17"/>
    <w:bookmarkStart w:id="518"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18"/>
    <w:bookmarkEnd w:id="519"/>
    <w:bookmarkStart w:id="522"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 likes, threaded comments, comment likes, reposts, follows,</w:t>
      </w:r>
      <w:r>
        <w:t xml:space="preserve"> </w:t>
      </w:r>
      <w:r>
        <w:t xml:space="preserve">saves, blocks, sharing and live notifications —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 including tests designed to fail when the code is sabotaged — and</w:t>
      </w:r>
      <w:r>
        <w:t xml:space="preserve"> </w:t>
      </w:r>
      <w:r>
        <w:t xml:space="preserve">claims checked by measurement, which in two cases corrected the project itself.</w:t>
      </w:r>
    </w:p>
    <w:bookmarkStart w:id="520"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 an embedding during a provider outage, for instance —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 though no</w:t>
      </w:r>
      <w:r>
        <w:t xml:space="preserve"> </w:t>
      </w:r>
      <w:r>
        <w:t xml:space="preserve">critical —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20"/>
    <w:bookmarkStart w:id="521"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 contrast tokens and accessible names on icon</w:t>
      </w:r>
      <w:r>
        <w:t xml:space="preserve"> </w:t>
      </w:r>
      <w:r>
        <w:t xml:space="preserve">links —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21"/>
    <w:bookmarkEnd w:id="522"/>
    <w:bookmarkStart w:id="611" w:name="references"/>
    <w:p>
      <w:pPr>
        <w:sectPr>
          <w:footnotePr>
            <w:numRestart w:val="eachSect"/>
          </w:footnotePr>
        </w:sectPr>
      </w:pPr>
    </w:p>
    <w:p>
      <w:pPr>
        <w:pStyle w:val="Heading1"/>
      </w:pPr>
      <w:r>
        <w:t xml:space="preserve">References</w:t>
      </w:r>
    </w:p>
    <w:bookmarkStart w:id="610" w:name="refs"/>
    <w:bookmarkStart w:id="524"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23">
        <w:r>
          <w:rPr>
            <w:rStyle w:val="Hyperlink"/>
          </w:rPr>
          <w:t xml:space="preserve">https://www.goldmansachs.com/insights/articles/the-creator-economy-could-approach-half-a-trillion-dollars-by-2027</w:t>
        </w:r>
      </w:hyperlink>
    </w:p>
    <w:bookmarkEnd w:id="524"/>
    <w:bookmarkStart w:id="526"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25">
        <w:r>
          <w:rPr>
            <w:rStyle w:val="Hyperlink"/>
          </w:rPr>
          <w:t xml:space="preserve">https://www.grammarly.com/ai</w:t>
        </w:r>
      </w:hyperlink>
    </w:p>
    <w:bookmarkEnd w:id="526"/>
    <w:bookmarkStart w:id="528"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27">
        <w:r>
          <w:rPr>
            <w:rStyle w:val="Hyperlink"/>
          </w:rPr>
          <w:t xml:space="preserve">https://www.notion.com/product/ai</w:t>
        </w:r>
      </w:hyperlink>
    </w:p>
    <w:bookmarkEnd w:id="528"/>
    <w:bookmarkStart w:id="530"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29">
        <w:r>
          <w:rPr>
            <w:rStyle w:val="Hyperlink"/>
          </w:rPr>
          <w:t xml:space="preserve">https://www.beehiiv.com/features/artificial-intelligence</w:t>
        </w:r>
      </w:hyperlink>
    </w:p>
    <w:bookmarkEnd w:id="530"/>
    <w:bookmarkStart w:id="532"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31">
        <w:r>
          <w:rPr>
            <w:rStyle w:val="Hyperlink"/>
          </w:rPr>
          <w:t xml:space="preserve">https://help.medium.com/hc/en-us/articles/360036691193</w:t>
        </w:r>
      </w:hyperlink>
    </w:p>
    <w:bookmarkEnd w:id="532"/>
    <w:bookmarkStart w:id="534"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33">
        <w:r>
          <w:rPr>
            <w:rStyle w:val="Hyperlink"/>
          </w:rPr>
          <w:t xml:space="preserve">https://substack.com/about</w:t>
        </w:r>
      </w:hyperlink>
    </w:p>
    <w:bookmarkEnd w:id="534"/>
    <w:bookmarkStart w:id="536"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35">
        <w:r>
          <w:rPr>
            <w:rStyle w:val="Hyperlink"/>
          </w:rPr>
          <w:t xml:space="preserve">https://ghost.org/features/</w:t>
        </w:r>
      </w:hyperlink>
    </w:p>
    <w:bookmarkEnd w:id="536"/>
    <w:bookmarkStart w:id="538"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37">
        <w:r>
          <w:rPr>
            <w:rStyle w:val="Hyperlink"/>
          </w:rPr>
          <w:t xml:space="preserve">https://contently.com</w:t>
        </w:r>
      </w:hyperlink>
    </w:p>
    <w:bookmarkEnd w:id="538"/>
    <w:bookmarkStart w:id="540"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39">
        <w:r>
          <w:rPr>
            <w:rStyle w:val="Hyperlink"/>
          </w:rPr>
          <w:t xml:space="preserve">https://www.upwork.com/hire/writers/</w:t>
        </w:r>
      </w:hyperlink>
    </w:p>
    <w:bookmarkEnd w:id="540"/>
    <w:bookmarkStart w:id="542"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41">
        <w:r>
          <w:rPr>
            <w:rStyle w:val="Hyperlink"/>
          </w:rPr>
          <w:t xml:space="preserve">https://blog.google/technology/ai/notebooklm-goes-global-support-for-websites-slides-fact-check/</w:t>
        </w:r>
      </w:hyperlink>
    </w:p>
    <w:bookmarkEnd w:id="542"/>
    <w:bookmarkStart w:id="544"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43">
        <w:r>
          <w:rPr>
            <w:rStyle w:val="Hyperlink"/>
          </w:rPr>
          <w:t xml:space="preserve">https://help.openai.com/en/articles/8555545-file-uploads-faq</w:t>
        </w:r>
      </w:hyperlink>
    </w:p>
    <w:bookmarkEnd w:id="544"/>
    <w:bookmarkStart w:id="546"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45">
        <w:r>
          <w:rPr>
            <w:rStyle w:val="Hyperlink"/>
          </w:rPr>
          <w:t xml:space="preserve">https://www.perplexity.ai/help-center/en/articles/10352961-what-are-spaces</w:t>
        </w:r>
      </w:hyperlink>
    </w:p>
    <w:bookmarkEnd w:id="546"/>
    <w:bookmarkStart w:id="547"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47"/>
    <w:bookmarkStart w:id="549"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48">
        <w:r>
          <w:rPr>
            <w:rStyle w:val="Hyperlink"/>
          </w:rPr>
          <w:t xml:space="preserve">https://agilemanifesto.org</w:t>
        </w:r>
      </w:hyperlink>
    </w:p>
    <w:bookmarkEnd w:id="549"/>
    <w:bookmarkStart w:id="550"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50"/>
    <w:bookmarkStart w:id="552"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51">
        <w:r>
          <w:rPr>
            <w:rStyle w:val="Hyperlink"/>
          </w:rPr>
          <w:t xml:space="preserve">https://scrumguides.org/scrum-guide.html</w:t>
        </w:r>
      </w:hyperlink>
    </w:p>
    <w:bookmarkEnd w:id="552"/>
    <w:bookmarkStart w:id="554"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53">
        <w:r>
          <w:rPr>
            <w:rStyle w:val="Hyperlink"/>
          </w:rPr>
          <w:t xml:space="preserve">https://www.agilebusiness.org/dsdm-project-framework/moscow-prioririsation.html</w:t>
        </w:r>
      </w:hyperlink>
    </w:p>
    <w:bookmarkEnd w:id="554"/>
    <w:bookmarkStart w:id="555"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55"/>
    <w:bookmarkStart w:id="557"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56">
        <w:r>
          <w:rPr>
            <w:rStyle w:val="Hyperlink"/>
          </w:rPr>
          <w:t xml:space="preserve">https://www.omg.org/spec/UML/2.5.1</w:t>
        </w:r>
      </w:hyperlink>
    </w:p>
    <w:bookmarkEnd w:id="557"/>
    <w:bookmarkStart w:id="559"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58">
        <w:r>
          <w:rPr>
            <w:rStyle w:val="Hyperlink"/>
          </w:rPr>
          <w:t xml:space="preserve">https://cheatsheetseries.owasp.org/cheatsheets/Password_Storage_Cheat_Sheet.html</w:t>
        </w:r>
      </w:hyperlink>
    </w:p>
    <w:bookmarkEnd w:id="559"/>
    <w:bookmarkStart w:id="561"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60">
        <w:r>
          <w:rPr>
            <w:rStyle w:val="Hyperlink"/>
          </w:rPr>
          <w:t xml:space="preserve">10.17487/RFC7519</w:t>
        </w:r>
      </w:hyperlink>
      <w:r>
        <w:t xml:space="preserve">.</w:t>
      </w:r>
    </w:p>
    <w:bookmarkEnd w:id="561"/>
    <w:bookmarkStart w:id="563"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62">
        <w:r>
          <w:rPr>
            <w:rStyle w:val="Hyperlink"/>
          </w:rPr>
          <w:t xml:space="preserve">10.1109/TPAMI.2018.2889473</w:t>
        </w:r>
      </w:hyperlink>
      <w:r>
        <w:t xml:space="preserve">.</w:t>
      </w:r>
    </w:p>
    <w:bookmarkEnd w:id="563"/>
    <w:bookmarkStart w:id="565"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64">
        <w:r>
          <w:rPr>
            <w:rStyle w:val="Hyperlink"/>
          </w:rPr>
          <w:t xml:space="preserve">https://www.postgresql.org/docs/16/textsearch.html</w:t>
        </w:r>
      </w:hyperlink>
    </w:p>
    <w:bookmarkEnd w:id="565"/>
    <w:bookmarkStart w:id="567"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66">
        <w:r>
          <w:rPr>
            <w:rStyle w:val="Hyperlink"/>
          </w:rPr>
          <w:t xml:space="preserve">https://docs.docker.com/compose/</w:t>
        </w:r>
      </w:hyperlink>
    </w:p>
    <w:bookmarkEnd w:id="567"/>
    <w:bookmarkStart w:id="569"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68">
        <w:r>
          <w:rPr>
            <w:rStyle w:val="Hyperlink"/>
          </w:rPr>
          <w:t xml:space="preserve">https://playwright.dev/docs/intro</w:t>
        </w:r>
      </w:hyperlink>
    </w:p>
    <w:bookmarkEnd w:id="569"/>
    <w:bookmarkStart w:id="571"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70">
        <w:r>
          <w:rPr>
            <w:rStyle w:val="Hyperlink"/>
          </w:rPr>
          <w:t xml:space="preserve">https://nextjs.org/docs</w:t>
        </w:r>
      </w:hyperlink>
    </w:p>
    <w:bookmarkEnd w:id="571"/>
    <w:bookmarkStart w:id="573"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72">
        <w:r>
          <w:rPr>
            <w:rStyle w:val="Hyperlink"/>
          </w:rPr>
          <w:t xml:space="preserve">https://2024.stateofjs.com/en-US/libraries/</w:t>
        </w:r>
      </w:hyperlink>
    </w:p>
    <w:bookmarkEnd w:id="573"/>
    <w:bookmarkStart w:id="575"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74">
        <w:r>
          <w:rPr>
            <w:rStyle w:val="Hyperlink"/>
          </w:rPr>
          <w:t xml:space="preserve">https://tiptap.dev/docs</w:t>
        </w:r>
      </w:hyperlink>
    </w:p>
    <w:bookmarkEnd w:id="575"/>
    <w:bookmarkStart w:id="577"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76">
        <w:r>
          <w:rPr>
            <w:rStyle w:val="Hyperlink"/>
          </w:rPr>
          <w:t xml:space="preserve">https://ai-sdk.dev/docs</w:t>
        </w:r>
      </w:hyperlink>
    </w:p>
    <w:bookmarkEnd w:id="577"/>
    <w:bookmarkStart w:id="579"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78">
        <w:r>
          <w:rPr>
            <w:rStyle w:val="Hyperlink"/>
          </w:rPr>
          <w:t xml:space="preserve">https://docs.nestjs.com</w:t>
        </w:r>
      </w:hyperlink>
    </w:p>
    <w:bookmarkEnd w:id="579"/>
    <w:bookmarkStart w:id="581"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580">
        <w:r>
          <w:rPr>
            <w:rStyle w:val="Hyperlink"/>
          </w:rPr>
          <w:t xml:space="preserve">https://www.techempower.com/benchmarks/</w:t>
        </w:r>
      </w:hyperlink>
    </w:p>
    <w:bookmarkEnd w:id="581"/>
    <w:bookmarkStart w:id="583"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582">
        <w:r>
          <w:rPr>
            <w:rStyle w:val="Hyperlink"/>
          </w:rPr>
          <w:t xml:space="preserve">https://github.com/pgvector/pgvector</w:t>
        </w:r>
      </w:hyperlink>
    </w:p>
    <w:bookmarkEnd w:id="583"/>
    <w:bookmarkStart w:id="585"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584">
        <w:r>
          <w:rPr>
            <w:rStyle w:val="Hyperlink"/>
          </w:rPr>
          <w:t xml:space="preserve">10.1016/j.is.2019.02.006</w:t>
        </w:r>
      </w:hyperlink>
      <w:r>
        <w:t xml:space="preserve">.</w:t>
      </w:r>
    </w:p>
    <w:bookmarkEnd w:id="585"/>
    <w:bookmarkStart w:id="587"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586">
        <w:r>
          <w:rPr>
            <w:rStyle w:val="Hyperlink"/>
          </w:rPr>
          <w:t xml:space="preserve">https://orm.drizzle.team/docs/overview</w:t>
        </w:r>
      </w:hyperlink>
    </w:p>
    <w:bookmarkEnd w:id="587"/>
    <w:bookmarkStart w:id="589"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588">
        <w:r>
          <w:rPr>
            <w:rStyle w:val="Hyperlink"/>
          </w:rPr>
          <w:t xml:space="preserve">https://docs.bullmq.io</w:t>
        </w:r>
      </w:hyperlink>
    </w:p>
    <w:bookmarkEnd w:id="589"/>
    <w:bookmarkStart w:id="591"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590">
        <w:r>
          <w:rPr>
            <w:rStyle w:val="Hyperlink"/>
          </w:rPr>
          <w:t xml:space="preserve">10.17487/RFC6749</w:t>
        </w:r>
      </w:hyperlink>
      <w:r>
        <w:t xml:space="preserve">.</w:t>
      </w:r>
    </w:p>
    <w:bookmarkEnd w:id="591"/>
    <w:bookmarkStart w:id="593"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592">
        <w:r>
          <w:rPr>
            <w:rStyle w:val="Hyperlink"/>
          </w:rPr>
          <w:t xml:space="preserve">https://console.groq.com/docs/models</w:t>
        </w:r>
      </w:hyperlink>
    </w:p>
    <w:bookmarkEnd w:id="593"/>
    <w:bookmarkStart w:id="595"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594">
        <w:r>
          <w:rPr>
            <w:rStyle w:val="Hyperlink"/>
          </w:rPr>
          <w:t xml:space="preserve">https://ai.google.dev/gemini-api/docs/embeddings</w:t>
        </w:r>
      </w:hyperlink>
    </w:p>
    <w:bookmarkEnd w:id="595"/>
    <w:bookmarkStart w:id="597"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596">
        <w:r>
          <w:rPr>
            <w:rStyle w:val="Hyperlink"/>
          </w:rPr>
          <w:t xml:space="preserve">10.1145/1571941.1572114</w:t>
        </w:r>
      </w:hyperlink>
      <w:r>
        <w:t xml:space="preserve">.</w:t>
      </w:r>
    </w:p>
    <w:bookmarkEnd w:id="597"/>
    <w:bookmarkStart w:id="598"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598"/>
    <w:bookmarkStart w:id="599"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599"/>
    <w:bookmarkStart w:id="600"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00"/>
    <w:bookmarkStart w:id="601"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01"/>
    <w:bookmarkStart w:id="603"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02">
        <w:r>
          <w:rPr>
            <w:rStyle w:val="Hyperlink"/>
          </w:rPr>
          <w:t xml:space="preserve">10.1145/582415.582418</w:t>
        </w:r>
      </w:hyperlink>
      <w:r>
        <w:t xml:space="preserve">.</w:t>
      </w:r>
    </w:p>
    <w:bookmarkEnd w:id="603"/>
    <w:bookmarkStart w:id="605"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04">
        <w:r>
          <w:rPr>
            <w:rStyle w:val="Hyperlink"/>
          </w:rPr>
          <w:t xml:space="preserve">https://developer.chrome.com/docs/lighthouse/overview</w:t>
        </w:r>
      </w:hyperlink>
    </w:p>
    <w:bookmarkEnd w:id="605"/>
    <w:bookmarkStart w:id="607"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06">
        <w:r>
          <w:rPr>
            <w:rStyle w:val="Hyperlink"/>
          </w:rPr>
          <w:t xml:space="preserve">https://github.com/dequelabs/axe-core</w:t>
        </w:r>
      </w:hyperlink>
    </w:p>
    <w:bookmarkEnd w:id="607"/>
    <w:bookmarkStart w:id="609"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08">
        <w:r>
          <w:rPr>
            <w:rStyle w:val="Hyperlink"/>
          </w:rPr>
          <w:t xml:space="preserve">https://www.w3.org/TR/WCAG22/</w:t>
        </w:r>
      </w:hyperlink>
    </w:p>
    <w:bookmarkEnd w:id="609"/>
    <w:bookmarkEnd w:id="610"/>
    <w:bookmarkEnd w:id="611"/>
    <w:bookmarkStart w:id="618"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12" w:name="tbl:fr-visitor"/>
    <w:p>
      <w:pPr>
        <w:pStyle w:val="TableCaption"/>
      </w:pPr>
      <w:r>
        <w:t xml:space="preserve">Table 8.1– Functional requirements — visitor</w:t>
      </w:r>
    </w:p>
    <w:tbl>
      <w:tblPr>
        <w:tblStyle w:val="Table"/>
        <w:tblW w:type="pct" w:w="5000"/>
        <w:tblLayout w:type="fixed"/>
        <w:tblLook w:firstRow="1" w:lastRow="0" w:firstColumn="0" w:lastColumn="0" w:noHBand="0" w:noVBand="0" w:val="0020"/>
        <w:tblCaption w:val="Table 8.1– Functional requirements —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 name, bio, counts and a follow control for a writer; logo, description and founding date for a magazine — without leaving the page</w:t>
            </w:r>
          </w:p>
        </w:tc>
        <w:tc>
          <w:tcPr/>
          <w:p>
            <w:pPr>
              <w:pStyle w:val="Compact"/>
              <w:jc w:val="left"/>
            </w:pPr>
            <w:r>
              <w:t xml:space="preserve">Should</w:t>
            </w:r>
          </w:p>
        </w:tc>
        <w:tc>
          <w:tcPr/>
          <w:p>
            <w:pPr>
              <w:pStyle w:val="Compact"/>
              <w:jc w:val="left"/>
            </w:pPr>
            <w:r>
              <w:t xml:space="preserve">8</w:t>
            </w:r>
          </w:p>
        </w:tc>
      </w:tr>
    </w:tbl>
    <w:bookmarkEnd w:id="612"/>
    <w:bookmarkStart w:id="613" w:name="tbl:fr-readers"/>
    <w:p>
      <w:pPr>
        <w:pStyle w:val="TableCaption"/>
      </w:pPr>
      <w:r>
        <w:t xml:space="preserve">Table 8.2– Functional requirements — free and premium reader</w:t>
      </w:r>
    </w:p>
    <w:tbl>
      <w:tblPr>
        <w:tblStyle w:val="Table"/>
        <w:tblW w:type="pct" w:w="5000"/>
        <w:tblLayout w:type="fixed"/>
        <w:tblLook w:firstRow="1" w:lastRow="0" w:firstColumn="0" w:lastColumn="0" w:noHBand="0" w:noVBand="0" w:val="0020"/>
        <w:tblCaption w:val="Table 8.2– Functional requirements — free and premium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(A3 only)</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(A3 only)</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13"/>
    <w:bookmarkStart w:id="614" w:name="tbl:fr-writers"/>
    <w:p>
      <w:pPr>
        <w:pStyle w:val="TableCaption"/>
      </w:pPr>
      <w:r>
        <w:t xml:space="preserve">Table 8.3– Functional requirements — writer and eligible writer</w:t>
      </w:r>
    </w:p>
    <w:tbl>
      <w:tblPr>
        <w:tblStyle w:val="Table"/>
        <w:tblW w:type="pct" w:w="5000"/>
        <w:tblLayout w:type="fixed"/>
        <w:tblLook w:firstRow="1" w:lastRow="0" w:firstColumn="0" w:lastColumn="0" w:noHBand="0" w:noVBand="0" w:val="0020"/>
        <w:tblCaption w:val="Table 8.3– Functional requirements — writer and eligible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(A5 only)</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(A5 only)</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14"/>
    <w:bookmarkStart w:id="615" w:name="tbl:fr-magazines"/>
    <w:p>
      <w:pPr>
        <w:pStyle w:val="TableCaption"/>
      </w:pPr>
      <w:r>
        <w:t xml:space="preserve">Table 8.4– Functional requirements — magazine</w:t>
      </w:r>
    </w:p>
    <w:tbl>
      <w:tblPr>
        <w:tblStyle w:val="Table"/>
        <w:tblW w:type="pct" w:w="5000"/>
        <w:tblLayout w:type="fixed"/>
        <w:tblLook w:firstRow="1" w:lastRow="0" w:firstColumn="0" w:lastColumn="0" w:noHBand="0" w:noVBand="0" w:val="0020"/>
        <w:tblCaption w:val="Table 8.4– Functional requirements —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(A6)</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15"/>
    <w:bookmarkStart w:id="616" w:name="tbl:fr-administrator"/>
    <w:p>
      <w:pPr>
        <w:pStyle w:val="TableCaption"/>
      </w:pPr>
      <w:r>
        <w:t xml:space="preserve">Table 8.5– Functional requirements — administrator</w:t>
      </w:r>
    </w:p>
    <w:tbl>
      <w:tblPr>
        <w:tblStyle w:val="Table"/>
        <w:tblW w:type="pct" w:w="5000"/>
        <w:tblLayout w:type="fixed"/>
        <w:tblLook w:firstRow="1" w:lastRow="0" w:firstColumn="0" w:lastColumn="0" w:noHBand="0" w:noVBand="0" w:val="0020"/>
        <w:tblCaption w:val="Table 8.5– Functional requirements —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16"/>
    <w:bookmarkStart w:id="617" w:name="tbl:fr-cross-cutting"/>
    <w:p>
      <w:pPr>
        <w:pStyle w:val="TableCaption"/>
      </w:pPr>
      <w:r>
        <w:t xml:space="preserve">Table 8.6– Functional requirements — cross-cutting</w:t>
      </w:r>
    </w:p>
    <w:tbl>
      <w:tblPr>
        <w:tblStyle w:val="Table"/>
        <w:tblW w:type="pct" w:w="5000"/>
        <w:tblLayout w:type="fixed"/>
        <w:tblLook w:firstRow="1" w:lastRow="0" w:firstColumn="0" w:lastColumn="0" w:noHBand="0" w:noVBand="0" w:val="0020"/>
        <w:tblCaption w:val="Table 8.6– Functional requirements —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17"/>
    <w:bookmarkEnd w:id="618"/>
    <w:bookmarkStart w:id="619"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A4</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 — so that a slow step is not a frozen screen</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 and mute it when I would rather not</w:t>
            </w:r>
          </w:p>
        </w:tc>
        <w:tc>
          <w:tcPr/>
          <w:p>
            <w:pPr>
              <w:pStyle w:val="Compact"/>
              <w:jc w:val="left"/>
            </w:pPr>
            <w:r>
              <w:t xml:space="preserve">A4</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A7</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A7</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A6</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A7</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A7</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A7</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A7</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A7</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A7</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A7</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A8</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A8</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A8</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A8</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63" Target="media/rId163.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72" Target="media/rId272.png" /><Relationship Type="http://schemas.openxmlformats.org/officeDocument/2006/relationships/image" Id="rId259" Target="media/rId259.png" /><Relationship Type="http://schemas.openxmlformats.org/officeDocument/2006/relationships/image" Id="rId264" Target="media/rId264.png" /><Relationship Type="http://schemas.openxmlformats.org/officeDocument/2006/relationships/image" Id="rId276" Target="media/rId276.png" /><Relationship Type="http://schemas.openxmlformats.org/officeDocument/2006/relationships/image" Id="rId268" Target="media/rId268.png" /><Relationship Type="http://schemas.openxmlformats.org/officeDocument/2006/relationships/image" Id="rId222" Target="media/rId222.png" /><Relationship Type="http://schemas.openxmlformats.org/officeDocument/2006/relationships/image" Id="rId296" Target="media/rId296.png" /><Relationship Type="http://schemas.openxmlformats.org/officeDocument/2006/relationships/image" Id="rId302" Target="media/rId302.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18" Target="media/rId318.png" /><Relationship Type="http://schemas.openxmlformats.org/officeDocument/2006/relationships/image" Id="rId392" Target="media/rId392.png" /><Relationship Type="http://schemas.openxmlformats.org/officeDocument/2006/relationships/image" Id="rId322" Target="media/rId322.png" /><Relationship Type="http://schemas.openxmlformats.org/officeDocument/2006/relationships/image" Id="rId405" Target="media/rId405.png" /><Relationship Type="http://schemas.openxmlformats.org/officeDocument/2006/relationships/image" Id="rId410" Target="media/rId410.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444" Target="media/rId444.png" /><Relationship Type="http://schemas.openxmlformats.org/officeDocument/2006/relationships/image" Id="rId448" Target="media/rId448.png" /><Relationship Type="http://schemas.openxmlformats.org/officeDocument/2006/relationships/image" Id="rId473" Target="media/rId473.png" /><Relationship Type="http://schemas.openxmlformats.org/officeDocument/2006/relationships/image" Id="rId478" Target="media/rId478.png" /><Relationship Type="http://schemas.openxmlformats.org/officeDocument/2006/relationships/image" Id="rId482" Target="media/rId482.png" /><Relationship Type="http://schemas.openxmlformats.org/officeDocument/2006/relationships/image" Id="rId375" Target="media/rId375.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327" Target="media/rId327.png" /><Relationship Type="http://schemas.openxmlformats.org/officeDocument/2006/relationships/image" Id="rId247" Target="media/rId247.png" /><Relationship Type="http://schemas.openxmlformats.org/officeDocument/2006/relationships/image" Id="rId363" Target="media/rId363.png" /><Relationship Type="http://schemas.openxmlformats.org/officeDocument/2006/relationships/image" Id="rId281" Target="media/rId281.png" /><Relationship Type="http://schemas.openxmlformats.org/officeDocument/2006/relationships/image" Id="rId359" Target="media/rId359.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47" Target="media/rId347.png" /><Relationship Type="http://schemas.openxmlformats.org/officeDocument/2006/relationships/image" Id="rId351" Target="media/rId351.png" /><Relationship Type="http://schemas.openxmlformats.org/officeDocument/2006/relationships/image" Id="rId335" Target="media/rId335.png" /><Relationship Type="http://schemas.openxmlformats.org/officeDocument/2006/relationships/image" Id="rId251" Target="media/rId251.png" /><Relationship Type="http://schemas.openxmlformats.org/officeDocument/2006/relationships/image" Id="rId285" Target="media/rId285.png" /><Relationship Type="http://schemas.openxmlformats.org/officeDocument/2006/relationships/image" Id="rId355" Target="media/rId355.png" /><Relationship Type="http://schemas.openxmlformats.org/officeDocument/2006/relationships/image" Id="rId227" Target="media/rId227.png" /><Relationship Type="http://schemas.openxmlformats.org/officeDocument/2006/relationships/image" Id="rId331" Target="media/rId331.png" /><Relationship Type="http://schemas.openxmlformats.org/officeDocument/2006/relationships/image" Id="rId155" Target="media/rId155.png" /><Relationship Type="http://schemas.openxmlformats.org/officeDocument/2006/relationships/image" Id="rId415" Target="media/rId415.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53" Target="media/rId453.png" /><Relationship Type="http://schemas.openxmlformats.org/officeDocument/2006/relationships/image" Id="rId235" Target="media/rId235.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367" Target="media/rId367.png" /><Relationship Type="http://schemas.openxmlformats.org/officeDocument/2006/relationships/image" Id="rId243" Target="media/rId243.png" /><Relationship Type="http://schemas.openxmlformats.org/officeDocument/2006/relationships/image" Id="rId371" Target="media/rId371.png" /><Relationship Type="http://schemas.openxmlformats.org/officeDocument/2006/relationships/image" Id="rId231" Target="media/rId231.png" /><Relationship Type="http://schemas.openxmlformats.org/officeDocument/2006/relationships/image" Id="rId239" Target="media/rId239.png" /><Relationship Type="http://schemas.openxmlformats.org/officeDocument/2006/relationships/image" Id="rId457" Target="media/rId457.png" /><Relationship Type="http://schemas.openxmlformats.org/officeDocument/2006/relationships/image" Id="rId461" Target="media/rId461.png" /><Relationship Type="http://schemas.openxmlformats.org/officeDocument/2006/relationships/image" Id="rId487" Target="media/rId487.png" /><Relationship Type="http://schemas.openxmlformats.org/officeDocument/2006/relationships/image" Id="rId491" Target="media/rId491.png" /><Relationship Type="http://schemas.openxmlformats.org/officeDocument/2006/relationships/image" Id="rId495" Target="media/rId495.png" /><Relationship Type="http://schemas.openxmlformats.org/officeDocument/2006/relationships/image" Id="rId465" Target="media/rId465.png" /><Relationship Type="http://schemas.openxmlformats.org/officeDocument/2006/relationships/hyperlink" Id="rId572" Target="https://2024.stateofjs.com/en-US/libraries/" TargetMode="External" /><Relationship Type="http://schemas.openxmlformats.org/officeDocument/2006/relationships/hyperlink" Id="rId548" Target="https://agilemanifesto.org" TargetMode="External" /><Relationship Type="http://schemas.openxmlformats.org/officeDocument/2006/relationships/hyperlink" Id="rId576" Target="https://ai-sdk.dev/docs" TargetMode="External" /><Relationship Type="http://schemas.openxmlformats.org/officeDocument/2006/relationships/hyperlink" Id="rId594" Target="https://ai.google.dev/gemini-api/docs/embeddings" TargetMode="External" /><Relationship Type="http://schemas.openxmlformats.org/officeDocument/2006/relationships/hyperlink" Id="rId541" Target="https://blog.google/technology/ai/notebooklm-goes-global-support-for-websites-slides-fact-check/" TargetMode="External" /><Relationship Type="http://schemas.openxmlformats.org/officeDocument/2006/relationships/hyperlink" Id="rId558" Target="https://cheatsheetseries.owasp.org/cheatsheets/Password_Storage_Cheat_Sheet.html" TargetMode="External" /><Relationship Type="http://schemas.openxmlformats.org/officeDocument/2006/relationships/hyperlink" Id="rId592" Target="https://console.groq.com/docs/models" TargetMode="External" /><Relationship Type="http://schemas.openxmlformats.org/officeDocument/2006/relationships/hyperlink" Id="rId537" Target="https://contently.com" TargetMode="External" /><Relationship Type="http://schemas.openxmlformats.org/officeDocument/2006/relationships/hyperlink" Id="rId604" Target="https://developer.chrome.com/docs/lighthouse/overview" TargetMode="External" /><Relationship Type="http://schemas.openxmlformats.org/officeDocument/2006/relationships/hyperlink" Id="rId588" Target="https://docs.bullmq.io" TargetMode="External" /><Relationship Type="http://schemas.openxmlformats.org/officeDocument/2006/relationships/hyperlink" Id="rId566" Target="https://docs.docker.com/compose/" TargetMode="External" /><Relationship Type="http://schemas.openxmlformats.org/officeDocument/2006/relationships/hyperlink" Id="rId578" Target="https://docs.nestjs.com" TargetMode="External" /><Relationship Type="http://schemas.openxmlformats.org/officeDocument/2006/relationships/hyperlink" Id="rId584" Target="https://doi.org/10.1016/j.is.2019.02.006" TargetMode="External" /><Relationship Type="http://schemas.openxmlformats.org/officeDocument/2006/relationships/hyperlink" Id="rId562" Target="https://doi.org/10.1109/TPAMI.2018.2889473" TargetMode="External" /><Relationship Type="http://schemas.openxmlformats.org/officeDocument/2006/relationships/hyperlink" Id="rId596" Target="https://doi.org/10.1145/1571941.1572114" TargetMode="External" /><Relationship Type="http://schemas.openxmlformats.org/officeDocument/2006/relationships/hyperlink" Id="rId602" Target="https://doi.org/10.1145/582415.582418" TargetMode="External" /><Relationship Type="http://schemas.openxmlformats.org/officeDocument/2006/relationships/hyperlink" Id="rId590" Target="https://doi.org/10.17487/RFC6749" TargetMode="External" /><Relationship Type="http://schemas.openxmlformats.org/officeDocument/2006/relationships/hyperlink" Id="rId560" Target="https://doi.org/10.17487/RFC7519" TargetMode="External" /><Relationship Type="http://schemas.openxmlformats.org/officeDocument/2006/relationships/hyperlink" Id="rId535" Target="https://ghost.org/features/" TargetMode="External" /><Relationship Type="http://schemas.openxmlformats.org/officeDocument/2006/relationships/hyperlink" Id="rId606" Target="https://github.com/dequelabs/axe-core" TargetMode="External" /><Relationship Type="http://schemas.openxmlformats.org/officeDocument/2006/relationships/hyperlink" Id="rId582" Target="https://github.com/pgvector/pgvector" TargetMode="External" /><Relationship Type="http://schemas.openxmlformats.org/officeDocument/2006/relationships/hyperlink" Id="rId531" Target="https://help.medium.com/hc/en-us/articles/360036691193" TargetMode="External" /><Relationship Type="http://schemas.openxmlformats.org/officeDocument/2006/relationships/hyperlink" Id="rId543" Target="https://help.openai.com/en/articles/8555545-file-uploads-faq" TargetMode="External" /><Relationship Type="http://schemas.openxmlformats.org/officeDocument/2006/relationships/hyperlink" Id="rId570" Target="https://nextjs.org/docs" TargetMode="External" /><Relationship Type="http://schemas.openxmlformats.org/officeDocument/2006/relationships/hyperlink" Id="rId586" Target="https://orm.drizzle.team/docs/overview" TargetMode="External" /><Relationship Type="http://schemas.openxmlformats.org/officeDocument/2006/relationships/hyperlink" Id="rId568" Target="https://playwright.dev/docs/intro" TargetMode="External" /><Relationship Type="http://schemas.openxmlformats.org/officeDocument/2006/relationships/hyperlink" Id="rId551" Target="https://scrumguides.org/scrum-guide.html" TargetMode="External" /><Relationship Type="http://schemas.openxmlformats.org/officeDocument/2006/relationships/hyperlink" Id="rId533" Target="https://substack.com/about" TargetMode="External" /><Relationship Type="http://schemas.openxmlformats.org/officeDocument/2006/relationships/hyperlink" Id="rId574" Target="https://tiptap.dev/docs" TargetMode="External" /><Relationship Type="http://schemas.openxmlformats.org/officeDocument/2006/relationships/hyperlink" Id="rId553" Target="https://www.agilebusiness.org/dsdm-project-framework/moscow-prioririsation.html" TargetMode="External" /><Relationship Type="http://schemas.openxmlformats.org/officeDocument/2006/relationships/hyperlink" Id="rId529" Target="https://www.beehiiv.com/features/artificial-intelligence" TargetMode="External" /><Relationship Type="http://schemas.openxmlformats.org/officeDocument/2006/relationships/hyperlink" Id="rId523" Target="https://www.goldmansachs.com/insights/articles/the-creator-economy-could-approach-half-a-trillion-dollars-by-2027" TargetMode="External" /><Relationship Type="http://schemas.openxmlformats.org/officeDocument/2006/relationships/hyperlink" Id="rId525" Target="https://www.grammarly.com/ai" TargetMode="External" /><Relationship Type="http://schemas.openxmlformats.org/officeDocument/2006/relationships/hyperlink" Id="rId527" Target="https://www.notion.com/product/ai" TargetMode="External" /><Relationship Type="http://schemas.openxmlformats.org/officeDocument/2006/relationships/hyperlink" Id="rId556" Target="https://www.omg.org/spec/UML/2.5.1" TargetMode="External" /><Relationship Type="http://schemas.openxmlformats.org/officeDocument/2006/relationships/hyperlink" Id="rId545" Target="https://www.perplexity.ai/help-center/en/articles/10352961-what-are-spaces" TargetMode="External" /><Relationship Type="http://schemas.openxmlformats.org/officeDocument/2006/relationships/hyperlink" Id="rId564" Target="https://www.postgresql.org/docs/16/textsearch.html" TargetMode="External" /><Relationship Type="http://schemas.openxmlformats.org/officeDocument/2006/relationships/hyperlink" Id="rId580" Target="https://www.techempower.com/benchmarks/" TargetMode="External" /><Relationship Type="http://schemas.openxmlformats.org/officeDocument/2006/relationships/hyperlink" Id="rId539" Target="https://www.upwork.com/hire/writers/" TargetMode="External" /><Relationship Type="http://schemas.openxmlformats.org/officeDocument/2006/relationships/hyperlink" Id="rId608"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72" Target="https://2024.stateofjs.com/en-US/libraries/" TargetMode="External" /><Relationship Type="http://schemas.openxmlformats.org/officeDocument/2006/relationships/hyperlink" Id="rId548" Target="https://agilemanifesto.org" TargetMode="External" /><Relationship Type="http://schemas.openxmlformats.org/officeDocument/2006/relationships/hyperlink" Id="rId576" Target="https://ai-sdk.dev/docs" TargetMode="External" /><Relationship Type="http://schemas.openxmlformats.org/officeDocument/2006/relationships/hyperlink" Id="rId594" Target="https://ai.google.dev/gemini-api/docs/embeddings" TargetMode="External" /><Relationship Type="http://schemas.openxmlformats.org/officeDocument/2006/relationships/hyperlink" Id="rId541" Target="https://blog.google/technology/ai/notebooklm-goes-global-support-for-websites-slides-fact-check/" TargetMode="External" /><Relationship Type="http://schemas.openxmlformats.org/officeDocument/2006/relationships/hyperlink" Id="rId558" Target="https://cheatsheetseries.owasp.org/cheatsheets/Password_Storage_Cheat_Sheet.html" TargetMode="External" /><Relationship Type="http://schemas.openxmlformats.org/officeDocument/2006/relationships/hyperlink" Id="rId592" Target="https://console.groq.com/docs/models" TargetMode="External" /><Relationship Type="http://schemas.openxmlformats.org/officeDocument/2006/relationships/hyperlink" Id="rId537" Target="https://contently.com" TargetMode="External" /><Relationship Type="http://schemas.openxmlformats.org/officeDocument/2006/relationships/hyperlink" Id="rId604" Target="https://developer.chrome.com/docs/lighthouse/overview" TargetMode="External" /><Relationship Type="http://schemas.openxmlformats.org/officeDocument/2006/relationships/hyperlink" Id="rId588" Target="https://docs.bullmq.io" TargetMode="External" /><Relationship Type="http://schemas.openxmlformats.org/officeDocument/2006/relationships/hyperlink" Id="rId566" Target="https://docs.docker.com/compose/" TargetMode="External" /><Relationship Type="http://schemas.openxmlformats.org/officeDocument/2006/relationships/hyperlink" Id="rId578" Target="https://docs.nestjs.com" TargetMode="External" /><Relationship Type="http://schemas.openxmlformats.org/officeDocument/2006/relationships/hyperlink" Id="rId584" Target="https://doi.org/10.1016/j.is.2019.02.006" TargetMode="External" /><Relationship Type="http://schemas.openxmlformats.org/officeDocument/2006/relationships/hyperlink" Id="rId562" Target="https://doi.org/10.1109/TPAMI.2018.2889473" TargetMode="External" /><Relationship Type="http://schemas.openxmlformats.org/officeDocument/2006/relationships/hyperlink" Id="rId596" Target="https://doi.org/10.1145/1571941.1572114" TargetMode="External" /><Relationship Type="http://schemas.openxmlformats.org/officeDocument/2006/relationships/hyperlink" Id="rId602" Target="https://doi.org/10.1145/582415.582418" TargetMode="External" /><Relationship Type="http://schemas.openxmlformats.org/officeDocument/2006/relationships/hyperlink" Id="rId590" Target="https://doi.org/10.17487/RFC6749" TargetMode="External" /><Relationship Type="http://schemas.openxmlformats.org/officeDocument/2006/relationships/hyperlink" Id="rId560" Target="https://doi.org/10.17487/RFC7519" TargetMode="External" /><Relationship Type="http://schemas.openxmlformats.org/officeDocument/2006/relationships/hyperlink" Id="rId535" Target="https://ghost.org/features/" TargetMode="External" /><Relationship Type="http://schemas.openxmlformats.org/officeDocument/2006/relationships/hyperlink" Id="rId606" Target="https://github.com/dequelabs/axe-core" TargetMode="External" /><Relationship Type="http://schemas.openxmlformats.org/officeDocument/2006/relationships/hyperlink" Id="rId582" Target="https://github.com/pgvector/pgvector" TargetMode="External" /><Relationship Type="http://schemas.openxmlformats.org/officeDocument/2006/relationships/hyperlink" Id="rId531" Target="https://help.medium.com/hc/en-us/articles/360036691193" TargetMode="External" /><Relationship Type="http://schemas.openxmlformats.org/officeDocument/2006/relationships/hyperlink" Id="rId543" Target="https://help.openai.com/en/articles/8555545-file-uploads-faq" TargetMode="External" /><Relationship Type="http://schemas.openxmlformats.org/officeDocument/2006/relationships/hyperlink" Id="rId570" Target="https://nextjs.org/docs" TargetMode="External" /><Relationship Type="http://schemas.openxmlformats.org/officeDocument/2006/relationships/hyperlink" Id="rId586" Target="https://orm.drizzle.team/docs/overview" TargetMode="External" /><Relationship Type="http://schemas.openxmlformats.org/officeDocument/2006/relationships/hyperlink" Id="rId568" Target="https://playwright.dev/docs/intro" TargetMode="External" /><Relationship Type="http://schemas.openxmlformats.org/officeDocument/2006/relationships/hyperlink" Id="rId551" Target="https://scrumguides.org/scrum-guide.html" TargetMode="External" /><Relationship Type="http://schemas.openxmlformats.org/officeDocument/2006/relationships/hyperlink" Id="rId533" Target="https://substack.com/about" TargetMode="External" /><Relationship Type="http://schemas.openxmlformats.org/officeDocument/2006/relationships/hyperlink" Id="rId574" Target="https://tiptap.dev/docs" TargetMode="External" /><Relationship Type="http://schemas.openxmlformats.org/officeDocument/2006/relationships/hyperlink" Id="rId553" Target="https://www.agilebusiness.org/dsdm-project-framework/moscow-prioririsation.html" TargetMode="External" /><Relationship Type="http://schemas.openxmlformats.org/officeDocument/2006/relationships/hyperlink" Id="rId529" Target="https://www.beehiiv.com/features/artificial-intelligence" TargetMode="External" /><Relationship Type="http://schemas.openxmlformats.org/officeDocument/2006/relationships/hyperlink" Id="rId523" Target="https://www.goldmansachs.com/insights/articles/the-creator-economy-could-approach-half-a-trillion-dollars-by-2027" TargetMode="External" /><Relationship Type="http://schemas.openxmlformats.org/officeDocument/2006/relationships/hyperlink" Id="rId525" Target="https://www.grammarly.com/ai" TargetMode="External" /><Relationship Type="http://schemas.openxmlformats.org/officeDocument/2006/relationships/hyperlink" Id="rId527" Target="https://www.notion.com/product/ai" TargetMode="External" /><Relationship Type="http://schemas.openxmlformats.org/officeDocument/2006/relationships/hyperlink" Id="rId556" Target="https://www.omg.org/spec/UML/2.5.1" TargetMode="External" /><Relationship Type="http://schemas.openxmlformats.org/officeDocument/2006/relationships/hyperlink" Id="rId545" Target="https://www.perplexity.ai/help-center/en/articles/10352961-what-are-spaces" TargetMode="External" /><Relationship Type="http://schemas.openxmlformats.org/officeDocument/2006/relationships/hyperlink" Id="rId564" Target="https://www.postgresql.org/docs/16/textsearch.html" TargetMode="External" /><Relationship Type="http://schemas.openxmlformats.org/officeDocument/2006/relationships/hyperlink" Id="rId580" Target="https://www.techempower.com/benchmarks/" TargetMode="External" /><Relationship Type="http://schemas.openxmlformats.org/officeDocument/2006/relationships/hyperlink" Id="rId539" Target="https://www.upwork.com/hire/writers/" TargetMode="External" /><Relationship Type="http://schemas.openxmlformats.org/officeDocument/2006/relationships/hyperlink" Id="rId608"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2026-10-11T21:12:43Z</dcterms:created>
  <dcterms:modified xsi:type="dcterms:W3CDTF">2026-10-11T21:12:43Z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