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3.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7.png" ContentType="image/png"/>
  <Override PartName="/word/media/rId102.png" ContentType="image/png"/>
  <Override PartName="/word/media/rId107.png" ContentType="image/png"/>
  <Override PartName="/word/media/rId113.png" ContentType="image/png"/>
  <Override PartName="/word/media/rId118.png" ContentType="image/png"/>
  <Override PartName="/word/media/rId128.png" ContentType="image/png"/>
  <Override PartName="/word/media/rId134.png" ContentType="image/png"/>
  <Override PartName="/word/media/rId138.png" ContentType="image/png"/>
  <Override PartName="/word/media/rId171.png" ContentType="image/png"/>
  <Override PartName="/word/media/rId176.png" ContentType="image/png"/>
  <Override PartName="/word/media/rId180.png" ContentType="image/png"/>
  <Override PartName="/word/media/rId216.png" ContentType="image/png"/>
  <Override PartName="/word/media/rId221.png" ContentType="image/png"/>
  <Override PartName="/word/media/rId225.png" ContentType="image/png"/>
  <Override PartName="/word/media/rId280.png" ContentType="image/png"/>
  <Override PartName="/word/media/rId267.png" ContentType="image/png"/>
  <Override PartName="/word/media/rId272.png" ContentType="image/png"/>
  <Override PartName="/word/media/rId284.png" ContentType="image/png"/>
  <Override PartName="/word/media/rId276.png" ContentType="image/png"/>
  <Override PartName="/word/media/rId230.png" ContentType="image/png"/>
  <Override PartName="/word/media/rId304.png" ContentType="image/png"/>
  <Override PartName="/word/media/rId310.png" ContentType="image/png"/>
  <Override PartName="/word/media/rId314.png" ContentType="image/png"/>
  <Override PartName="/word/media/rId318.png" ContentType="image/png"/>
  <Override PartName="/word/media/rId322.png" ContentType="image/png"/>
  <Override PartName="/word/media/rId326.png" ContentType="image/png"/>
  <Override PartName="/word/media/rId400.png" ContentType="image/png"/>
  <Override PartName="/word/media/rId330.png" ContentType="image/png"/>
  <Override PartName="/word/media/rId413.png" ContentType="image/png"/>
  <Override PartName="/word/media/rId418.png" ContentType="image/png"/>
  <Override PartName="/word/media/rId443.png" ContentType="image/png"/>
  <Override PartName="/word/media/rId448.png" ContentType="image/png"/>
  <Override PartName="/word/media/rId452.png" ContentType="image/png"/>
  <Override PartName="/word/media/rId456.png" ContentType="image/png"/>
  <Override PartName="/word/media/rId481.png" ContentType="image/png"/>
  <Override PartName="/word/media/rId486.png" ContentType="image/png"/>
  <Override PartName="/word/media/rId490.png" ContentType="image/png"/>
  <Override PartName="/word/media/rId383.png" ContentType="image/png"/>
  <Override PartName="/word/media/rId387.png" ContentType="image/png"/>
  <Override PartName="/word/media/rId391.png" ContentType="image/png"/>
  <Override PartName="/word/media/rId143.png" ContentType="image/png"/>
  <Override PartName="/word/media/rId147.png" ContentType="image/png"/>
  <Override PartName="/word/media/rId151.png" ContentType="image/png"/>
  <Override PartName="/word/media/rId155.png" ContentType="image/png"/>
  <Override PartName="/word/media/rId159.png" ContentType="image/png"/>
  <Override PartName="/word/media/rId335.png" ContentType="image/png"/>
  <Override PartName="/word/media/rId255.png" ContentType="image/png"/>
  <Override PartName="/word/media/rId371.png" ContentType="image/png"/>
  <Override PartName="/word/media/rId289.png" ContentType="image/png"/>
  <Override PartName="/word/media/rId367.png" ContentType="image/png"/>
  <Override PartName="/word/media/rId347.png" ContentType="image/png"/>
  <Override PartName="/word/media/rId351.png" ContentType="image/png"/>
  <Override PartName="/word/media/rId355.png" ContentType="image/png"/>
  <Override PartName="/word/media/rId359.png" ContentType="image/png"/>
  <Override PartName="/word/media/rId343.png" ContentType="image/png"/>
  <Override PartName="/word/media/rId259.png" ContentType="image/png"/>
  <Override PartName="/word/media/rId293.png" ContentType="image/png"/>
  <Override PartName="/word/media/rId363.png" ContentType="image/png"/>
  <Override PartName="/word/media/rId235.png" ContentType="image/png"/>
  <Override PartName="/word/media/rId339.png" ContentType="image/png"/>
  <Override PartName="/word/media/rId163.png" ContentType="image/png"/>
  <Override PartName="/word/media/rId423.png" ContentType="image/png"/>
  <Override PartName="/word/media/rId427.png" ContentType="image/png"/>
  <Override PartName="/word/media/rId431.png" ContentType="image/png"/>
  <Override PartName="/word/media/rId435.png" ContentType="image/png"/>
  <Override PartName="/word/media/rId461.png" ContentType="image/png"/>
  <Override PartName="/word/media/rId243.png" ContentType="image/png"/>
  <Override PartName="/word/media/rId185.png" ContentType="image/png"/>
  <Override PartName="/word/media/rId189.png" ContentType="image/png"/>
  <Override PartName="/word/media/rId193.png" ContentType="image/png"/>
  <Override PartName="/word/media/rId197.png" ContentType="image/png"/>
  <Override PartName="/word/media/rId201.png" ContentType="image/png"/>
  <Override PartName="/word/media/rId205.png" ContentType="image/png"/>
  <Override PartName="/word/media/rId375.png" ContentType="image/png"/>
  <Override PartName="/word/media/rId251.png" ContentType="image/png"/>
  <Override PartName="/word/media/rId379.png" ContentType="image/png"/>
  <Override PartName="/word/media/rId239.png" ContentType="image/png"/>
  <Override PartName="/word/media/rId247.png" ContentType="image/png"/>
  <Override PartName="/word/media/rId465.png" ContentType="image/png"/>
  <Override PartName="/word/media/rId469.png" ContentType="image/png"/>
  <Override PartName="/word/media/rId495.png" ContentType="image/png"/>
  <Override PartName="/word/media/rId499.png" ContentType="image/png"/>
  <Override PartName="/word/media/rId503.png" ContentType="image/png"/>
  <Override PartName="/word/media/rId4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 — visitor and reader</w:t>
      </w:r>
      <w:r>
        <w:br/>
      </w:r>
    </w:p>
    <w:p>
      <w:pPr>
        <w:pStyle w:val="BodyText"/>
      </w:pPr>
      <w:r>
        <w:t xml:space="preserve">1.4. Global use case diagram — writer</w:t>
      </w:r>
      <w:r>
        <w:br/>
      </w:r>
    </w:p>
    <w:p>
      <w:pPr>
        <w:pStyle w:val="BodyText"/>
      </w:pPr>
      <w:r>
        <w:t xml:space="preserve">1.5. Global use case diagram — magazine and administrator</w:t>
      </w:r>
      <w:r>
        <w:br/>
      </w:r>
    </w:p>
    <w:p>
      <w:pPr>
        <w:pStyle w:val="BodyText"/>
      </w:pPr>
      <w:r>
        <w:t xml:space="preserve">1.6. Class diagram: core domain</w:t>
      </w:r>
      <w:r>
        <w:br/>
      </w:r>
    </w:p>
    <w:p>
      <w:pPr>
        <w:pStyle w:val="BodyText"/>
      </w:pPr>
      <w:r>
        <w:t xml:space="preserve">1.7. Class diagram: AI, marketplace and analytics</w:t>
      </w:r>
      <w:r>
        <w:br/>
      </w:r>
    </w:p>
    <w:p>
      <w:pPr>
        <w:pStyle w:val="BodyText"/>
      </w:pPr>
      <w:r>
        <w:t xml:space="preserve">1.8.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 visitor</w:t>
      </w:r>
      <w:r>
        <w:br/>
      </w:r>
    </w:p>
    <w:p>
      <w:pPr>
        <w:pStyle w:val="BodyText"/>
      </w:pPr>
      <w:r>
        <w:t xml:space="preserve">8.2. Functional requirements — reader</w:t>
      </w:r>
      <w:r>
        <w:br/>
      </w:r>
    </w:p>
    <w:p>
      <w:pPr>
        <w:pStyle w:val="BodyText"/>
      </w:pPr>
      <w:r>
        <w:t xml:space="preserve">8.3. Functional requirements — writer</w:t>
      </w:r>
      <w:r>
        <w:br/>
      </w:r>
    </w:p>
    <w:p>
      <w:pPr>
        <w:pStyle w:val="BodyText"/>
      </w:pPr>
      <w:r>
        <w:t xml:space="preserve">8.4. Functional requirements — magazine</w:t>
      </w:r>
      <w:r>
        <w:br/>
      </w:r>
    </w:p>
    <w:p>
      <w:pPr>
        <w:pStyle w:val="BodyText"/>
      </w:pPr>
      <w:r>
        <w:t xml:space="preserve">8.5. Functional requirements — administrator</w:t>
      </w:r>
      <w:r>
        <w:br/>
      </w:r>
    </w:p>
    <w:p>
      <w:pPr>
        <w:pStyle w:val="BodyText"/>
      </w:pPr>
      <w:r>
        <w:t xml:space="preserve">8.6. Functional requirements —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 the sprint backlog,</w:t>
      </w:r>
      <w:r>
        <w:t xml:space="preserve"> </w:t>
      </w:r>
      <w:r>
        <w:t xml:space="preserve">the analysis, the design and the realisation —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83"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 architecture, data, security, delivery —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w:t>
      </w:r>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 Substack, Ghost and beehiiv —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w:t>
      </w:r>
      <w:r>
        <w:t xml:space="preserve"> </w:t>
      </w:r>
      <w:r>
        <w:t xml:space="preserve">NotebookLM, ChatGPT with uploaded files, Perplexity Spaces —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requirements, design, implementation, testing</w:t>
      </w:r>
      <w:r>
        <w:t xml:space="preserve"> </w:t>
      </w:r>
      <w:r>
        <w:t xml:space="preserve">and delivery once each, in order; its classic description already warned that testing</w:t>
      </w:r>
      <w:r>
        <w:t xml:space="preserve"> </w:t>
      </w:r>
      <w:r>
        <w:t xml:space="preserve">at the end exposes design errors when they are most expensive to correct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builds the product in short iterations, each</w:t>
      </w:r>
      <w:r>
        <w:t xml:space="preserve"> </w:t>
      </w:r>
      <w:r>
        <w:t xml:space="preserve">delivering working software that is reviewed before the next is planned, and values</w:t>
      </w:r>
      <w:r>
        <w:t xml:space="preserve"> </w:t>
      </w:r>
      <w:r>
        <w:t xml:space="preserve">responding to change over following a plan</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 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The figure makes the deciding difference visible: in the sequential process the first</w:t>
      </w:r>
      <w:r>
        <w:t xml:space="preserve"> </w:t>
      </w:r>
      <w:r>
        <w:t xml:space="preserve">working software appears in the last phase, while in the agile process it appears at</w:t>
      </w:r>
      <w:r>
        <w:t xml:space="preserve"> </w:t>
      </w:r>
      <w:r>
        <w:t xml:space="preserve">the end of the first iteration. Inkwell.ai is built in layers that each depend on the</w:t>
      </w:r>
      <w:r>
        <w:t xml:space="preserve"> </w:t>
      </w:r>
      <w:r>
        <w:t xml:space="preserve">one below — the marketplace evaluates writers on analytics, analytics need published</w:t>
      </w:r>
      <w:r>
        <w:t xml:space="preserve"> </w:t>
      </w:r>
      <w:r>
        <w:t xml:space="preserve">articles, articles need accounts and an editor — so a defect in a lower layer must be</w:t>
      </w:r>
      <w:r>
        <w:t xml:space="preserve"> </w:t>
      </w:r>
      <w:r>
        <w:t xml:space="preserve">found before the next is built on it. Short iterations that end in working, tested</w:t>
      </w:r>
      <w:r>
        <w:t xml:space="preserve"> </w:t>
      </w:r>
      <w:r>
        <w:t xml:space="preserve">software are what that layering requires.</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figure reads from left to right: the product backlog feeds sprint planning, the</w:t>
      </w:r>
      <w:r>
        <w:t xml:space="preserve"> </w:t>
      </w:r>
      <w:r>
        <w:t xml:space="preserve">sprint backlog is built during a fixed two-week sprint, and every sprint ends with an</w:t>
      </w:r>
      <w:r>
        <w:t xml:space="preserve"> </w:t>
      </w:r>
      <w:r>
        <w:t xml:space="preserve">increment checked against the definition of done, reviewed, and followed by a</w:t>
      </w:r>
      <w:r>
        <w:t xml:space="preserve"> </w:t>
      </w:r>
      <w:r>
        <w:t xml:space="preserve">retrospective whose actions return to the next planning. What it implies for this</w:t>
      </w:r>
      <w:r>
        <w:t xml:space="preserve"> </w:t>
      </w:r>
      <w:r>
        <w:t xml:space="preserve">project is that the unit of progress is the increment, not the document: each sprint</w:t>
      </w:r>
      <w:r>
        <w:t xml:space="preserve"> </w:t>
      </w:r>
      <w:r>
        <w:t xml:space="preserve">must leave the platform runnable and tested.</w:t>
      </w:r>
    </w:p>
    <w:p>
      <w:pPr>
        <w:pStyle w:val="BodyText"/>
      </w:pPr>
      <w:r>
        <w:t xml:space="preserve">Scrum is designed for a team of ten or fewer people holding three accountabilities —</w:t>
      </w:r>
      <w:r>
        <w:t xml:space="preserve"> </w:t>
      </w:r>
      <w:r>
        <w:t xml:space="preserve">Product Owner, Scrum Master and Developers</w:t>
      </w:r>
      <w:r>
        <w:t xml:space="preserve"> </w:t>
      </w:r>
      <w:hyperlink w:anchor="ref-scrumguide2020">
        <w:r>
          <w:rPr>
            <w:rStyle w:val="Hyperlink"/>
          </w:rPr>
          <w:t xml:space="preserve">[16]</w:t>
        </w:r>
      </w:hyperlink>
      <w:r>
        <w:t xml:space="preserve"> </w:t>
      </w:r>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 a fixed</w:t>
      </w:r>
      <w:r>
        <w:t xml:space="preserve"> </w:t>
      </w:r>
      <w:r>
        <w:t xml:space="preserve">cadence, a written goal per sprint, an increment that must work —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 Must, Should, Could,</w:t>
      </w:r>
      <w:r>
        <w:t xml:space="preserve"> </w:t>
      </w:r>
      <w:r>
        <w:t xml:space="preserve">Won’t —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 —</w:t>
      </w:r>
      <w:r>
        <w:t xml:space="preserve"> </w:t>
      </w:r>
      <w:r>
        <w:t xml:space="preserve">the same person moves between them by upgrading, by being read, or by subscribing —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 a database constraint enforces it —</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64" w:name="sec:uc-global"/>
    <w:p>
      <w:pPr>
        <w:pStyle w:val="Heading2"/>
      </w:pPr>
      <w:r>
        <w:rPr>
          <w:rStyle w:val="SectionNumber"/>
        </w:rPr>
        <w:t xml:space="preserve">1.6</w:t>
      </w:r>
      <w:r>
        <w:tab/>
      </w:r>
      <w:r>
        <w:t xml:space="preserve">Global use case diagrams</w:t>
      </w:r>
    </w:p>
    <w:p>
      <w:pPr>
        <w:pStyle w:val="FirstParagraph"/>
      </w:pPr>
      <w:r>
        <w:t xml:space="preserve">The global use cases are drawn in three diagrams, one per group of actors, so that</w:t>
      </w:r>
      <w:r>
        <w:t xml:space="preserve"> </w:t>
      </w:r>
      <w:r>
        <w:t xml:space="preserve">each use case is a single action and every label can be read at page width. The</w:t>
      </w:r>
      <w:r>
        <w:t xml:space="preserve"> </w:t>
      </w:r>
      <w:r>
        <w:t xml:space="preserve">use cases are those of the functional requirements; the per-sprint diagrams of</w:t>
      </w:r>
      <w:r>
        <w:t xml:space="preserve"> </w:t>
      </w:r>
      <w:r>
        <w:t xml:space="preserve">Chapters 3 to 6 then refine each sprint’s share. In the three diagrams, every use case</w:t>
      </w:r>
      <w:r>
        <w:t xml:space="preserve"> </w:t>
      </w:r>
      <w:r>
        <w:t xml:space="preserve">of a signed-in actor includes</w:t>
      </w:r>
      <w:r>
        <w:t xml:space="preserve"> </w:t>
      </w:r>
      <w:r>
        <w:rPr>
          <w:i/>
          <w:iCs/>
        </w:rPr>
        <w:t xml:space="preserve">Sign in</w:t>
      </w:r>
      <w:r>
        <w:t xml:space="preserve">, which is stated once in a note rather than</w:t>
      </w:r>
      <w:r>
        <w:t xml:space="preserve"> </w:t>
      </w:r>
      <w:r>
        <w:t xml:space="preserve">drawn twenty times.</w:t>
      </w:r>
    </w:p>
    <w:p>
      <w:pPr>
        <w:pStyle w:val="BodyText"/>
      </w:pPr>
      <w:r>
        <w:rPr>
          <w:b/>
          <w:bCs/>
        </w:rPr>
        <w:t xml:space="preserve">Visitor and reader.</w:t>
      </w:r>
      <w:r>
        <w:t xml:space="preserve"> </w:t>
      </w:r>
      <w:hyperlink w:anchor="fig:uc-visitor-reader">
        <w:r>
          <w:rPr>
            <w:rStyle w:val="Hyperlink"/>
          </w:rPr>
          <w:t xml:space="preserve">Figure 1.3</w:t>
        </w:r>
      </w:hyperlink>
      <w:r>
        <w:t xml:space="preserve"> </w:t>
      </w:r>
      <w:r>
        <w:t xml:space="preserve">gives the use cases of the two actors</w:t>
      </w:r>
      <w:r>
        <w:t xml:space="preserve"> </w:t>
      </w:r>
      <w:r>
        <w:t xml:space="preserve">who read.</w:t>
      </w:r>
    </w:p>
    <w:bookmarkStart w:id="55" w:name="fig:uc-visitor-reader"/>
    <w:p>
      <w:pPr>
        <w:pStyle w:val="CaptionedFigure"/>
      </w:pPr>
      <w:r>
        <w:drawing>
          <wp:inline>
            <wp:extent cx="5334000" cy="4198158"/>
            <wp:effectExtent b="0" l="0" r="0" t="0"/>
            <wp:docPr descr="Figure 1.3– Global use case diagram — visitor and reader" title="" id="53" name="Picture"/>
            <a:graphic>
              <a:graphicData uri="http://schemas.openxmlformats.org/drawingml/2006/picture">
                <pic:pic>
                  <pic:nvPicPr>
                    <pic:cNvPr descr="../diagrams/fig-1-3-use-case-visitor-reader/fig-1-3-use-case-visitor-reader.png" id="54" name="Picture"/>
                    <pic:cNvPicPr>
                      <a:picLocks noChangeArrowheads="1" noChangeAspect="1"/>
                    </pic:cNvPicPr>
                  </pic:nvPicPr>
                  <pic:blipFill>
                    <a:blip r:embed="rId52"/>
                    <a:stretch>
                      <a:fillRect/>
                    </a:stretch>
                  </pic:blipFill>
                  <pic:spPr bwMode="auto">
                    <a:xfrm>
                      <a:off x="0" y="0"/>
                      <a:ext cx="5334000" cy="4198158"/>
                    </a:xfrm>
                    <a:prstGeom prst="rect">
                      <a:avLst/>
                    </a:prstGeom>
                    <a:noFill/>
                    <a:ln w="9525">
                      <a:noFill/>
                      <a:headEnd/>
                      <a:tailEnd/>
                    </a:ln>
                  </pic:spPr>
                </pic:pic>
              </a:graphicData>
            </a:graphic>
          </wp:inline>
        </w:drawing>
      </w:r>
    </w:p>
    <w:p>
      <w:pPr>
        <w:pStyle w:val="ImageCaption"/>
      </w:pPr>
      <w:r>
        <w:t xml:space="preserve">Figure 1.3– Global use case diagram — visitor and reader</w:t>
      </w:r>
    </w:p>
    <w:bookmarkEnd w:id="55"/>
    <w:p>
      <w:pPr>
        <w:pStyle w:val="BodyText"/>
      </w:pPr>
      <w:r>
        <w:t xml:space="preserve">The visitor browses the feed, reads free articles, searches, views profiles and</w:t>
      </w:r>
      <w:r>
        <w:t xml:space="preserve"> </w:t>
      </w:r>
      <w:r>
        <w:t xml:space="preserve">shares, and reaches registration from</w:t>
      </w:r>
      <w:r>
        <w:t xml:space="preserve"> </w:t>
      </w:r>
      <w:r>
        <w:rPr>
          <w:i/>
          <w:iCs/>
        </w:rPr>
        <w:t xml:space="preserve">Sign in</w:t>
      </w:r>
      <w:r>
        <w:t xml:space="preserve">:</w:t>
      </w:r>
      <w:r>
        <w:t xml:space="preserve"> </w:t>
      </w:r>
      <w:r>
        <w:rPr>
          <w:i/>
          <w:iCs/>
        </w:rPr>
        <w:t xml:space="preserve">Create an account</w:t>
      </w:r>
      <w:r>
        <w:t xml:space="preserve"> </w:t>
      </w:r>
      <w:r>
        <w:t xml:space="preserve">and</w:t>
      </w:r>
      <w:r>
        <w:t xml:space="preserve"> </w:t>
      </w:r>
      <w:r>
        <w:rPr>
          <w:i/>
          <w:iCs/>
        </w:rPr>
        <w:t xml:space="preserve">Sign in with</w:t>
      </w:r>
      <w:r>
        <w:rPr>
          <w:i/>
          <w:iCs/>
        </w:rPr>
        <w:t xml:space="preserve"> </w:t>
      </w:r>
      <w:r>
        <w:rPr>
          <w:i/>
          <w:iCs/>
        </w:rPr>
        <w:t xml:space="preserve">Google</w:t>
      </w:r>
      <w:r>
        <w:t xml:space="preserve"> </w:t>
      </w:r>
      <w:r>
        <w:t xml:space="preserve">both extend it. The reader inherits all of this and adds the social use</w:t>
      </w:r>
      <w:r>
        <w:t xml:space="preserve"> </w:t>
      </w:r>
      <w:r>
        <w:t xml:space="preserve">cases — liking, commenting and replying, liking a comment, reposting, saving,</w:t>
      </w:r>
      <w:r>
        <w:t xml:space="preserve"> </w:t>
      </w:r>
      <w:r>
        <w:t xml:space="preserve">following, blocking, reporting — together with notifications, the profile and the</w:t>
      </w:r>
      <w:r>
        <w:t xml:space="preserve"> </w:t>
      </w:r>
      <w:r>
        <w:t xml:space="preserve">upgrade to premium. The premium plan does not make a new actor:</w:t>
      </w:r>
      <w:r>
        <w:t xml:space="preserve"> </w:t>
      </w:r>
      <w:r>
        <w:rPr>
          <w:i/>
          <w:iCs/>
        </w:rPr>
        <w:t xml:space="preserve">Read a premium</w:t>
      </w:r>
      <w:r>
        <w:rPr>
          <w:i/>
          <w:iCs/>
        </w:rPr>
        <w:t xml:space="preserve"> </w:t>
      </w:r>
      <w:r>
        <w:rPr>
          <w:i/>
          <w:iCs/>
        </w:rPr>
        <w:t xml:space="preserve">article</w:t>
      </w:r>
      <w:r>
        <w:t xml:space="preserve"> </w:t>
      </w:r>
      <w:r>
        <w:t xml:space="preserve">extends</w:t>
      </w:r>
      <w:r>
        <w:t xml:space="preserve"> </w:t>
      </w:r>
      <w:r>
        <w:rPr>
          <w:i/>
          <w:iCs/>
        </w:rPr>
        <w:t xml:space="preserve">Read an article</w:t>
      </w:r>
      <w:r>
        <w:t xml:space="preserve"> </w:t>
      </w:r>
      <w:r>
        <w:t xml:space="preserve">under the condition</w:t>
      </w:r>
      <w:r>
        <w:t xml:space="preserve"> </w:t>
      </w:r>
      <w:r>
        <w:rPr>
          <w:rStyle w:val="VerbatimChar"/>
        </w:rPr>
        <w:t xml:space="preserve">[plan = premium]</w:t>
      </w:r>
      <w:r>
        <w:t xml:space="preserve">. The</w:t>
      </w:r>
      <w:r>
        <w:t xml:space="preserve"> </w:t>
      </w:r>
      <w:r>
        <w:t xml:space="preserve">diagram shows that the reader’s use cases are all small, independent interactions</w:t>
      </w:r>
      <w:r>
        <w:t xml:space="preserve"> </w:t>
      </w:r>
      <w:r>
        <w:t xml:space="preserve">with one article or one account, which is why each is delivered by a short story of</w:t>
      </w:r>
      <w:r>
        <w:t xml:space="preserve"> </w:t>
      </w:r>
      <w:r>
        <w:t xml:space="preserve">the backlog.</w:t>
      </w:r>
    </w:p>
    <w:p>
      <w:pPr>
        <w:pStyle w:val="BodyText"/>
      </w:pPr>
      <w:r>
        <w:rPr>
          <w:b/>
          <w:bCs/>
        </w:rPr>
        <w:t xml:space="preserve">Writer.</w:t>
      </w:r>
      <w:r>
        <w:t xml:space="preserve"> </w:t>
      </w:r>
      <w:hyperlink w:anchor="fig:uc-writer">
        <w:r>
          <w:rPr>
            <w:rStyle w:val="Hyperlink"/>
          </w:rPr>
          <w:t xml:space="preserve">Figure 1.4</w:t>
        </w:r>
      </w:hyperlink>
      <w:r>
        <w:t xml:space="preserve"> </w:t>
      </w:r>
      <w:r>
        <w:t xml:space="preserve">gives the use cases of the writer.</w:t>
      </w:r>
    </w:p>
    <w:bookmarkStart w:id="59" w:name="fig:uc-writer"/>
    <w:p>
      <w:pPr>
        <w:pStyle w:val="CaptionedFigure"/>
      </w:pPr>
      <w:r>
        <w:drawing>
          <wp:inline>
            <wp:extent cx="5334000" cy="3069482"/>
            <wp:effectExtent b="0" l="0" r="0" t="0"/>
            <wp:docPr descr="Figure 1.4– Global use case diagram — writer" title="" id="57" name="Picture"/>
            <a:graphic>
              <a:graphicData uri="http://schemas.openxmlformats.org/drawingml/2006/picture">
                <pic:pic>
                  <pic:nvPicPr>
                    <pic:cNvPr descr="../diagrams/fig-1-4-use-case-writer/fig-1-4-use-case-writer.png" id="58" name="Picture"/>
                    <pic:cNvPicPr>
                      <a:picLocks noChangeArrowheads="1" noChangeAspect="1"/>
                    </pic:cNvPicPr>
                  </pic:nvPicPr>
                  <pic:blipFill>
                    <a:blip r:embed="rId56"/>
                    <a:stretch>
                      <a:fillRect/>
                    </a:stretch>
                  </pic:blipFill>
                  <pic:spPr bwMode="auto">
                    <a:xfrm>
                      <a:off x="0" y="0"/>
                      <a:ext cx="5334000" cy="3069482"/>
                    </a:xfrm>
                    <a:prstGeom prst="rect">
                      <a:avLst/>
                    </a:prstGeom>
                    <a:noFill/>
                    <a:ln w="9525">
                      <a:noFill/>
                      <a:headEnd/>
                      <a:tailEnd/>
                    </a:ln>
                  </pic:spPr>
                </pic:pic>
              </a:graphicData>
            </a:graphic>
          </wp:inline>
        </w:drawing>
      </w:r>
    </w:p>
    <w:p>
      <w:pPr>
        <w:pStyle w:val="ImageCaption"/>
      </w:pPr>
      <w:r>
        <w:t xml:space="preserve">Figure 1.4– Global use case diagram — writer</w:t>
      </w:r>
    </w:p>
    <w:bookmarkEnd w:id="59"/>
    <w:p>
      <w:pPr>
        <w:pStyle w:val="BodyText"/>
      </w:pPr>
      <w:r>
        <w:t xml:space="preserve">The writer inherits the reader’s use cases and adds three groups: writing (drafting</w:t>
      </w:r>
      <w:r>
        <w:t xml:space="preserve"> </w:t>
      </w:r>
      <w:r>
        <w:t xml:space="preserve">with automatic saving, images, publishing with a placement and a visibility,</w:t>
      </w:r>
      <w:r>
        <w:t xml:space="preserve"> </w:t>
      </w:r>
      <w:r>
        <w:t xml:space="preserve">withdrawing a listing, deleting), the assistant (asking, inline actions, a write into</w:t>
      </w:r>
      <w:r>
        <w:t xml:space="preserve"> </w:t>
      </w:r>
      <w:r>
        <w:t xml:space="preserve">the draft that the writer keeps or discards, dictation, replies read aloud, documents</w:t>
      </w:r>
      <w:r>
        <w:t xml:space="preserve"> </w:t>
      </w:r>
      <w:r>
        <w:t xml:space="preserve">uploaded, attached and cited by page), and the writer’s own figures (analytics,</w:t>
      </w:r>
      <w:r>
        <w:t xml:space="preserve"> </w:t>
      </w:r>
      <w:r>
        <w:t xml:space="preserve">eligibility progress, earnings). Eligibility appears as a condition, not an actor:</w:t>
      </w:r>
      <w:r>
        <w:t xml:space="preserve"> </w:t>
      </w:r>
      <w:r>
        <w:rPr>
          <w:i/>
          <w:iCs/>
        </w:rPr>
        <w:t xml:space="preserve">Publish as premium</w:t>
      </w:r>
      <w:r>
        <w:t xml:space="preserve"> </w:t>
      </w:r>
      <w:r>
        <w:t xml:space="preserve">and</w:t>
      </w:r>
      <w:r>
        <w:t xml:space="preserve"> </w:t>
      </w:r>
      <w:r>
        <w:rPr>
          <w:i/>
          <w:iCs/>
        </w:rPr>
        <w:t xml:space="preserve">List on the marketplace</w:t>
      </w:r>
      <w:r>
        <w:t xml:space="preserve"> </w:t>
      </w:r>
      <w:r>
        <w:t xml:space="preserve">extend</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Every use of the assistant includes</w:t>
      </w:r>
      <w:r>
        <w:t xml:space="preserve"> </w:t>
      </w:r>
      <w:r>
        <w:rPr>
          <w:i/>
          <w:iCs/>
        </w:rPr>
        <w:t xml:space="preserve">Consume the AI</w:t>
      </w:r>
      <w:r>
        <w:rPr>
          <w:i/>
          <w:iCs/>
        </w:rPr>
        <w:t xml:space="preserve"> </w:t>
      </w:r>
      <w:r>
        <w:rPr>
          <w:i/>
          <w:iCs/>
        </w:rPr>
        <w:t xml:space="preserve">allowance</w:t>
      </w:r>
      <w:r>
        <w:t xml:space="preserve">, which only the premium plan grants. The diagram shows where the</w:t>
      </w:r>
      <w:r>
        <w:t xml:space="preserve"> </w:t>
      </w:r>
      <w:r>
        <w:t xml:space="preserve">complexity of the platform lies: the writer has the most use cases, and most of the</w:t>
      </w:r>
      <w:r>
        <w:t xml:space="preserve"> </w:t>
      </w:r>
      <w:r>
        <w:t xml:space="preserve">inclusions and extensions sit around</w:t>
      </w:r>
      <w:r>
        <w:t xml:space="preserve"> </w:t>
      </w:r>
      <w:r>
        <w:rPr>
          <w:i/>
          <w:iCs/>
        </w:rPr>
        <w:t xml:space="preserve">Publish an article</w:t>
      </w:r>
      <w:r>
        <w:t xml:space="preserve"> </w:t>
      </w:r>
      <w:r>
        <w:t xml:space="preserve">and</w:t>
      </w:r>
      <w:r>
        <w:t xml:space="preserve"> </w:t>
      </w:r>
      <w:r>
        <w:rPr>
          <w:i/>
          <w:iCs/>
        </w:rPr>
        <w:t xml:space="preserve">Ask the assistant</w:t>
      </w:r>
      <w:r>
        <w:t xml:space="preserve">.</w:t>
      </w:r>
    </w:p>
    <w:p>
      <w:pPr>
        <w:pStyle w:val="BodyText"/>
      </w:pPr>
      <w:r>
        <w:rPr>
          <w:b/>
          <w:bCs/>
        </w:rPr>
        <w:t xml:space="preserve">Magazine and administrator.</w:t>
      </w:r>
      <w:r>
        <w:t xml:space="preserve"> </w:t>
      </w:r>
      <w:hyperlink w:anchor="fig:uc-magazine-admin">
        <w:r>
          <w:rPr>
            <w:rStyle w:val="Hyperlink"/>
          </w:rPr>
          <w:t xml:space="preserve">Figure 1.5</w:t>
        </w:r>
      </w:hyperlink>
      <w:r>
        <w:t xml:space="preserve"> </w:t>
      </w:r>
      <w:r>
        <w:t xml:space="preserve">gives the use cases of the two</w:t>
      </w:r>
      <w:r>
        <w:t xml:space="preserve"> </w:t>
      </w:r>
      <w:r>
        <w:t xml:space="preserve">actors that specialise nobody.</w:t>
      </w:r>
    </w:p>
    <w:bookmarkStart w:id="63" w:name="fig:uc-magazine-admin"/>
    <w:p>
      <w:pPr>
        <w:pStyle w:val="CaptionedFigure"/>
      </w:pPr>
      <w:r>
        <w:drawing>
          <wp:inline>
            <wp:extent cx="5334000" cy="3905864"/>
            <wp:effectExtent b="0" l="0" r="0" t="0"/>
            <wp:docPr descr="Figure 1.5– Global use case diagram — magazine and administrator" title="" id="61" name="Picture"/>
            <a:graphic>
              <a:graphicData uri="http://schemas.openxmlformats.org/drawingml/2006/picture">
                <pic:pic>
                  <pic:nvPicPr>
                    <pic:cNvPr descr="../diagrams/fig-1-5-use-case-magazine-admin/fig-1-5-use-case-magazine-admin.png" id="62" name="Picture"/>
                    <pic:cNvPicPr>
                      <a:picLocks noChangeArrowheads="1" noChangeAspect="1"/>
                    </pic:cNvPicPr>
                  </pic:nvPicPr>
                  <pic:blipFill>
                    <a:blip r:embed="rId60"/>
                    <a:stretch>
                      <a:fillRect/>
                    </a:stretch>
                  </pic:blipFill>
                  <pic:spPr bwMode="auto">
                    <a:xfrm>
                      <a:off x="0" y="0"/>
                      <a:ext cx="5334000" cy="3905864"/>
                    </a:xfrm>
                    <a:prstGeom prst="rect">
                      <a:avLst/>
                    </a:prstGeom>
                    <a:noFill/>
                    <a:ln w="9525">
                      <a:noFill/>
                      <a:headEnd/>
                      <a:tailEnd/>
                    </a:ln>
                  </pic:spPr>
                </pic:pic>
              </a:graphicData>
            </a:graphic>
          </wp:inline>
        </w:drawing>
      </w:r>
    </w:p>
    <w:p>
      <w:pPr>
        <w:pStyle w:val="ImageCaption"/>
      </w:pPr>
      <w:r>
        <w:t xml:space="preserve">Figure 1.5– Global use case diagram — magazine and administrator</w:t>
      </w:r>
    </w:p>
    <w:bookmarkEnd w:id="63"/>
    <w:p>
      <w:pPr>
        <w:pStyle w:val="BodyText"/>
      </w:pPr>
      <w:r>
        <w:t xml:space="preserve">A magazine subscribes, tops up credits, cancels and follows its balance; with an</w:t>
      </w:r>
      <w:r>
        <w:t xml:space="preserve"> </w:t>
      </w:r>
      <w:r>
        <w:t xml:space="preserve">active subscription it browses writers, reads their evaluation (extended by the</w:t>
      </w:r>
      <w:r>
        <w:t xml:space="preserve"> </w:t>
      </w:r>
      <w:r>
        <w:t xml:space="preserve">generation of portfolio insights), browses the marketplace, purchases an article</w:t>
      </w:r>
      <w:r>
        <w:t xml:space="preserve"> </w:t>
      </w:r>
      <w:r>
        <w:t xml:space="preserve">(extended by a preview unlock), keeps it in its library and publishes it. The four</w:t>
      </w:r>
      <w:r>
        <w:t xml:space="preserve"> </w:t>
      </w:r>
      <w:r>
        <w:t xml:space="preserve">marketplace use cases include</w:t>
      </w:r>
      <w:r>
        <w:t xml:space="preserve"> </w:t>
      </w:r>
      <w:r>
        <w:rPr>
          <w:i/>
          <w:iCs/>
        </w:rPr>
        <w:t xml:space="preserve">Check the active subscription</w:t>
      </w:r>
      <w:r>
        <w:t xml:space="preserve">: the subscription is</w:t>
      </w:r>
      <w:r>
        <w:t xml:space="preserve"> </w:t>
      </w:r>
      <w:r>
        <w:t xml:space="preserve">the gate, not a different actor. The administrator works the report queue — dismissing</w:t>
      </w:r>
      <w:r>
        <w:t xml:space="preserve"> </w:t>
      </w:r>
      <w:r>
        <w:t xml:space="preserve">a report, removing an article or banning its author — searches users, changes a plan</w:t>
      </w:r>
      <w:r>
        <w:t xml:space="preserve"> </w:t>
      </w:r>
      <w:r>
        <w:t xml:space="preserve">and grants eligibility. Drawing the two actors side by side without a generalisation</w:t>
      </w:r>
      <w:r>
        <w:t xml:space="preserve"> </w:t>
      </w:r>
      <w:r>
        <w:t xml:space="preserve">shows the answer to a question the single diagram left open: neither the magazine nor</w:t>
      </w:r>
      <w:r>
        <w:t xml:space="preserve"> </w:t>
      </w:r>
      <w:r>
        <w:t xml:space="preserve">the administrator is a kind of reader or writer.</w:t>
      </w:r>
    </w:p>
    <w:bookmarkEnd w:id="64"/>
    <w:bookmarkStart w:id="73" w:name="sec:classes-global"/>
    <w:p>
      <w:pPr>
        <w:pStyle w:val="Heading2"/>
      </w:pPr>
      <w:r>
        <w:rPr>
          <w:rStyle w:val="SectionNumber"/>
        </w:rPr>
        <w:t xml:space="preserve">1.7</w:t>
      </w:r>
      <w:r>
        <w:tab/>
      </w:r>
      <w:r>
        <w:t xml:space="preserve">Global class diagram</w:t>
      </w:r>
    </w:p>
    <w:p>
      <w:pPr>
        <w:pStyle w:val="FirstParagraph"/>
      </w:pPr>
      <w:r>
        <w:t xml:space="preserve">The data model counts thirty persisted tables. Drawn in a single diagram they form an</w:t>
      </w:r>
      <w:r>
        <w:t xml:space="preserve"> </w:t>
      </w:r>
      <w:r>
        <w:t xml:space="preserve">unreadable strip, because</w:t>
      </w:r>
      <w:r>
        <w:t xml:space="preserve"> </w:t>
      </w:r>
      <w:r>
        <w:rPr>
          <w:rStyle w:val="VerbatimChar"/>
        </w:rPr>
        <w:t xml:space="preserve">User</w:t>
      </w:r>
      <w:r>
        <w:t xml:space="preserve"> </w:t>
      </w:r>
      <w:r>
        <w:t xml:space="preserve">is related to most of the others, so the global class</w:t>
      </w:r>
      <w:r>
        <w:t xml:space="preserve"> </w:t>
      </w:r>
      <w:r>
        <w:t xml:space="preserve">diagram is split by domain into two figures. Attributes are shown with domain types</w:t>
      </w:r>
      <w:r>
        <w:t xml:space="preserve"> </w:t>
      </w:r>
      <w:r>
        <w:t xml:space="preserve">(</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 columns are omitted. Each class shows the main</w:t>
      </w:r>
      <w:r>
        <w:t xml:space="preserve"> </w:t>
      </w:r>
      <w:r>
        <w:rPr>
          <w:b/>
          <w:bCs/>
        </w:rPr>
        <w:t xml:space="preserve">operations</w:t>
      </w:r>
      <w:r>
        <w:t xml:space="preserve"> </w:t>
      </w:r>
      <w:r>
        <w:t xml:space="preserve">it supports; they are implemented by the service of the same domain</w:t>
      </w:r>
      <w:r>
        <w:t xml:space="preserve"> </w:t>
      </w:r>
      <w:r>
        <w:t xml:space="preserve">(for instance</w:t>
      </w:r>
      <w:r>
        <w:t xml:space="preserve"> </w:t>
      </w:r>
      <w:r>
        <w:rPr>
          <w:rStyle w:val="VerbatimChar"/>
        </w:rPr>
        <w:t xml:space="preserve">Article.publish()</w:t>
      </w:r>
      <w:r>
        <w:t xml:space="preserve"> </w:t>
      </w:r>
      <w:r>
        <w:t xml:space="preserve">by the articles service), because the classes are</w:t>
      </w:r>
      <w:r>
        <w:t xml:space="preserve"> </w:t>
      </w:r>
      <w:r>
        <w:t xml:space="preserve">persisted records and the behaviour lives in the service layer. Relationships that</w:t>
      </w:r>
      <w:r>
        <w:t xml:space="preserve"> </w:t>
      </w:r>
      <w:r>
        <w:t xml:space="preserve">carry nothing but a pair and a date — likes, comment likes, reposts, saves, follows,</w:t>
      </w:r>
      <w:r>
        <w:t xml:space="preserve"> </w:t>
      </w:r>
      <w:r>
        <w:t xml:space="preserve">blocks, tags — are drawn as many-to-many associations; each is stored as a join table</w:t>
      </w:r>
      <w:r>
        <w:t xml:space="preserve"> </w:t>
      </w:r>
      <w:r>
        <w:t xml:space="preserve">with a unique constraint on its pair. The operations that create them —</w:t>
      </w:r>
      <w:r>
        <w:t xml:space="preserve"> </w:t>
      </w:r>
      <w:r>
        <w:rPr>
          <w:rStyle w:val="VerbatimChar"/>
        </w:rPr>
        <w:t xml:space="preserve">like()</w:t>
      </w:r>
      <w:r>
        <w:t xml:space="preserve">,</w:t>
      </w:r>
      <w:r>
        <w:t xml:space="preserve"> </w:t>
      </w:r>
      <w:r>
        <w:rPr>
          <w:rStyle w:val="VerbatimChar"/>
        </w:rPr>
        <w:t xml:space="preserve">repost()</w:t>
      </w:r>
      <w:r>
        <w:t xml:space="preserve">,</w:t>
      </w:r>
      <w:r>
        <w:t xml:space="preserve"> </w:t>
      </w:r>
      <w:r>
        <w:rPr>
          <w:rStyle w:val="VerbatimChar"/>
        </w:rPr>
        <w:t xml:space="preserve">save()</w:t>
      </w:r>
      <w:r>
        <w:t xml:space="preserve">,</w:t>
      </w:r>
      <w:r>
        <w:t xml:space="preserve"> </w:t>
      </w:r>
      <w:r>
        <w:rPr>
          <w:rStyle w:val="VerbatimChar"/>
        </w:rPr>
        <w:t xml:space="preserve">follow()</w:t>
      </w:r>
      <w:r>
        <w:t xml:space="preserve">,</w:t>
      </w:r>
      <w:r>
        <w:t xml:space="preserve"> </w:t>
      </w:r>
      <w:r>
        <w:rPr>
          <w:rStyle w:val="VerbatimChar"/>
        </w:rPr>
        <w:t xml:space="preserve">block()</w:t>
      </w:r>
      <w:r>
        <w:t xml:space="preserve">,</w:t>
      </w:r>
      <w:r>
        <w:t xml:space="preserve"> </w:t>
      </w:r>
      <w:r>
        <w:rPr>
          <w:rStyle w:val="VerbatimChar"/>
        </w:rPr>
        <w:t xml:space="preserve">likeComment()</w:t>
      </w:r>
      <w:r>
        <w:t xml:space="preserve"> </w:t>
      </w:r>
      <w:r>
        <w:t xml:space="preserve">— belong to</w:t>
      </w:r>
      <w:r>
        <w:t xml:space="preserve"> </w:t>
      </w:r>
      <w:r>
        <w:rPr>
          <w:rStyle w:val="VerbatimChar"/>
        </w:rPr>
        <w:t xml:space="preserve">User</w:t>
      </w:r>
      <w:r>
        <w:t xml:space="preserve">, the class that acts.</w:t>
      </w:r>
    </w:p>
    <w:p>
      <w:pPr>
        <w:pStyle w:val="BodyText"/>
      </w:pPr>
      <w:r>
        <w:rPr>
          <w:b/>
          <w:bCs/>
        </w:rPr>
        <w:t xml:space="preserve">Core domain.</w:t>
      </w:r>
      <w:r>
        <w:t xml:space="preserve"> </w:t>
      </w:r>
      <w:hyperlink w:anchor="fig:classes-core">
        <w:r>
          <w:rPr>
            <w:rStyle w:val="Hyperlink"/>
          </w:rPr>
          <w:t xml:space="preserve">Figure 1.6</w:t>
        </w:r>
      </w:hyperlink>
      <w:r>
        <w:t xml:space="preserve"> </w:t>
      </w:r>
      <w:r>
        <w:t xml:space="preserve">shows accounts, articles and their social layer: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w:t>
      </w:r>
      <w:r>
        <w:t xml:space="preserve"> </w:t>
      </w:r>
      <w:r>
        <w:t xml:space="preserve">visibility and price, tags, threaded comments, notifications and reports.</w:t>
      </w:r>
    </w:p>
    <w:bookmarkStart w:id="68" w:name="fig:classes-core"/>
    <w:p>
      <w:pPr>
        <w:pStyle w:val="CaptionedFigure"/>
      </w:pPr>
      <w:r>
        <w:drawing>
          <wp:inline>
            <wp:extent cx="5334000" cy="2338074"/>
            <wp:effectExtent b="0" l="0" r="0" t="0"/>
            <wp:docPr descr="Figure 1.6– Class diagram: core domain" title="" id="66" name="Picture"/>
            <a:graphic>
              <a:graphicData uri="http://schemas.openxmlformats.org/drawingml/2006/picture">
                <pic:pic>
                  <pic:nvPicPr>
                    <pic:cNvPr descr="../diagrams/fig-2-2-classes-core-domain/fig-2-2-classes-core-domain.png" id="67" name="Picture"/>
                    <pic:cNvPicPr>
                      <a:picLocks noChangeArrowheads="1" noChangeAspect="1"/>
                    </pic:cNvPicPr>
                  </pic:nvPicPr>
                  <pic:blipFill>
                    <a:blip r:embed="rId65"/>
                    <a:stretch>
                      <a:fillRect/>
                    </a:stretch>
                  </pic:blipFill>
                  <pic:spPr bwMode="auto">
                    <a:xfrm>
                      <a:off x="0" y="0"/>
                      <a:ext cx="5334000" cy="2338074"/>
                    </a:xfrm>
                    <a:prstGeom prst="rect">
                      <a:avLst/>
                    </a:prstGeom>
                    <a:noFill/>
                    <a:ln w="9525">
                      <a:noFill/>
                      <a:headEnd/>
                      <a:tailEnd/>
                    </a:ln>
                  </pic:spPr>
                </pic:pic>
              </a:graphicData>
            </a:graphic>
          </wp:inline>
        </w:drawing>
      </w:r>
    </w:p>
    <w:p>
      <w:pPr>
        <w:pStyle w:val="ImageCaption"/>
      </w:pPr>
      <w:r>
        <w:t xml:space="preserve">Figure 1.6– Class diagram: core domain</w:t>
      </w:r>
    </w:p>
    <w:bookmarkEnd w:id="68"/>
    <w:p>
      <w:pPr>
        <w:pStyle w:val="BodyText"/>
      </w:pPr>
      <w:r>
        <w:t xml:space="preserve">The diagram shows that the social layer adds no entity of its own: every interaction</w:t>
      </w:r>
      <w:r>
        <w:t xml:space="preserve"> </w:t>
      </w:r>
      <w:r>
        <w:t xml:space="preserve">is an association between a user and an article, a comment or another user. That is</w:t>
      </w:r>
      <w:r>
        <w:t xml:space="preserve"> </w:t>
      </w:r>
      <w:r>
        <w:t xml:space="preserve">what makes interactions cheap to count for analytics and impossible to duplicate,</w:t>
      </w:r>
      <w:r>
        <w:t xml:space="preserve"> </w:t>
      </w:r>
      <w:r>
        <w:t xml:space="preserve">since the unique pair constraint turns a repeated like into a no-op.</w:t>
      </w:r>
      <w:r>
        <w:t xml:space="preserve"> </w:t>
      </w:r>
      <w:r>
        <w:rPr>
          <w:rStyle w:val="VerbatimChar"/>
        </w:rPr>
        <w:t xml:space="preserve">Article.publisherId</w:t>
      </w:r>
      <w:r>
        <w:t xml:space="preserve"> </w:t>
      </w:r>
      <w:r>
        <w:t xml:space="preserve">names the magazine that published a licensed article and is</w:t>
      </w:r>
      <w:r>
        <w:t xml:space="preserve"> </w:t>
      </w:r>
      <w:r>
        <w:t xml:space="preserve">empty for every other article; it is the single attribute through which the</w:t>
      </w:r>
      <w:r>
        <w:t xml:space="preserve"> </w:t>
      </w:r>
      <w:r>
        <w:t xml:space="preserve">marketplace changes the core model.</w:t>
      </w:r>
    </w:p>
    <w:p>
      <w:pPr>
        <w:pStyle w:val="BodyText"/>
      </w:pPr>
      <w:r>
        <w:rPr>
          <w:b/>
          <w:bCs/>
        </w:rPr>
        <w:t xml:space="preserve">AI, marketplace and analytics.</w:t>
      </w:r>
      <w:r>
        <w:t xml:space="preserve"> </w:t>
      </w:r>
      <w:hyperlink w:anchor="fig:classes-ai">
        <w:r>
          <w:rPr>
            <w:rStyle w:val="Hyperlink"/>
          </w:rPr>
          <w:t xml:space="preserve">Figure 1.7</w:t>
        </w:r>
      </w:hyperlink>
      <w:r>
        <w:t xml:space="preserve"> </w:t>
      </w:r>
      <w:r>
        <w:t xml:space="preserve">shows the remaining tables: the</w:t>
      </w:r>
      <w:r>
        <w:t xml:space="preserve"> </w:t>
      </w:r>
      <w:r>
        <w:t xml:space="preserve">article chunks embedded for retrieval, the writer memory, the cached portfolio</w:t>
      </w:r>
      <w:r>
        <w:t xml:space="preserve"> </w:t>
      </w:r>
      <w:r>
        <w:t xml:space="preserve">insights and the AI interaction log; the private document library and its chunks;</w:t>
      </w:r>
      <w:r>
        <w:t xml:space="preserve"> </w:t>
      </w:r>
      <w:r>
        <w:t xml:space="preserve">purchases, ledger transactions, magazine subscriptions and the eligibility audit log;</w:t>
      </w:r>
      <w:r>
        <w:t xml:space="preserve"> </w:t>
      </w:r>
      <w:r>
        <w:t xml:space="preserve">and the raw analytics events with the four metric rollups.</w:t>
      </w:r>
    </w:p>
    <w:bookmarkStart w:id="72" w:name="fig:classes-ai"/>
    <w:p>
      <w:pPr>
        <w:pStyle w:val="CaptionedFigure"/>
      </w:pPr>
      <w:r>
        <w:drawing>
          <wp:inline>
            <wp:extent cx="5334000" cy="3356847"/>
            <wp:effectExtent b="0" l="0" r="0" t="0"/>
            <wp:docPr descr="Figure 1.7– Class diagram: AI, marketplace and analytics" title="" id="70" name="Picture"/>
            <a:graphic>
              <a:graphicData uri="http://schemas.openxmlformats.org/drawingml/2006/picture">
                <pic:pic>
                  <pic:nvPicPr>
                    <pic:cNvPr descr="../diagrams/fig-2-3-classes-ai-marketplace-analytics/fig-2-3-classes-ai-marketplace-analytics.png" id="71" name="Picture"/>
                    <pic:cNvPicPr>
                      <a:picLocks noChangeArrowheads="1" noChangeAspect="1"/>
                    </pic:cNvPicPr>
                  </pic:nvPicPr>
                  <pic:blipFill>
                    <a:blip r:embed="rId69"/>
                    <a:stretch>
                      <a:fillRect/>
                    </a:stretch>
                  </pic:blipFill>
                  <pic:spPr bwMode="auto">
                    <a:xfrm>
                      <a:off x="0" y="0"/>
                      <a:ext cx="5334000" cy="3356847"/>
                    </a:xfrm>
                    <a:prstGeom prst="rect">
                      <a:avLst/>
                    </a:prstGeom>
                    <a:noFill/>
                    <a:ln w="9525">
                      <a:noFill/>
                      <a:headEnd/>
                      <a:tailEnd/>
                    </a:ln>
                  </pic:spPr>
                </pic:pic>
              </a:graphicData>
            </a:graphic>
          </wp:inline>
        </w:drawing>
      </w:r>
    </w:p>
    <w:p>
      <w:pPr>
        <w:pStyle w:val="ImageCaption"/>
      </w:pPr>
      <w:r>
        <w:t xml:space="preserve">Figure 1.7– Class diagram: AI, marketplace and analytics</w:t>
      </w:r>
    </w:p>
    <w:bookmarkEnd w:id="72"/>
    <w:p>
      <w:pPr>
        <w:pStyle w:val="BodyText"/>
      </w:pPr>
      <w:r>
        <w:t xml:space="preserve">Two properties follow from this diagram. Money is never a single number: a</w:t>
      </w:r>
      <w:r>
        <w:t xml:space="preserve"> </w:t>
      </w:r>
      <w:r>
        <w:rPr>
          <w:rStyle w:val="VerbatimChar"/>
        </w:rPr>
        <w:t xml:space="preserve">Purchase</w:t>
      </w:r>
      <w:r>
        <w:t xml:space="preserve"> </w:t>
      </w:r>
      <w:r>
        <w:t xml:space="preserve">records two to three</w:t>
      </w:r>
      <w:r>
        <w:t xml:space="preserve"> </w:t>
      </w:r>
      <w:r>
        <w:rPr>
          <w:rStyle w:val="VerbatimChar"/>
        </w:rPr>
        <w:t xml:space="preserve">Transaction</w:t>
      </w:r>
      <w:r>
        <w:t xml:space="preserve"> </w:t>
      </w:r>
      <w:r>
        <w:t xml:space="preserve">rows, and every balance can be</w:t>
      </w:r>
      <w:r>
        <w:t xml:space="preserve"> </w:t>
      </w:r>
      <w:r>
        <w:t xml:space="preserve">recomputed from them, which is what the ledger invariants of NFR-19 check. And the</w:t>
      </w:r>
      <w:r>
        <w:t xml:space="preserve"> </w:t>
      </w:r>
      <w:r>
        <w:t xml:space="preserve">analytics are layered: raw</w:t>
      </w:r>
      <w:r>
        <w:t xml:space="preserve"> </w:t>
      </w:r>
      <w:r>
        <w:rPr>
          <w:rStyle w:val="VerbatimChar"/>
        </w:rPr>
        <w:t xml:space="preserve">AnalyticsEvent</w:t>
      </w:r>
      <w:r>
        <w:t xml:space="preserve"> </w:t>
      </w:r>
      <w:r>
        <w:t xml:space="preserve">rows are written once and never read by a</w:t>
      </w:r>
      <w:r>
        <w:t xml:space="preserve"> </w:t>
      </w:r>
      <w:r>
        <w:t xml:space="preserve">dashboard, which reads only the rollups, so a dashboard’s cost does not grow with the</w:t>
      </w:r>
      <w:r>
        <w:t xml:space="preserve"> </w:t>
      </w:r>
      <w:r>
        <w:t xml:space="preserve">event log (NFR-15).</w:t>
      </w:r>
    </w:p>
    <w:bookmarkEnd w:id="73"/>
    <w:bookmarkStart w:id="75"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74"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74"/>
    <w:p>
      <w:pPr>
        <w:pStyle w:val="BodyText"/>
      </w:pPr>
      <w:r>
        <w:t xml:space="preserve">The distribution of points shows where the effort lies. The AI assistance epic is the</w:t>
      </w:r>
      <w:r>
        <w:t xml:space="preserve"> </w:t>
      </w:r>
      <w:r>
        <w:t xml:space="preserve">heaviest (21% of the points) although it is not the largest in stories: its stories —</w:t>
      </w:r>
      <w:r>
        <w:t xml:space="preserve"> </w:t>
      </w:r>
      <w:r>
        <w:t xml:space="preserve">retrieval grounded in the writer’s corpus, writing into the document, voice, the</w:t>
      </w:r>
      <w:r>
        <w:t xml:space="preserve"> </w:t>
      </w:r>
      <w:r>
        <w:t xml:space="preserve">document library —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75"/>
    <w:bookmarkStart w:id="81"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76"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76"/>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 subscription,</w:t>
      </w:r>
      <w:r>
        <w:t xml:space="preserve"> </w:t>
      </w:r>
      <w:r>
        <w:t xml:space="preserve">credits, preview, purchase, publication, earnings —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1.8</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80" w:name="fig:gantt"/>
    <w:p>
      <w:pPr>
        <w:pStyle w:val="CaptionedFigure"/>
      </w:pPr>
      <w:r>
        <w:drawing>
          <wp:inline>
            <wp:extent cx="5334000" cy="2764335"/>
            <wp:effectExtent b="0" l="0" r="0" t="0"/>
            <wp:docPr descr="Figure 1.8– Gantt chart of the project" title="" id="78" name="Picture"/>
            <a:graphic>
              <a:graphicData uri="http://schemas.openxmlformats.org/drawingml/2006/picture">
                <pic:pic>
                  <pic:nvPicPr>
                    <pic:cNvPr descr="../diagrams/fig-2-4-gantt/fig-2-4-gantt.png" id="79" name="Picture"/>
                    <pic:cNvPicPr>
                      <a:picLocks noChangeArrowheads="1" noChangeAspect="1"/>
                    </pic:cNvPicPr>
                  </pic:nvPicPr>
                  <pic:blipFill>
                    <a:blip r:embed="rId77"/>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1.8– Gantt chart of the project</w:t>
      </w:r>
    </w:p>
    <w:bookmarkEnd w:id="80"/>
    <w:p>
      <w:pPr>
        <w:pStyle w:val="BodyText"/>
      </w:pPr>
      <w:r>
        <w:t xml:space="preserve">The chart shows the one break in the rhythm of the sprints: the six weeks of the design</w:t>
      </w:r>
      <w:r>
        <w:t xml:space="preserve"> </w:t>
      </w:r>
      <w:r>
        <w:t xml:space="preserve">track between Sprint 1 and Sprint 2. Placing them there was deliberate — the editor</w:t>
      </w:r>
      <w:r>
        <w:t xml:space="preserve"> </w:t>
      </w:r>
      <w:r>
        <w:t xml:space="preserve">and the social features of Sprint 2 onwards were built from finished screens rather</w:t>
      </w:r>
      <w:r>
        <w:t xml:space="preserve"> </w:t>
      </w:r>
      <w:r>
        <w:t xml:space="preserve">than designed while being coded — and it is the reason the first release spans two</w:t>
      </w:r>
      <w:r>
        <w:t xml:space="preserve"> </w:t>
      </w:r>
      <w:r>
        <w:t xml:space="preserve">months instead of one.</w:t>
      </w:r>
    </w:p>
    <w:bookmarkEnd w:id="81"/>
    <w:bookmarkStart w:id="82"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82"/>
    <w:bookmarkEnd w:id="83"/>
    <w:bookmarkStart w:id="124"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84"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 its logical</w:t>
      </w:r>
      <w:r>
        <w:t xml:space="preserve"> </w:t>
      </w:r>
      <w:r>
        <w:t xml:space="preserve">decomposition on the frontend and the backend, its physical deployment and its</w:t>
      </w:r>
      <w:r>
        <w:t xml:space="preserve"> </w:t>
      </w:r>
      <w:r>
        <w:t xml:space="preserve">delivery pipeline.</w:t>
      </w:r>
    </w:p>
    <w:bookmarkEnd w:id="84"/>
    <w:bookmarkStart w:id="91" w:name="working-environment"/>
    <w:p>
      <w:pPr>
        <w:pStyle w:val="Heading2"/>
      </w:pPr>
      <w:r>
        <w:rPr>
          <w:rStyle w:val="SectionNumber"/>
        </w:rPr>
        <w:t xml:space="preserve">2.1</w:t>
      </w:r>
      <w:r>
        <w:tab/>
      </w:r>
      <w:r>
        <w:t xml:space="preserve">Working environment</w:t>
      </w:r>
    </w:p>
    <w:bookmarkStart w:id="86"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85"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85"/>
    <w:bookmarkEnd w:id="86"/>
    <w:bookmarkStart w:id="88"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 code, diagrams, this report — is kept as text under</w:t>
      </w:r>
      <w:r>
        <w:t xml:space="preserve"> </w:t>
      </w:r>
      <w:r>
        <w:t xml:space="preserve">version control, and everything that runs, runs in a container.</w:t>
      </w:r>
    </w:p>
    <w:bookmarkStart w:id="87"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87"/>
    <w:bookmarkEnd w:id="88"/>
    <w:bookmarkStart w:id="89"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89"/>
    <w:bookmarkStart w:id="90"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90"/>
    <w:bookmarkEnd w:id="91"/>
    <w:bookmarkStart w:id="99"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93"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 the feed, articles, profiles —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92"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 the protected range the assistant writes into needs one</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92"/>
    <w:bookmarkEnd w:id="93"/>
    <w:bookmarkStart w:id="95"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94"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94"/>
    <w:bookmarkEnd w:id="95"/>
    <w:bookmarkStart w:id="97"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96"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96"/>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97"/>
    <w:bookmarkStart w:id="98"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98"/>
    <w:bookmarkEnd w:id="99"/>
    <w:bookmarkStart w:id="101"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 a source, a measurement, or a product decision</w:t>
      </w:r>
      <w:r>
        <w:t xml:space="preserve"> </w:t>
      </w:r>
      <w:r>
        <w:t xml:space="preserve">stated as such.</w:t>
      </w:r>
    </w:p>
    <w:bookmarkStart w:id="100"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00"/>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 prices, fee, credits, thresholds</w:t>
      </w:r>
      <w:r>
        <w:t xml:space="preserve"> </w:t>
      </w:r>
      <w:r>
        <w:t xml:space="preserve">— 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01"/>
    <w:bookmarkStart w:id="112" w:name="logical-architecture"/>
    <w:p>
      <w:pPr>
        <w:pStyle w:val="Heading2"/>
      </w:pPr>
      <w:r>
        <w:rPr>
          <w:rStyle w:val="SectionNumber"/>
        </w:rPr>
        <w:t xml:space="preserve">2.4</w:t>
      </w:r>
      <w:r>
        <w:tab/>
      </w:r>
      <w:r>
        <w:t xml:space="preserve">Logical architecture</w:t>
      </w:r>
    </w:p>
    <w:bookmarkStart w:id="106"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105" w:name="fig:arch-frontend"/>
    <w:p>
      <w:pPr>
        <w:pStyle w:val="CaptionedFigure"/>
      </w:pPr>
      <w:r>
        <w:drawing>
          <wp:inline>
            <wp:extent cx="5334000" cy="2814734"/>
            <wp:effectExtent b="0" l="0" r="0" t="0"/>
            <wp:docPr descr="Figure 2.1– Logical frontend architecture" title="" id="103" name="Picture"/>
            <a:graphic>
              <a:graphicData uri="http://schemas.openxmlformats.org/drawingml/2006/picture">
                <pic:pic>
                  <pic:nvPicPr>
                    <pic:cNvPr descr="../diagrams/fig-3-1-architecture-frontend/fig-3-1-architecture-frontend.png" id="104" name="Picture"/>
                    <pic:cNvPicPr>
                      <a:picLocks noChangeArrowheads="1" noChangeAspect="1"/>
                    </pic:cNvPicPr>
                  </pic:nvPicPr>
                  <pic:blipFill>
                    <a:blip r:embed="rId102"/>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105"/>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among them the editor, the</w:t>
      </w:r>
      <w:r>
        <w:t xml:space="preserve"> </w:t>
      </w:r>
      <w:r>
        <w:t xml:space="preserve">assistant, documents, the marketplace and the evaluation report). A</w:t>
      </w:r>
      <w:r>
        <w:t xml:space="preserve"> </w:t>
      </w:r>
      <w:r>
        <w:rPr>
          <w:b/>
          <w:bCs/>
        </w:rPr>
        <w:t xml:space="preserve">state and data</w:t>
      </w:r>
      <w:r>
        <w:t xml:space="preserve"> </w:t>
      </w:r>
      <w:r>
        <w:t xml:space="preserve">layer holds the query cache, the client stores, the HTTP interceptors that refresh an</w:t>
      </w:r>
      <w:r>
        <w:t xml:space="preserve"> </w:t>
      </w:r>
      <w:r>
        <w:t xml:space="preserve">expired access token and retry the request, and the analytics tracker. A</w:t>
      </w:r>
      <w:r>
        <w:t xml:space="preserve"> </w:t>
      </w:r>
      <w:r>
        <w:rPr>
          <w:b/>
          <w:bCs/>
        </w:rPr>
        <w:t xml:space="preserve">request</w:t>
      </w:r>
      <w:r>
        <w:rPr>
          <w:b/>
          <w:bCs/>
        </w:rPr>
        <w:t xml:space="preserve"> </w:t>
      </w:r>
      <w:r>
        <w:rPr>
          <w:b/>
          <w:bCs/>
        </w:rPr>
        <w:t xml:space="preserve">proxy</w:t>
      </w:r>
      <w:r>
        <w:t xml:space="preserve"> </w:t>
      </w:r>
      <w:r>
        <w:t xml:space="preserve">protects private routes before a page renders. Two channels bypass the REST</w:t>
      </w:r>
      <w:r>
        <w:t xml:space="preserve"> </w:t>
      </w:r>
      <w:r>
        <w:t xml:space="preserve">API: an</w:t>
      </w:r>
      <w:r>
        <w:t xml:space="preserve"> </w:t>
      </w:r>
      <w:r>
        <w:rPr>
          <w:b/>
          <w:bCs/>
        </w:rPr>
        <w:t xml:space="preserve">SSE client</w:t>
      </w:r>
      <w:r>
        <w:t xml:space="preserve"> </w:t>
      </w:r>
      <w:r>
        <w:t xml:space="preserve">for live notifications, and</w:t>
      </w:r>
      <w:r>
        <w:t xml:space="preserve"> </w:t>
      </w:r>
      <w:r>
        <w:rPr>
          <w:b/>
          <w:bCs/>
        </w:rPr>
        <w:t xml:space="preserve">direct uploads</w:t>
      </w:r>
      <w:r>
        <w:t xml:space="preserve"> </w:t>
      </w:r>
      <w:r>
        <w:t xml:space="preserve">from the browser</w:t>
      </w:r>
      <w:r>
        <w:t xml:space="preserve"> </w:t>
      </w:r>
      <w:r>
        <w:t xml:space="preserve">to object storage. The figure shows that no feature module talks to the network</w:t>
      </w:r>
      <w:r>
        <w:t xml:space="preserve"> </w:t>
      </w:r>
      <w:r>
        <w:t xml:space="preserve">directly: they go through the data layer, which is why token refresh and error</w:t>
      </w:r>
      <w:r>
        <w:t xml:space="preserve"> </w:t>
      </w:r>
      <w:r>
        <w:t xml:space="preserve">handling are written once.</w:t>
      </w:r>
    </w:p>
    <w:bookmarkEnd w:id="106"/>
    <w:bookmarkStart w:id="111"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110" w:name="fig:arch-backend"/>
    <w:p>
      <w:pPr>
        <w:pStyle w:val="CaptionedFigure"/>
      </w:pPr>
      <w:r>
        <w:drawing>
          <wp:inline>
            <wp:extent cx="5334000" cy="3720719"/>
            <wp:effectExtent b="0" l="0" r="0" t="0"/>
            <wp:docPr descr="Figure 2.2– Logical backend architecture" title="" id="108" name="Picture"/>
            <a:graphic>
              <a:graphicData uri="http://schemas.openxmlformats.org/drawingml/2006/picture">
                <pic:pic>
                  <pic:nvPicPr>
                    <pic:cNvPr descr="../diagrams/fig-3-2-architecture-backend/fig-3-2-architecture-backend.png" id="109" name="Picture"/>
                    <pic:cNvPicPr>
                      <a:picLocks noChangeArrowheads="1" noChangeAspect="1"/>
                    </pic:cNvPicPr>
                  </pic:nvPicPr>
                  <pic:blipFill>
                    <a:blip r:embed="rId107"/>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110"/>
    <w:p>
      <w:pPr>
        <w:pStyle w:val="BodyText"/>
      </w:pPr>
      <w:r>
        <w:t xml:space="preserve">The</w:t>
      </w:r>
      <w:r>
        <w:t xml:space="preserve"> </w:t>
      </w:r>
      <w:r>
        <w:rPr>
          <w:b/>
          <w:bCs/>
        </w:rPr>
        <w:t xml:space="preserve">API</w:t>
      </w:r>
      <w:r>
        <w:t xml:space="preserve"> </w:t>
      </w:r>
      <w:r>
        <w:t xml:space="preserve">is a modular NestJS application: a global rate-limiting guard runs on every</w:t>
      </w:r>
      <w:r>
        <w:t xml:space="preserve"> </w:t>
      </w:r>
      <w:r>
        <w:t xml:space="preserve">route, then the guards composed once by the</w:t>
      </w:r>
      <w:r>
        <w:t xml:space="preserve"> </w:t>
      </w:r>
      <w:r>
        <w:rPr>
          <w:rStyle w:val="VerbatimChar"/>
        </w:rPr>
        <w:t xml:space="preserve">@Auth()</w:t>
      </w:r>
      <w:r>
        <w:t xml:space="preserve"> </w:t>
      </w:r>
      <w:r>
        <w:t xml:space="preserve">decorator — authentication, role,</w:t>
      </w:r>
      <w:r>
        <w:t xml:space="preserve"> </w:t>
      </w:r>
      <w:r>
        <w:t xml:space="preserve">plan, account type, subscription and AI quota. The feature modules cover</w:t>
      </w:r>
      <w:r>
        <w:t xml:space="preserve"> </w:t>
      </w:r>
      <w:r>
        <w:t xml:space="preserve">authentication and users, articles, social interactions, AI, analytics, the</w:t>
      </w:r>
      <w:r>
        <w:t xml:space="preserve"> </w:t>
      </w:r>
      <w:r>
        <w:t xml:space="preserve">marketplace, search, moderation and uploads, and documents. The</w:t>
      </w:r>
      <w:r>
        <w:t xml:space="preserve"> </w:t>
      </w:r>
      <w:r>
        <w:rPr>
          <w:b/>
          <w:bCs/>
        </w:rPr>
        <w:t xml:space="preserve">worker</w:t>
      </w:r>
      <w:r>
        <w:t xml:space="preserve"> </w:t>
      </w:r>
      <w:r>
        <w:t xml:space="preserve">consumes six</w:t>
      </w:r>
      <w:r>
        <w:t xml:space="preserve"> </w:t>
      </w:r>
      <w:r>
        <w:t xml:space="preserve">queues:</w:t>
      </w:r>
      <w:r>
        <w:t xml:space="preserve"> </w:t>
      </w:r>
      <w:r>
        <w:rPr>
          <w:rStyle w:val="VerbatimChar"/>
        </w:rPr>
        <w:t xml:space="preserve">embeddings</w:t>
      </w:r>
      <w:r>
        <w:t xml:space="preserve"> </w:t>
      </w:r>
      <w:r>
        <w:t xml:space="preserve">(chunking and embedding articles, extracting writer memory),</w:t>
      </w:r>
      <w:r>
        <w:t xml:space="preserve"> </w:t>
      </w:r>
      <w:r>
        <w:rPr>
          <w:rStyle w:val="VerbatimChar"/>
        </w:rPr>
        <w:t xml:space="preserve">analytics</w:t>
      </w:r>
      <w:r>
        <w:t xml:space="preserve"> </w:t>
      </w:r>
      <w:r>
        <w:t xml:space="preserve">(article and writer rollups),</w:t>
      </w:r>
      <w:r>
        <w:t xml:space="preserve"> </w:t>
      </w:r>
      <w:r>
        <w:rPr>
          <w:rStyle w:val="VerbatimChar"/>
        </w:rPr>
        <w:t xml:space="preserve">marketplace</w:t>
      </w:r>
      <w:r>
        <w:t xml:space="preserve"> </w:t>
      </w:r>
      <w:r>
        <w:t xml:space="preserve">(eligibility and subscription</w:t>
      </w:r>
      <w:r>
        <w:t xml:space="preserve"> </w:t>
      </w:r>
      <w:r>
        <w:t xml:space="preserve">renewal),</w:t>
      </w:r>
      <w:r>
        <w:t xml:space="preserve"> </w:t>
      </w:r>
      <w:r>
        <w:rPr>
          <w:rStyle w:val="VerbatimChar"/>
        </w:rPr>
        <w:t xml:space="preserve">ai-tokens</w:t>
      </w:r>
      <w:r>
        <w:t xml:space="preserve"> </w:t>
      </w:r>
      <w:r>
        <w:t xml:space="preserve">(the nightly allowance reset),</w:t>
      </w:r>
      <w:r>
        <w:t xml:space="preserve"> </w:t>
      </w:r>
      <w:r>
        <w:rPr>
          <w:rStyle w:val="VerbatimChar"/>
        </w:rPr>
        <w:t xml:space="preserve">documents</w:t>
      </w:r>
      <w:r>
        <w:t xml:space="preserve"> </w:t>
      </w:r>
      <w:r>
        <w:t xml:space="preserve">(ingesting uploaded</w:t>
      </w:r>
      <w:r>
        <w:t xml:space="preserve"> </w:t>
      </w:r>
      <w:r>
        <w:t xml:space="preserve">documents) and</w:t>
      </w:r>
      <w:r>
        <w:t xml:space="preserve"> </w:t>
      </w:r>
      <w:r>
        <w:rPr>
          <w:rStyle w:val="VerbatimChar"/>
        </w:rPr>
        <w:t xml:space="preserve">ai-models</w:t>
      </w:r>
      <w:r>
        <w:t xml:space="preserve"> </w:t>
      </w:r>
      <w:r>
        <w:t xml:space="preserve">(a daily check that every model still answers). The figure</w:t>
      </w:r>
      <w:r>
        <w:t xml:space="preserve"> </w:t>
      </w:r>
      <w:r>
        <w:t xml:space="preserve">makes the split visible: everything slow or scheduled lives in the worker, so the API’s</w:t>
      </w:r>
      <w:r>
        <w:t xml:space="preserve"> </w:t>
      </w:r>
      <w:r>
        <w:t xml:space="preserve">response time never includes a model call made on behalf of a background task</w:t>
      </w:r>
      <w:r>
        <w:t xml:space="preserve"> </w:t>
      </w:r>
      <w:r>
        <w:t xml:space="preserve">(NFR-27).</w:t>
      </w:r>
    </w:p>
    <w:bookmarkEnd w:id="111"/>
    <w:bookmarkEnd w:id="112"/>
    <w:bookmarkStart w:id="117"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16" w:name="fig:arch-physical"/>
    <w:p>
      <w:pPr>
        <w:pStyle w:val="CaptionedFigure"/>
      </w:pPr>
      <w:r>
        <w:drawing>
          <wp:inline>
            <wp:extent cx="5334000" cy="3066686"/>
            <wp:effectExtent b="0" l="0" r="0" t="0"/>
            <wp:docPr descr="Figure 2.3– Physical architecture" title="" id="114" name="Picture"/>
            <a:graphic>
              <a:graphicData uri="http://schemas.openxmlformats.org/drawingml/2006/picture">
                <pic:pic>
                  <pic:nvPicPr>
                    <pic:cNvPr descr="../diagrams/fig-3-3-architecture-physical/fig-3-3-architecture-physical.png" id="115" name="Picture"/>
                    <pic:cNvPicPr>
                      <a:picLocks noChangeArrowheads="1" noChangeAspect="1"/>
                    </pic:cNvPicPr>
                  </pic:nvPicPr>
                  <pic:blipFill>
                    <a:blip r:embed="rId113"/>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16"/>
    <w:p>
      <w:pPr>
        <w:pStyle w:val="BodyText"/>
      </w:pPr>
      <w:r>
        <w:rPr>
          <w:b/>
          <w:bCs/>
        </w:rPr>
        <w:t xml:space="preserve">nginx is the only service published</w:t>
      </w:r>
      <w:r>
        <w:t xml:space="preserve">, on ports 80 and 443: it terminates TLS,</w:t>
      </w:r>
      <w:r>
        <w:t xml:space="preserve"> </w:t>
      </w:r>
      <w:r>
        <w:t xml:space="preserve">proxies</w:t>
      </w:r>
      <w:r>
        <w:t xml:space="preserve"> </w:t>
      </w:r>
      <w:r>
        <w:rPr>
          <w:rStyle w:val="VerbatimChar"/>
        </w:rPr>
        <w:t xml:space="preserve">/</w:t>
      </w:r>
      <w:r>
        <w:t xml:space="preserve"> </w:t>
      </w:r>
      <w:r>
        <w:t xml:space="preserve">to the Next.js server and</w:t>
      </w:r>
      <w:r>
        <w:t xml:space="preserve"> </w:t>
      </w:r>
      <w:r>
        <w:rPr>
          <w:rStyle w:val="VerbatimChar"/>
        </w:rPr>
        <w:t xml:space="preserve">/api</w:t>
      </w:r>
      <w:r>
        <w:t xml:space="preserve"> </w:t>
      </w:r>
      <w:r>
        <w:t xml:space="preserve">to the NestJS API, keeps server-sent</w:t>
      </w:r>
      <w:r>
        <w:t xml:space="preserve"> </w:t>
      </w:r>
      <w:r>
        <w:t xml:space="preserve">events unbuffered, and serves the public image bucket at</w:t>
      </w:r>
      <w:r>
        <w:t xml:space="preserve"> </w:t>
      </w:r>
      <w:r>
        <w:rPr>
          <w:rStyle w:val="VerbatimChar"/>
        </w:rPr>
        <w:t xml:space="preserve">/storage</w:t>
      </w:r>
      <w:r>
        <w:t xml:space="preserve">. Private documents</w:t>
      </w:r>
      <w:r>
        <w:t xml:space="preserve"> </w:t>
      </w:r>
      <w:r>
        <w:t xml:space="preserve">never take that path; they are read through the API, which checks ownership. The</w:t>
      </w:r>
      <w:r>
        <w:t xml:space="preserve"> </w:t>
      </w:r>
      <w:r>
        <w:t xml:space="preserve">datastores are reachable only from inside the Compose network. The figure therefore</w:t>
      </w:r>
      <w:r>
        <w:t xml:space="preserve"> </w:t>
      </w:r>
      <w:r>
        <w:t xml:space="preserve">shows a single attack surface — one proxy — and a single place where TLS, buffering</w:t>
      </w:r>
      <w:r>
        <w:t xml:space="preserve"> </w:t>
      </w:r>
      <w:r>
        <w:t xml:space="preserve">and timeouts are configured.</w:t>
      </w:r>
    </w:p>
    <w:bookmarkEnd w:id="117"/>
    <w:bookmarkStart w:id="122"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21" w:name="fig:arch-cicd"/>
    <w:p>
      <w:pPr>
        <w:pStyle w:val="CaptionedFigure"/>
      </w:pPr>
      <w:r>
        <w:drawing>
          <wp:inline>
            <wp:extent cx="5334000" cy="2888654"/>
            <wp:effectExtent b="0" l="0" r="0" t="0"/>
            <wp:docPr descr="Figure 2.4– CI/CD pipeline" title="" id="119" name="Picture"/>
            <a:graphic>
              <a:graphicData uri="http://schemas.openxmlformats.org/drawingml/2006/picture">
                <pic:pic>
                  <pic:nvPicPr>
                    <pic:cNvPr descr="../diagrams/fig-3-4-architecture-cicd/fig-3-4-architecture-cicd.png" id="120" name="Picture"/>
                    <pic:cNvPicPr>
                      <a:picLocks noChangeArrowheads="1" noChangeAspect="1"/>
                    </pic:cNvPicPr>
                  </pic:nvPicPr>
                  <pic:blipFill>
                    <a:blip r:embed="rId118"/>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21"/>
    <w:p>
      <w:pPr>
        <w:pStyle w:val="BodyText"/>
      </w:pPr>
      <w:r>
        <w:t xml:space="preserve">A push to</w:t>
      </w:r>
      <w:r>
        <w:t xml:space="preserve"> </w:t>
      </w:r>
      <w:r>
        <w:rPr>
          <w:rStyle w:val="VerbatimChar"/>
        </w:rPr>
        <w:t xml:space="preserve">main</w:t>
      </w:r>
      <w:r>
        <w:t xml:space="preserve"> </w:t>
      </w:r>
      <w:r>
        <w:t xml:space="preserve">on either application repository runs the quality gates — install,</w:t>
      </w:r>
      <w:r>
        <w:t xml:space="preserve"> </w:t>
      </w:r>
      <w:r>
        <w:t xml:space="preserve">lint with zero warnings, type-check, the backend tests, a schema-drift check — then</w:t>
      </w:r>
      <w:r>
        <w:t xml:space="preserve"> </w:t>
      </w:r>
      <w:r>
        <w:t xml:space="preserve">builds a multi-stage image and pushes it to GHCR, tagged both</w:t>
      </w:r>
      <w:r>
        <w:t xml:space="preserve"> </w:t>
      </w:r>
      <w:r>
        <w:rPr>
          <w:rStyle w:val="VerbatimChar"/>
        </w:rPr>
        <w:t xml:space="preserve">latest</w:t>
      </w:r>
      <w:r>
        <w:t xml:space="preserve"> </w:t>
      </w:r>
      <w:r>
        <w:t xml:space="preserve">and with the</w:t>
      </w:r>
      <w:r>
        <w:t xml:space="preserve"> </w:t>
      </w:r>
      <w:r>
        <w:t xml:space="preserve">commit hash. A repository dispatch then triggers the deployment workflow of the</w:t>
      </w:r>
      <w:r>
        <w:t xml:space="preserve"> </w:t>
      </w:r>
      <w:r>
        <w:t xml:space="preserve">superproject, which pulls the images on the server, runs the migrations (which must</w:t>
      </w:r>
      <w:r>
        <w:t xml:space="preserve"> </w:t>
      </w:r>
      <w:r>
        <w:t xml:space="preserve">succeed before the API and worker start), restarts the services, verifies the health</w:t>
      </w:r>
      <w:r>
        <w:t xml:space="preserve"> </w:t>
      </w:r>
      <w:r>
        <w:t xml:space="preserve">and readiness endpoints and reloads nginx. The pipeline guarantees that no image</w:t>
      </w:r>
      <w:r>
        <w:t xml:space="preserve"> </w:t>
      </w:r>
      <w:r>
        <w:t xml:space="preserve">reaches the registry without passing the gates, and the commit-hash tag means any</w:t>
      </w:r>
      <w:r>
        <w:t xml:space="preserve"> </w:t>
      </w:r>
      <w:r>
        <w:t xml:space="preserve">deployed version can be traced to its source and redeployed.</w:t>
      </w:r>
    </w:p>
    <w:bookmarkEnd w:id="122"/>
    <w:bookmarkStart w:id="123"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23"/>
    <w:bookmarkEnd w:id="124"/>
    <w:bookmarkStart w:id="212"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25"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25"/>
    <w:bookmarkStart w:id="168" w:name="sec:sprint1"/>
    <w:p>
      <w:pPr>
        <w:pStyle w:val="Heading2"/>
      </w:pPr>
      <w:r>
        <w:rPr>
          <w:rStyle w:val="SectionNumber"/>
        </w:rPr>
        <w:t xml:space="preserve">3.1</w:t>
      </w:r>
      <w:r>
        <w:tab/>
      </w:r>
      <w:r>
        <w:t xml:space="preserve">Sprint 1 — Schema, authentication and article core</w:t>
      </w:r>
    </w:p>
    <w:bookmarkStart w:id="127"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26"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26"/>
    <w:p>
      <w:pPr>
        <w:pStyle w:val="BodyText"/>
      </w:pPr>
      <w:r>
        <w:t xml:space="preserve">The sprint commits 45 points, close to the average of the project. Almost a</w:t>
      </w:r>
      <w:r>
        <w:t xml:space="preserve"> </w:t>
      </w:r>
      <w:r>
        <w:t xml:space="preserve">fifth of them (US-49, US-50, US-51) produce nothing a user sees — the invariant harness,</w:t>
      </w:r>
      <w:r>
        <w:t xml:space="preserve"> </w:t>
      </w:r>
      <w:r>
        <w:t xml:space="preserve">the one-command stack and the quality gates — and were placed first on purpose: every</w:t>
      </w:r>
      <w:r>
        <w:t xml:space="preserve"> </w:t>
      </w:r>
      <w:r>
        <w:t xml:space="preserve">later sprint is built and verified with them.</w:t>
      </w:r>
    </w:p>
    <w:bookmarkEnd w:id="127"/>
    <w:bookmarkStart w:id="133"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31" w:name="fig:uc-s1"/>
    <w:p>
      <w:pPr>
        <w:pStyle w:val="CaptionedFigure"/>
      </w:pPr>
      <w:r>
        <w:drawing>
          <wp:inline>
            <wp:extent cx="5334000" cy="2446451"/>
            <wp:effectExtent b="0" l="0" r="0" t="0"/>
            <wp:docPr descr="Figure 3.1– Use case diagram, Sprint 1" title="" id="129" name="Picture"/>
            <a:graphic>
              <a:graphicData uri="http://schemas.openxmlformats.org/drawingml/2006/picture">
                <pic:pic>
                  <pic:nvPicPr>
                    <pic:cNvPr descr="../diagrams/fig-4-1-use-case-sprint-1/fig-4-1-use-case-sprint-1.png" id="130" name="Picture"/>
                    <pic:cNvPicPr>
                      <a:picLocks noChangeArrowheads="1" noChangeAspect="1"/>
                    </pic:cNvPicPr>
                  </pic:nvPicPr>
                  <pic:blipFill>
                    <a:blip r:embed="rId128"/>
                    <a:stretch>
                      <a:fillRect/>
                    </a:stretch>
                  </pic:blipFill>
                  <pic:spPr bwMode="auto">
                    <a:xfrm>
                      <a:off x="0" y="0"/>
                      <a:ext cx="5334000" cy="2446451"/>
                    </a:xfrm>
                    <a:prstGeom prst="rect">
                      <a:avLst/>
                    </a:prstGeom>
                    <a:noFill/>
                    <a:ln w="9525">
                      <a:noFill/>
                      <a:headEnd/>
                      <a:tailEnd/>
                    </a:ln>
                  </pic:spPr>
                </pic:pic>
              </a:graphicData>
            </a:graphic>
          </wp:inline>
        </w:drawing>
      </w:r>
    </w:p>
    <w:p>
      <w:pPr>
        <w:pStyle w:val="ImageCaption"/>
      </w:pPr>
      <w:r>
        <w:t xml:space="preserve">Figure 3.1– Use case diagram, Sprint 1</w:t>
      </w:r>
    </w:p>
    <w:bookmarkEnd w:id="131"/>
    <w:p>
      <w:pPr>
        <w:pStyle w:val="BodyText"/>
      </w:pPr>
      <w:r>
        <w:t xml:space="preserve">Registering specialises into registering as a reader or as a magazine; managing one’s</w:t>
      </w:r>
      <w:r>
        <w:t xml:space="preserve"> </w:t>
      </w:r>
      <w:r>
        <w:t xml:space="preserve">own articles specialises into creating a draft, editing, publishing and deleting;</w:t>
      </w:r>
      <w:r>
        <w:t xml:space="preserve"> </w:t>
      </w:r>
      <w:r>
        <w:t xml:space="preserve">publishing includes choosing a placement and a visibility. The diagram shows that from</w:t>
      </w:r>
      <w:r>
        <w:t xml:space="preserve"> </w:t>
      </w:r>
      <w:r>
        <w:t xml:space="preserve">the first sprint every account is one of two types and every article has a placement:</w:t>
      </w:r>
      <w:r>
        <w:t xml:space="preserve"> </w:t>
      </w:r>
      <w:r>
        <w:t xml:space="preserve">the two properties on which the marketplace of Release 3 rests are in place before the</w:t>
      </w:r>
      <w:r>
        <w:t xml:space="preserve"> </w:t>
      </w:r>
      <w:r>
        <w:t xml:space="preserve">marketplace itself.</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32"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32"/>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33"/>
    <w:bookmarkStart w:id="142"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37" w:name="fig:classes-s1"/>
    <w:p>
      <w:pPr>
        <w:pStyle w:val="CaptionedFigure"/>
      </w:pPr>
      <w:r>
        <w:drawing>
          <wp:inline>
            <wp:extent cx="5334000" cy="4426818"/>
            <wp:effectExtent b="0" l="0" r="0" t="0"/>
            <wp:docPr descr="Figure 3.2– Class diagram, Sprint 1" title="" id="135" name="Picture"/>
            <a:graphic>
              <a:graphicData uri="http://schemas.openxmlformats.org/drawingml/2006/picture">
                <pic:pic>
                  <pic:nvPicPr>
                    <pic:cNvPr descr="../diagrams/fig-4-2-classes-sprint-1/fig-4-2-classes-sprint-1.png" id="136" name="Picture"/>
                    <pic:cNvPicPr>
                      <a:picLocks noChangeArrowheads="1" noChangeAspect="1"/>
                    </pic:cNvPicPr>
                  </pic:nvPicPr>
                  <pic:blipFill>
                    <a:blip r:embed="rId134"/>
                    <a:stretch>
                      <a:fillRect/>
                    </a:stretch>
                  </pic:blipFill>
                  <pic:spPr bwMode="auto">
                    <a:xfrm>
                      <a:off x="0" y="0"/>
                      <a:ext cx="5334000" cy="4426818"/>
                    </a:xfrm>
                    <a:prstGeom prst="rect">
                      <a:avLst/>
                    </a:prstGeom>
                    <a:noFill/>
                    <a:ln w="9525">
                      <a:noFill/>
                      <a:headEnd/>
                      <a:tailEnd/>
                    </a:ln>
                  </pic:spPr>
                </pic:pic>
              </a:graphicData>
            </a:graphic>
          </wp:inline>
        </w:drawing>
      </w:r>
    </w:p>
    <w:p>
      <w:pPr>
        <w:pStyle w:val="ImageCaption"/>
      </w:pPr>
      <w:r>
        <w:t xml:space="preserve">Figure 3.2– Class diagram, Sprint 1</w:t>
      </w:r>
    </w:p>
    <w:bookmarkEnd w:id="137"/>
    <w:p>
      <w:pPr>
        <w:pStyle w:val="BodyText"/>
      </w:pPr>
      <w:r>
        <w:t xml:space="preserve">The</w:t>
      </w:r>
      <w:r>
        <w:t xml:space="preserve"> </w:t>
      </w:r>
      <w:r>
        <w:rPr>
          <w:rStyle w:val="VerbatimChar"/>
        </w:rPr>
        <w:t xml:space="preserve">User</w:t>
      </w:r>
      <w:r>
        <w:t xml:space="preserve"> </w:t>
      </w:r>
      <w:r>
        <w:t xml:space="preserve">carries its account type, authentication provider, role and plan; the</w:t>
      </w:r>
      <w:r>
        <w:t xml:space="preserve"> </w:t>
      </w:r>
      <w:r>
        <w:rPr>
          <w:rStyle w:val="VerbatimChar"/>
        </w:rPr>
        <w:t xml:space="preserve">MagazineProfile</w:t>
      </w:r>
      <w:r>
        <w:t xml:space="preserve"> </w:t>
      </w:r>
      <w:r>
        <w:t xml:space="preserve">extends a magazine account with its name, slug and branding; the</w:t>
      </w:r>
      <w:r>
        <w:t xml:space="preserve"> </w:t>
      </w:r>
      <w:r>
        <w:rPr>
          <w:rStyle w:val="VerbatimChar"/>
        </w:rPr>
        <w:t xml:space="preserve">Article</w:t>
      </w:r>
      <w:r>
        <w:t xml:space="preserve"> </w:t>
      </w:r>
      <w:r>
        <w:t xml:space="preserve">carries its status, placement, visibility and generated search vector; tags</w:t>
      </w:r>
      <w:r>
        <w:t xml:space="preserve"> </w:t>
      </w:r>
      <w:r>
        <w:t xml:space="preserve">are a many-to-many association and comments form a thread. The diagram shows the</w:t>
      </w:r>
      <w:r>
        <w:t xml:space="preserve"> </w:t>
      </w:r>
      <w:r>
        <w:t xml:space="preserve">single-table design of accounts: one</w:t>
      </w:r>
      <w:r>
        <w:t xml:space="preserve"> </w:t>
      </w:r>
      <w:r>
        <w:rPr>
          <w:rStyle w:val="VerbatimChar"/>
        </w:rPr>
        <w:t xml:space="preserve">User</w:t>
      </w:r>
      <w:r>
        <w:t xml:space="preserve"> </w:t>
      </w:r>
      <w:r>
        <w:t xml:space="preserve">class for every kind of account, the</w:t>
      </w:r>
      <w:r>
        <w:t xml:space="preserve"> </w:t>
      </w:r>
      <w:r>
        <w:t xml:space="preserve">differences carried by attributes, and a database constraint that keeps role and plan</w:t>
      </w:r>
      <w:r>
        <w:t xml:space="preserve"> </w:t>
      </w:r>
      <w:r>
        <w:t xml:space="preserve">empty for a magazine. That is what lets one authentication path serve every actor.</w:t>
      </w:r>
    </w:p>
    <w:p>
      <w:pPr>
        <w:pStyle w:val="BodyText"/>
      </w:pPr>
      <w:r>
        <w:rPr>
          <w:b/>
          <w:bCs/>
        </w:rPr>
        <w:t xml:space="preserve">Sequence diagram —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41" w:name="fig:seq-auth"/>
    <w:p>
      <w:pPr>
        <w:pStyle w:val="CaptionedFigure"/>
      </w:pPr>
      <w:r>
        <w:drawing>
          <wp:inline>
            <wp:extent cx="5334000" cy="5485504"/>
            <wp:effectExtent b="0" l="0" r="0" t="0"/>
            <wp:docPr descr="Figure 3.3– Sequence diagram: sign in and silent refresh" title="" id="139" name="Picture"/>
            <a:graphic>
              <a:graphicData uri="http://schemas.openxmlformats.org/drawingml/2006/picture">
                <pic:pic>
                  <pic:nvPicPr>
                    <pic:cNvPr descr="../diagrams/fig-4-3-sequence-authentication/fig-4-3-sequence-authentication.png" id="140" name="Picture"/>
                    <pic:cNvPicPr>
                      <a:picLocks noChangeArrowheads="1" noChangeAspect="1"/>
                    </pic:cNvPicPr>
                  </pic:nvPicPr>
                  <pic:blipFill>
                    <a:blip r:embed="rId138"/>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41"/>
    <w:p>
      <w:pPr>
        <w:pStyle w:val="BodyText"/>
      </w:pPr>
      <w:r>
        <w:t xml:space="preserve">Sign-in is rate-limited per address — ten attempts a minute, five for registration,</w:t>
      </w:r>
      <w:r>
        <w:t xml:space="preserve"> </w:t>
      </w:r>
      <w:r>
        <w:t xml:space="preserve">against sixty for other routes — and answers 429 before the account is even read. On</w:t>
      </w:r>
      <w:r>
        <w:t xml:space="preserve"> </w:t>
      </w:r>
      <w:r>
        <w:t xml:space="preserve">success the system issues a 15-minute access token and a 7-day refresh token; when a</w:t>
      </w:r>
      <w:r>
        <w:t xml:space="preserve"> </w:t>
      </w:r>
      <w:r>
        <w:t xml:space="preserve">later request meets an expired access token, the client refreshes it, rewrites both</w:t>
      </w:r>
      <w:r>
        <w:t xml:space="preserve"> </w:t>
      </w:r>
      <w:r>
        <w:t xml:space="preserve">the client store and the cookie the route proxy reads, and retries the original</w:t>
      </w:r>
      <w:r>
        <w:t xml:space="preserve"> </w:t>
      </w:r>
      <w:r>
        <w:t xml:space="preserve">request transparently. The diagram shows why a long writing session is never</w:t>
      </w:r>
      <w:r>
        <w:t xml:space="preserve"> </w:t>
      </w:r>
      <w:r>
        <w:t xml:space="preserve">interrupted (US-04) while a stolen or revoked access token is useful for at most</w:t>
      </w:r>
      <w:r>
        <w:t xml:space="preserve"> </w:t>
      </w:r>
      <w:r>
        <w:t xml:space="preserve">fifteen minutes (NFR-02, NFR-09).</w:t>
      </w:r>
    </w:p>
    <w:p>
      <w:pPr>
        <w:pStyle w:val="BodyText"/>
      </w:pPr>
      <w:r>
        <w:rPr>
          <w:b/>
          <w:bCs/>
        </w:rPr>
        <w:t xml:space="preserve">The ledger invariant harness.</w:t>
      </w:r>
      <w:r>
        <w:t xml:space="preserve"> </w:t>
      </w:r>
      <w:r>
        <w:t xml:space="preserve">Money-like data appears from Sprint 5 onwards, but</w:t>
      </w:r>
      <w:r>
        <w:t xml:space="preserve"> </w:t>
      </w:r>
      <w:r>
        <w:t xml:space="preserve">its correctness rule is set here: every denormalised balance — a magazine’s credit</w:t>
      </w:r>
      <w:r>
        <w:t xml:space="preserve"> </w:t>
      </w:r>
      <w:r>
        <w:t xml:space="preserve">balance, a writer’s earnings — must equal the sum of its ledger rows. Three invariants</w:t>
      </w:r>
      <w:r>
        <w:t xml:space="preserve"> </w:t>
      </w:r>
      <w:r>
        <w:t xml:space="preserve">encode that rule and are asserted after every test that moves credits. The harness is</w:t>
      </w:r>
      <w:r>
        <w:t xml:space="preserve"> </w:t>
      </w:r>
      <w:r>
        <w:t xml:space="preserve">itself tested by sabotage: fixtures build a coherent purchase, then corrupt one column</w:t>
      </w:r>
      <w:r>
        <w:t xml:space="preserve"> </w:t>
      </w:r>
      <w:r>
        <w:t xml:space="preserve">at a time and check that the right invariant fails. Writing the check before the</w:t>
      </w:r>
      <w:r>
        <w:t xml:space="preserve"> </w:t>
      </w:r>
      <w:r>
        <w:t xml:space="preserve">feature means that no purchase code was ever written without it.</w:t>
      </w:r>
    </w:p>
    <w:bookmarkEnd w:id="142"/>
    <w:bookmarkStart w:id="167"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46" w:name="fig:home"/>
    <w:p>
      <w:pPr>
        <w:pStyle w:val="CaptionedFigure"/>
      </w:pPr>
      <w:r>
        <w:drawing>
          <wp:inline>
            <wp:extent cx="4267200" cy="2667000"/>
            <wp:effectExtent b="0" l="0" r="0" t="0"/>
            <wp:docPr descr="Figure 3.4– The public feed, as seen by a visitor" title="" id="144" name="Picture"/>
            <a:graphic>
              <a:graphicData uri="http://schemas.openxmlformats.org/drawingml/2006/picture">
                <pic:pic>
                  <pic:nvPicPr>
                    <pic:cNvPr descr="../figures/screens/guest-01-home.png" id="145" name="Picture"/>
                    <pic:cNvPicPr>
                      <a:picLocks noChangeArrowheads="1" noChangeAspect="1"/>
                    </pic:cNvPicPr>
                  </pic:nvPicPr>
                  <pic:blipFill>
                    <a:blip r:embed="rId1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46"/>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50" w:name="fig:login"/>
    <w:p>
      <w:pPr>
        <w:pStyle w:val="CaptionedFigure"/>
      </w:pPr>
      <w:r>
        <w:drawing>
          <wp:inline>
            <wp:extent cx="4267200" cy="2667000"/>
            <wp:effectExtent b="0" l="0" r="0" t="0"/>
            <wp:docPr descr="Figure 3.5– Sign-in, with Google sign-in" title="" id="148" name="Picture"/>
            <a:graphic>
              <a:graphicData uri="http://schemas.openxmlformats.org/drawingml/2006/picture">
                <pic:pic>
                  <pic:nvPicPr>
                    <pic:cNvPr descr="../figures/screens/guest-02-login.png" id="149" name="Picture"/>
                    <pic:cNvPicPr>
                      <a:picLocks noChangeArrowheads="1" noChangeAspect="1"/>
                    </pic:cNvPicPr>
                  </pic:nvPicPr>
                  <pic:blipFill>
                    <a:blip r:embed="rId1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50"/>
    <w:p>
      <w:pPr>
        <w:pStyle w:val="BodyText"/>
      </w:pPr>
      <w:r>
        <w:t xml:space="preserve">It offers the two authentication methods of FR-05 side by side — e-mail and password,</w:t>
      </w:r>
      <w:r>
        <w:t xml:space="preserve"> </w:t>
      </w:r>
      <w:r>
        <w:t xml:space="preserve">and</w:t>
      </w:r>
      <w:r>
        <w:t xml:space="preserve"> </w:t>
      </w:r>
      <w:r>
        <w:rPr>
          <w:i/>
          <w:iCs/>
        </w:rPr>
        <w:t xml:space="preserve">Continue with Google</w:t>
      </w:r>
      <w:r>
        <w:t xml:space="preserve"> </w:t>
      </w:r>
      <w:r>
        <w:t xml:space="preserve">— and the link to registration that</w:t>
      </w:r>
      <w:r>
        <w:t xml:space="preserve"> </w:t>
      </w:r>
      <w:hyperlink w:anchor="fig:uc-visitor-reader">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54" w:name="fig:register"/>
    <w:p>
      <w:pPr>
        <w:pStyle w:val="CaptionedFigure"/>
      </w:pPr>
      <w:r>
        <w:drawing>
          <wp:inline>
            <wp:extent cx="4267200" cy="2667000"/>
            <wp:effectExtent b="0" l="0" r="0" t="0"/>
            <wp:docPr descr="Figure 3.6– Registering a personal account" title="" id="152" name="Picture"/>
            <a:graphic>
              <a:graphicData uri="http://schemas.openxmlformats.org/drawingml/2006/picture">
                <pic:pic>
                  <pic:nvPicPr>
                    <pic:cNvPr descr="../figures/screens/guest-03-register.png" id="153" name="Picture"/>
                    <pic:cNvPicPr>
                      <a:picLocks noChangeArrowheads="1" noChangeAspect="1"/>
                    </pic:cNvPicPr>
                  </pic:nvPicPr>
                  <pic:blipFill>
                    <a:blip r:embed="rId1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54"/>
    <w:bookmarkStart w:id="158" w:name="fig:register-magazine"/>
    <w:p>
      <w:pPr>
        <w:pStyle w:val="CaptionedFigure"/>
      </w:pPr>
      <w:r>
        <w:drawing>
          <wp:inline>
            <wp:extent cx="4267200" cy="2667000"/>
            <wp:effectExtent b="0" l="0" r="0" t="0"/>
            <wp:docPr descr="Figure 3.7– Registering a magazine account" title="" id="156" name="Picture"/>
            <a:graphic>
              <a:graphicData uri="http://schemas.openxmlformats.org/drawingml/2006/picture">
                <pic:pic>
                  <pic:nvPicPr>
                    <pic:cNvPr descr="../figures/screens/guest-04-register-magazine.png" id="157" name="Picture"/>
                    <pic:cNvPicPr>
                      <a:picLocks noChangeArrowheads="1" noChangeAspect="1"/>
                    </pic:cNvPicPr>
                  </pic:nvPicPr>
                  <pic:blipFill>
                    <a:blip r:embed="rId1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58"/>
    <w:p>
      <w:pPr>
        <w:pStyle w:val="BodyText"/>
      </w:pPr>
      <w:r>
        <w:t xml:space="preserve">The magazine form asks for what a writer will see of the buyer — the slug that becomes</w:t>
      </w:r>
      <w:r>
        <w:t xml:space="preserve"> </w:t>
      </w:r>
      <w:r>
        <w:t xml:space="preserve">the magazine’s public address, its name, website, description and logo — and none of</w:t>
      </w:r>
      <w:r>
        <w:t xml:space="preserve"> </w:t>
      </w:r>
      <w:r>
        <w:t xml:space="preserve">the personal fields. The two forms are FR-04 and FR-39: one platform,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62" w:name="fig:article-free"/>
    <w:p>
      <w:pPr>
        <w:pStyle w:val="CaptionedFigure"/>
      </w:pPr>
      <w:r>
        <w:drawing>
          <wp:inline>
            <wp:extent cx="4267200" cy="2667000"/>
            <wp:effectExtent b="0" l="0" r="0" t="0"/>
            <wp:docPr descr="Figure 3.8– A free article, readable without an account" title="" id="160" name="Picture"/>
            <a:graphic>
              <a:graphicData uri="http://schemas.openxmlformats.org/drawingml/2006/picture">
                <pic:pic>
                  <pic:nvPicPr>
                    <pic:cNvPr descr="../figures/screens/guest-05-article-free.png" id="161" name="Picture"/>
                    <pic:cNvPicPr>
                      <a:picLocks noChangeArrowheads="1" noChangeAspect="1"/>
                    </pic:cNvPicPr>
                  </pic:nvPicPr>
                  <pic:blipFill>
                    <a:blip r:embed="rId1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62"/>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66" w:name="fig:settings"/>
    <w:p>
      <w:pPr>
        <w:pStyle w:val="CaptionedFigure"/>
      </w:pPr>
      <w:r>
        <w:drawing>
          <wp:inline>
            <wp:extent cx="4267200" cy="2667000"/>
            <wp:effectExtent b="0" l="0" r="0" t="0"/>
            <wp:docPr descr="Figure 3.9– Profile settings" title="" id="164" name="Picture"/>
            <a:graphic>
              <a:graphicData uri="http://schemas.openxmlformats.org/drawingml/2006/picture">
                <pic:pic>
                  <pic:nvPicPr>
                    <pic:cNvPr descr="../figures/screens/reader-04-settings.png" id="165" name="Picture"/>
                    <pic:cNvPicPr>
                      <a:picLocks noChangeArrowheads="1" noChangeAspect="1"/>
                    </pic:cNvPicPr>
                  </pic:nvPicPr>
                  <pic:blipFill>
                    <a:blip r:embed="rId1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66"/>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67"/>
    <w:bookmarkEnd w:id="168"/>
    <w:bookmarkStart w:id="210" w:name="sec:sprint2"/>
    <w:p>
      <w:pPr>
        <w:pStyle w:val="Heading2"/>
      </w:pPr>
      <w:r>
        <w:rPr>
          <w:rStyle w:val="SectionNumber"/>
        </w:rPr>
        <w:t xml:space="preserve">3.2</w:t>
      </w:r>
      <w:r>
        <w:tab/>
      </w:r>
      <w:r>
        <w:t xml:space="preserve">Sprint 2 — Editor, AI assistance and event capture</w:t>
      </w:r>
    </w:p>
    <w:bookmarkStart w:id="170"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69"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69"/>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70"/>
    <w:bookmarkStart w:id="175"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74" w:name="fig:uc-s2"/>
    <w:p>
      <w:pPr>
        <w:pStyle w:val="CaptionedFigure"/>
      </w:pPr>
      <w:r>
        <w:drawing>
          <wp:inline>
            <wp:extent cx="5334000" cy="2385607"/>
            <wp:effectExtent b="0" l="0" r="0" t="0"/>
            <wp:docPr descr="Figure 3.10– Use case diagram, Sprint 2" title="" id="172" name="Picture"/>
            <a:graphic>
              <a:graphicData uri="http://schemas.openxmlformats.org/drawingml/2006/picture">
                <pic:pic>
                  <pic:nvPicPr>
                    <pic:cNvPr descr="../diagrams/fig-4-4-use-case-sprint-2/fig-4-4-use-case-sprint-2.png" id="173" name="Picture"/>
                    <pic:cNvPicPr>
                      <a:picLocks noChangeArrowheads="1" noChangeAspect="1"/>
                    </pic:cNvPicPr>
                  </pic:nvPicPr>
                  <pic:blipFill>
                    <a:blip r:embed="rId171"/>
                    <a:stretch>
                      <a:fillRect/>
                    </a:stretch>
                  </pic:blipFill>
                  <pic:spPr bwMode="auto">
                    <a:xfrm>
                      <a:off x="0" y="0"/>
                      <a:ext cx="5334000" cy="2385607"/>
                    </a:xfrm>
                    <a:prstGeom prst="rect">
                      <a:avLst/>
                    </a:prstGeom>
                    <a:noFill/>
                    <a:ln w="9525">
                      <a:noFill/>
                      <a:headEnd/>
                      <a:tailEnd/>
                    </a:ln>
                  </pic:spPr>
                </pic:pic>
              </a:graphicData>
            </a:graphic>
          </wp:inline>
        </w:drawing>
      </w:r>
    </w:p>
    <w:p>
      <w:pPr>
        <w:pStyle w:val="ImageCaption"/>
      </w:pPr>
      <w:r>
        <w:t xml:space="preserve">Figure 3.10– Use case diagram, Sprint 2</w:t>
      </w:r>
    </w:p>
    <w:bookmarkEnd w:id="174"/>
    <w:p>
      <w:pPr>
        <w:pStyle w:val="BodyText"/>
      </w:pPr>
      <w:r>
        <w:t xml:space="preserve">Writing in the editor specialises into formatting, inserting an image and setting a</w:t>
      </w:r>
      <w:r>
        <w:t xml:space="preserve"> </w:t>
      </w:r>
      <w:r>
        <w:t xml:space="preserve">cover image, and includes saving the draft automatically. Using the assistant</w:t>
      </w:r>
      <w:r>
        <w:t xml:space="preserve"> </w:t>
      </w:r>
      <w:r>
        <w:t xml:space="preserve">specialises into chatting and applying an inline action, and includes consuming the</w:t>
      </w:r>
      <w:r>
        <w:t xml:space="preserve"> </w:t>
      </w:r>
      <w:r>
        <w:t xml:space="preserve">daily allowance; inserting the answer into the document extends the chat. Reading an</w:t>
      </w:r>
      <w:r>
        <w:t xml:space="preserve"> </w:t>
      </w:r>
      <w:r>
        <w:t xml:space="preserve">article includes recording reading events. The diagram shows that every AI use case</w:t>
      </w:r>
      <w:r>
        <w:t xml:space="preserve"> </w:t>
      </w:r>
      <w:r>
        <w:t xml:space="preserve">passes through the allowance: there is no path to a model that is not counted.</w:t>
      </w:r>
      <w:r>
        <w:t xml:space="preserve"> </w:t>
      </w:r>
      <w:r>
        <w:t xml:space="preserve">The allowance belongs to the premium plan (FR-17); in this sprint premium accounts</w:t>
      </w:r>
      <w:r>
        <w:t xml:space="preserve"> </w:t>
      </w:r>
      <w:r>
        <w:t xml:space="preserve">are created by the seed, and upgrading from the interface arrives with the plans of</w:t>
      </w:r>
      <w:r>
        <w:t xml:space="preserve"> </w:t>
      </w:r>
      <w:r>
        <w:t xml:space="preserve">Sprint 5.</w:t>
      </w:r>
    </w:p>
    <w:bookmarkEnd w:id="175"/>
    <w:bookmarkStart w:id="184"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79" w:name="fig:classes-s2"/>
    <w:p>
      <w:pPr>
        <w:pStyle w:val="CaptionedFigure"/>
      </w:pPr>
      <w:r>
        <w:drawing>
          <wp:inline>
            <wp:extent cx="5334000" cy="3307711"/>
            <wp:effectExtent b="0" l="0" r="0" t="0"/>
            <wp:docPr descr="Figure 3.11– Class diagram, Sprint 2" title="" id="177" name="Picture"/>
            <a:graphic>
              <a:graphicData uri="http://schemas.openxmlformats.org/drawingml/2006/picture">
                <pic:pic>
                  <pic:nvPicPr>
                    <pic:cNvPr descr="../diagrams/fig-4-5-classes-sprint-2/fig-4-5-classes-sprint-2.png" id="178" name="Picture"/>
                    <pic:cNvPicPr>
                      <a:picLocks noChangeArrowheads="1" noChangeAspect="1"/>
                    </pic:cNvPicPr>
                  </pic:nvPicPr>
                  <pic:blipFill>
                    <a:blip r:embed="rId176"/>
                    <a:stretch>
                      <a:fillRect/>
                    </a:stretch>
                  </pic:blipFill>
                  <pic:spPr bwMode="auto">
                    <a:xfrm>
                      <a:off x="0" y="0"/>
                      <a:ext cx="5334000" cy="3307711"/>
                    </a:xfrm>
                    <a:prstGeom prst="rect">
                      <a:avLst/>
                    </a:prstGeom>
                    <a:noFill/>
                    <a:ln w="9525">
                      <a:noFill/>
                      <a:headEnd/>
                      <a:tailEnd/>
                    </a:ln>
                  </pic:spPr>
                </pic:pic>
              </a:graphicData>
            </a:graphic>
          </wp:inline>
        </w:drawing>
      </w:r>
    </w:p>
    <w:p>
      <w:pPr>
        <w:pStyle w:val="ImageCaption"/>
      </w:pPr>
      <w:r>
        <w:t xml:space="preserve">Figure 3.11– Class diagram, Sprint 2</w:t>
      </w:r>
    </w:p>
    <w:bookmarkEnd w:id="179"/>
    <w:p>
      <w:pPr>
        <w:pStyle w:val="BodyText"/>
      </w:pPr>
      <w:r>
        <w:t xml:space="preserve">Each AI call is logged as an</w:t>
      </w:r>
      <w:r>
        <w:t xml:space="preserve"> </w:t>
      </w:r>
      <w:r>
        <w:rPr>
          <w:rStyle w:val="VerbatimChar"/>
        </w:rPr>
        <w:t xml:space="preserve">AiInteraction</w:t>
      </w:r>
      <w:r>
        <w:t xml:space="preserve"> </w:t>
      </w:r>
      <w:r>
        <w:t xml:space="preserve">with its action type, tokens used and</w:t>
      </w:r>
      <w:r>
        <w:t xml:space="preserve"> </w:t>
      </w:r>
      <w:r>
        <w:t xml:space="preserve">model; reading is recorded as</w:t>
      </w:r>
      <w:r>
        <w:t xml:space="preserve"> </w:t>
      </w:r>
      <w:r>
        <w:rPr>
          <w:rStyle w:val="VerbatimChar"/>
        </w:rPr>
        <w:t xml:space="preserve">AnalyticsEvent</w:t>
      </w:r>
      <w:r>
        <w:t xml:space="preserve"> </w:t>
      </w:r>
      <w:r>
        <w:t xml:space="preserve">rows (view, scroll, time on page, like,</w:t>
      </w:r>
      <w:r>
        <w:t xml:space="preserve"> </w:t>
      </w:r>
      <w:r>
        <w:t xml:space="preserve">comment, repost); and the user carries the remaining daily token allowance and the time</w:t>
      </w:r>
      <w:r>
        <w:t xml:space="preserve"> </w:t>
      </w:r>
      <w:r>
        <w:t xml:space="preserve">of its last reset. The diagram shows that cost and reading are both recorded as</w:t>
      </w:r>
      <w:r>
        <w:t xml:space="preserve"> </w:t>
      </w:r>
      <w:r>
        <w:t xml:space="preserve">append-only rows: the allowance can be audited from the interaction log, and every</w:t>
      </w:r>
      <w:r>
        <w:t xml:space="preserve"> </w:t>
      </w:r>
      <w:r>
        <w:t xml:space="preserve">metric of Release 2 is computed from events written from this sprint on.</w:t>
      </w:r>
    </w:p>
    <w:p>
      <w:pPr>
        <w:pStyle w:val="BodyText"/>
      </w:pPr>
      <w:r>
        <w:rPr>
          <w:b/>
          <w:bCs/>
        </w:rPr>
        <w:t xml:space="preserve">Sequence diagram —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83" w:name="fig:seq-inline"/>
    <w:p>
      <w:pPr>
        <w:pStyle w:val="CaptionedFigure"/>
      </w:pPr>
      <w:r>
        <w:drawing>
          <wp:inline>
            <wp:extent cx="5334000" cy="4540250"/>
            <wp:effectExtent b="0" l="0" r="0" t="0"/>
            <wp:docPr descr="Figure 3.12– Sequence diagram: inline AI action" title="" id="181" name="Picture"/>
            <a:graphic>
              <a:graphicData uri="http://schemas.openxmlformats.org/drawingml/2006/picture">
                <pic:pic>
                  <pic:nvPicPr>
                    <pic:cNvPr descr="../diagrams/fig-4-6-sequence-inline-ai-edit/fig-4-6-sequence-inline-ai-edit.png" id="182" name="Picture"/>
                    <pic:cNvPicPr>
                      <a:picLocks noChangeArrowheads="1" noChangeAspect="1"/>
                    </pic:cNvPicPr>
                  </pic:nvPicPr>
                  <pic:blipFill>
                    <a:blip r:embed="rId180"/>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83"/>
    <w:p>
      <w:pPr>
        <w:pStyle w:val="BodyText"/>
      </w:pPr>
      <w:r>
        <w:t xml:space="preserve">The editor captures the selected range once, before anything is streamed, so that a</w:t>
      </w:r>
      <w:r>
        <w:t xml:space="preserve"> </w:t>
      </w:r>
      <w:r>
        <w:t xml:space="preserve">click elsewhere cannot move it. The system checks the daily allowance and refuses with</w:t>
      </w:r>
      <w:r>
        <w:t xml:space="preserve"> </w:t>
      </w:r>
      <w:r>
        <w:t xml:space="preserve">403 and a plan-aware notice when it is exhausted; otherwise it builds the prompt from</w:t>
      </w:r>
      <w:r>
        <w:t xml:space="preserve"> </w:t>
      </w:r>
      <w:r>
        <w:t xml:space="preserve">the action, the selection and the surrounding article, streams the suggestion to the</w:t>
      </w:r>
      <w:r>
        <w:t xml:space="preserve"> </w:t>
      </w:r>
      <w:r>
        <w:t xml:space="preserve">editor as it is generated, and records the interaction and its cost. The allowance is</w:t>
      </w:r>
      <w:r>
        <w:t xml:space="preserve"> </w:t>
      </w:r>
      <w:r>
        <w:t xml:space="preserve">checked once, before the call: a reply may cost more than what remained, and the</w:t>
      </w:r>
      <w:r>
        <w:t xml:space="preserve"> </w:t>
      </w:r>
      <w:r>
        <w:t xml:space="preserve">balance then stops at zero. The diagram shows the trade-off chosen — the writer is</w:t>
      </w:r>
      <w:r>
        <w:t xml:space="preserve"> </w:t>
      </w:r>
      <w:r>
        <w:t xml:space="preserve">never cut off in the middle of a reply, at the price of a small overrun on the last</w:t>
      </w:r>
      <w:r>
        <w:t xml:space="preserve"> </w:t>
      </w:r>
      <w:r>
        <w:t xml:space="preserve">call of the day.</w:t>
      </w:r>
    </w:p>
    <w:p>
      <w:pPr>
        <w:pStyle w:val="BodyText"/>
      </w:pPr>
      <w:r>
        <w:rPr>
          <w:b/>
          <w:bCs/>
        </w:rPr>
        <w:t xml:space="preserve">Event capture.</w:t>
      </w:r>
      <w:r>
        <w:t xml:space="preserve"> </w:t>
      </w:r>
      <w:r>
        <w:t xml:space="preserve">The article page observes scroll depth and engaged time and sends</w:t>
      </w:r>
      <w:r>
        <w:t xml:space="preserve"> </w:t>
      </w:r>
      <w:r>
        <w:t xml:space="preserve">batched events — every ten events, every five seconds, or when the page is left — to</w:t>
      </w:r>
      <w:r>
        <w:t xml:space="preserve"> </w:t>
      </w:r>
      <w:r>
        <w:rPr>
          <w:rStyle w:val="VerbatimChar"/>
        </w:rPr>
        <w:t xml:space="preserve">POST /analytics/events</w:t>
      </w:r>
      <w:r>
        <w:t xml:space="preserve">. The server, not the client, attaches the reader’s identity</w:t>
      </w:r>
      <w:r>
        <w:t xml:space="preserve"> </w:t>
      </w:r>
      <w:r>
        <w:t xml:space="preserve">from the access token, the country and the device, so a reader cannot forge another</w:t>
      </w:r>
      <w:r>
        <w:t xml:space="preserve"> </w:t>
      </w:r>
      <w:r>
        <w:t xml:space="preserve">reader’s events. Capture starts in this sprint so that real reading data accumulates</w:t>
      </w:r>
      <w:r>
        <w:t xml:space="preserve"> </w:t>
      </w:r>
      <w:r>
        <w:t xml:space="preserve">before the dashboards of Release 2 aggregate it.</w:t>
      </w:r>
    </w:p>
    <w:bookmarkEnd w:id="184"/>
    <w:bookmarkStart w:id="209"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188" w:name="fig:editor"/>
    <w:p>
      <w:pPr>
        <w:pStyle w:val="CaptionedFigure"/>
      </w:pPr>
      <w:r>
        <w:drawing>
          <wp:inline>
            <wp:extent cx="4267200" cy="2667000"/>
            <wp:effectExtent b="0" l="0" r="0" t="0"/>
            <wp:docPr descr="Figure 3.13– The rich-text editor with the assistant panel" title="" id="186" name="Picture"/>
            <a:graphic>
              <a:graphicData uri="http://schemas.openxmlformats.org/drawingml/2006/picture">
                <pic:pic>
                  <pic:nvPicPr>
                    <pic:cNvPr descr="../figures/screens/writer-03-editor.png" id="187" name="Picture"/>
                    <pic:cNvPicPr>
                      <a:picLocks noChangeArrowheads="1" noChangeAspect="1"/>
                    </pic:cNvPicPr>
                  </pic:nvPicPr>
                  <pic:blipFill>
                    <a:blip r:embed="rId1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188"/>
    <w:p>
      <w:pPr>
        <w:pStyle w:val="BodyText"/>
      </w:pPr>
      <w:r>
        <w:t xml:space="preserve">The draft is edited as rich text, with a toolbar for emphasis, three heading levels,</w:t>
      </w:r>
      <w:r>
        <w:t xml:space="preserve"> </w:t>
      </w:r>
      <w:r>
        <w:t xml:space="preserve">lists, quotes, code and images (FR-18, FR-20); the</w:t>
      </w:r>
      <w:r>
        <w:t xml:space="preserve"> </w:t>
      </w:r>
      <w:r>
        <w:rPr>
          <w:i/>
          <w:iCs/>
        </w:rPr>
        <w:t xml:space="preserve">Saved</w:t>
      </w:r>
      <w:r>
        <w:t xml:space="preserve"> </w:t>
      </w:r>
      <w:r>
        <w:t xml:space="preserve">label beside the title</w:t>
      </w:r>
      <w:r>
        <w:t xml:space="preserve"> </w:t>
      </w:r>
      <w:r>
        <w:t xml:space="preserve">reports the automatic save that replaces a save button (FR-19). The assistant sits beside the text rather than in another page,</w:t>
      </w:r>
      <w:r>
        <w:t xml:space="preserve"> </w:t>
      </w:r>
      <w:r>
        <w:t xml:space="preserve">which is the premise of the whole product: help arrives where the writing 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192" w:name="fig:publish-dialog"/>
    <w:p>
      <w:pPr>
        <w:pStyle w:val="CaptionedFigure"/>
      </w:pPr>
      <w:r>
        <w:drawing>
          <wp:inline>
            <wp:extent cx="4267200" cy="2667000"/>
            <wp:effectExtent b="0" l="0" r="0" t="0"/>
            <wp:docPr descr="Figure 3.14– The publish dialog: placement, visibility, tags and excerpt" title="" id="190" name="Picture"/>
            <a:graphic>
              <a:graphicData uri="http://schemas.openxmlformats.org/drawingml/2006/picture">
                <pic:pic>
                  <pic:nvPicPr>
                    <pic:cNvPr descr="../figures/screens/writer-04-publish-dialog.png" id="191" name="Picture"/>
                    <pic:cNvPicPr>
                      <a:picLocks noChangeArrowheads="1" noChangeAspect="1"/>
                    </pic:cNvPicPr>
                  </pic:nvPicPr>
                  <pic:blipFill>
                    <a:blip r:embed="rId1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192"/>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 placement, visibility, cover, tags</w:t>
      </w:r>
      <w:r>
        <w:t xml:space="preserve"> </w:t>
      </w:r>
      <w:r>
        <w:t xml:space="preserve">and excerpt (FR-21, FR-23, FR-24) —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196" w:name="fig:ai-panel"/>
    <w:p>
      <w:pPr>
        <w:pStyle w:val="CaptionedFigure"/>
      </w:pPr>
      <w:r>
        <w:drawing>
          <wp:inline>
            <wp:extent cx="4267200" cy="2667000"/>
            <wp:effectExtent b="0" l="0" r="0" t="0"/>
            <wp:docPr descr="Figure 3.15– The AI assistant panel" title="" id="194" name="Picture"/>
            <a:graphic>
              <a:graphicData uri="http://schemas.openxmlformats.org/drawingml/2006/picture">
                <pic:pic>
                  <pic:nvPicPr>
                    <pic:cNvPr descr="../figures/screens/writer-05-ai-panel.png" id="195" name="Picture"/>
                    <pic:cNvPicPr>
                      <a:picLocks noChangeArrowheads="1" noChangeAspect="1"/>
                    </pic:cNvPicPr>
                  </pic:nvPicPr>
                  <pic:blipFill>
                    <a:blip r:embed="rId1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196"/>
    <w:bookmarkStart w:id="200" w:name="fig:ai-answer"/>
    <w:p>
      <w:pPr>
        <w:pStyle w:val="CaptionedFigure"/>
      </w:pPr>
      <w:r>
        <w:drawing>
          <wp:inline>
            <wp:extent cx="4267200" cy="2667000"/>
            <wp:effectExtent b="0" l="0" r="0" t="0"/>
            <wp:docPr descr="Figure 3.16– An answer from the assistant" title="" id="198" name="Picture"/>
            <a:graphic>
              <a:graphicData uri="http://schemas.openxmlformats.org/drawingml/2006/picture">
                <pic:pic>
                  <pic:nvPicPr>
                    <pic:cNvPr descr="../figures/screens/writer-06-ai-answer.png" id="199" name="Picture"/>
                    <pic:cNvPicPr>
                      <a:picLocks noChangeArrowheads="1" noChangeAspect="1"/>
                    </pic:cNvPicPr>
                  </pic:nvPicPr>
                  <pic:blipFill>
                    <a:blip r:embed="rId19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200"/>
    <w:p>
      <w:pPr>
        <w:pStyle w:val="BodyText"/>
      </w:pPr>
      <w:r>
        <w:t xml:space="preserve">The panel shows the remaining allowance — 20,000 tokens at the start of the day —</w:t>
      </w:r>
      <w:r>
        <w:t xml:space="preserve"> </w:t>
      </w:r>
      <w:r>
        <w:t xml:space="preserve">before the writer asks anything (FR-31), so the cost of a question is never a</w:t>
      </w:r>
      <w:r>
        <w:t xml:space="preserve"> </w:t>
      </w:r>
      <w:r>
        <w:t xml:space="preserve">surprise. The answer is streamed as it is generated</w:t>
      </w:r>
      <w:r>
        <w:t xml:space="preserve"> </w:t>
      </w:r>
      <w:r>
        <w:t xml:space="preserve">and can be inserted into the document at the cursor (FR-27, FR-30); Sprint 8 later</w:t>
      </w:r>
      <w:r>
        <w:t xml:space="preserve"> </w:t>
      </w:r>
      <w:r>
        <w:t xml:space="preserve">replaces this manual insertion by an assistant that writes into the document itself.</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204" w:name="fig:inline-menu"/>
    <w:p>
      <w:pPr>
        <w:pStyle w:val="CaptionedFigure"/>
      </w:pPr>
      <w:r>
        <w:drawing>
          <wp:inline>
            <wp:extent cx="4267200" cy="2667000"/>
            <wp:effectExtent b="0" l="0" r="0" t="0"/>
            <wp:docPr descr="Figure 3.17– The inline actions on a selection" title="" id="202" name="Picture"/>
            <a:graphic>
              <a:graphicData uri="http://schemas.openxmlformats.org/drawingml/2006/picture">
                <pic:pic>
                  <pic:nvPicPr>
                    <pic:cNvPr descr="../figures/screens/writer-07-inline-menu.png" id="203" name="Picture"/>
                    <pic:cNvPicPr>
                      <a:picLocks noChangeArrowheads="1" noChangeAspect="1"/>
                    </pic:cNvPicPr>
                  </pic:nvPicPr>
                  <pic:blipFill>
                    <a:blip r:embed="rId2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204"/>
    <w:bookmarkStart w:id="208" w:name="fig:inline-suggestion"/>
    <w:p>
      <w:pPr>
        <w:pStyle w:val="CaptionedFigure"/>
      </w:pPr>
      <w:r>
        <w:drawing>
          <wp:inline>
            <wp:extent cx="4267200" cy="2667000"/>
            <wp:effectExtent b="0" l="0" r="0" t="0"/>
            <wp:docPr descr="Figure 3.18– An inline suggestion, ready to replace the selection" title="" id="206" name="Picture"/>
            <a:graphic>
              <a:graphicData uri="http://schemas.openxmlformats.org/drawingml/2006/picture">
                <pic:pic>
                  <pic:nvPicPr>
                    <pic:cNvPr descr="../figures/screens/writer-08-inline-suggestion.png" id="207" name="Picture"/>
                    <pic:cNvPicPr>
                      <a:picLocks noChangeArrowheads="1" noChangeAspect="1"/>
                    </pic:cNvPicPr>
                  </pic:nvPicPr>
                  <pic:blipFill>
                    <a:blip r:embed="rId2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208"/>
    <w:p>
      <w:pPr>
        <w:pStyle w:val="BodyText"/>
      </w:pPr>
      <w:r>
        <w:t xml:space="preserve">Selecting text opens the five actions of FR-28 —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09"/>
    <w:bookmarkEnd w:id="210"/>
    <w:bookmarkStart w:id="211"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11"/>
    <w:bookmarkEnd w:id="212"/>
    <w:bookmarkStart w:id="300"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13"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13"/>
    <w:bookmarkStart w:id="264" w:name="sec:sprint3"/>
    <w:p>
      <w:pPr>
        <w:pStyle w:val="Heading2"/>
      </w:pPr>
      <w:r>
        <w:rPr>
          <w:rStyle w:val="SectionNumber"/>
        </w:rPr>
        <w:t xml:space="preserve">4.1</w:t>
      </w:r>
      <w:r>
        <w:tab/>
      </w:r>
      <w:r>
        <w:t xml:space="preserve">Sprint 3 — Social interactions, notifications and analytics</w:t>
      </w:r>
    </w:p>
    <w:bookmarkStart w:id="215"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14"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14"/>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15"/>
    <w:bookmarkStart w:id="220"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19" w:name="fig:uc-s3"/>
    <w:p>
      <w:pPr>
        <w:pStyle w:val="CaptionedFigure"/>
      </w:pPr>
      <w:r>
        <w:drawing>
          <wp:inline>
            <wp:extent cx="5334000" cy="1789446"/>
            <wp:effectExtent b="0" l="0" r="0" t="0"/>
            <wp:docPr descr="Figure 4.1– Use case diagram, Sprint 3" title="" id="217" name="Picture"/>
            <a:graphic>
              <a:graphicData uri="http://schemas.openxmlformats.org/drawingml/2006/picture">
                <pic:pic>
                  <pic:nvPicPr>
                    <pic:cNvPr descr="../diagrams/fig-5-1-use-case-sprint-3/fig-5-1-use-case-sprint-3.png" id="218" name="Picture"/>
                    <pic:cNvPicPr>
                      <a:picLocks noChangeArrowheads="1" noChangeAspect="1"/>
                    </pic:cNvPicPr>
                  </pic:nvPicPr>
                  <pic:blipFill>
                    <a:blip r:embed="rId216"/>
                    <a:stretch>
                      <a:fillRect/>
                    </a:stretch>
                  </pic:blipFill>
                  <pic:spPr bwMode="auto">
                    <a:xfrm>
                      <a:off x="0" y="0"/>
                      <a:ext cx="5334000" cy="1789446"/>
                    </a:xfrm>
                    <a:prstGeom prst="rect">
                      <a:avLst/>
                    </a:prstGeom>
                    <a:noFill/>
                    <a:ln w="9525">
                      <a:noFill/>
                      <a:headEnd/>
                      <a:tailEnd/>
                    </a:ln>
                  </pic:spPr>
                </pic:pic>
              </a:graphicData>
            </a:graphic>
          </wp:inline>
        </w:drawing>
      </w:r>
    </w:p>
    <w:p>
      <w:pPr>
        <w:pStyle w:val="ImageCaption"/>
      </w:pPr>
      <w:r>
        <w:t xml:space="preserve">Figure 4.1– Use case diagram, Sprint 3</w:t>
      </w:r>
    </w:p>
    <w:bookmarkEnd w:id="219"/>
    <w:p>
      <w:pPr>
        <w:pStyle w:val="BodyText"/>
      </w:pPr>
      <w:r>
        <w:t xml:space="preserve">Interacting with an article specialises into liking, commenting, replying, reposting,</w:t>
      </w:r>
      <w:r>
        <w:t xml:space="preserve"> </w:t>
      </w:r>
      <w:r>
        <w:t xml:space="preserve">following and reporting, and includes notifying the recipient. On a marketplace</w:t>
      </w:r>
      <w:r>
        <w:t xml:space="preserve"> </w:t>
      </w:r>
      <w:r>
        <w:t xml:space="preserve">listing, liking, commenting and reposting are refused while saving stays available,</w:t>
      </w:r>
      <w:r>
        <w:t xml:space="preserve"> </w:t>
      </w:r>
      <w:r>
        <w:t xml:space="preserve">because a listing is a private commercial offer rather than a publication (FR-70).</w:t>
      </w:r>
      <w:r>
        <w:t xml:space="preserve"> </w:t>
      </w:r>
      <w:r>
        <w:t xml:space="preserve">Viewing article analytics and reading a writer evaluation both include the aggregation</w:t>
      </w:r>
      <w:r>
        <w:t xml:space="preserve"> </w:t>
      </w:r>
      <w:r>
        <w:t xml:space="preserve">of raw events into metrics — a scheduled job rather than a user action, drawn because</w:t>
      </w:r>
      <w:r>
        <w:t xml:space="preserve"> </w:t>
      </w:r>
      <w:r>
        <w:t xml:space="preserve">no metric exists without it. The diagram therefore shows the two halves of the sprint</w:t>
      </w:r>
      <w:r>
        <w:t xml:space="preserve"> </w:t>
      </w:r>
      <w:r>
        <w:t xml:space="preserve">joined at one point: interactions produce events, and the aggregation turns events</w:t>
      </w:r>
      <w:r>
        <w:t xml:space="preserve"> </w:t>
      </w:r>
      <w:r>
        <w:t xml:space="preserve">into the numbers both the writer and the magazine read.</w:t>
      </w:r>
    </w:p>
    <w:bookmarkEnd w:id="220"/>
    <w:bookmarkStart w:id="234"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24" w:name="fig:classes-s3"/>
    <w:p>
      <w:pPr>
        <w:pStyle w:val="CaptionedFigure"/>
      </w:pPr>
      <w:r>
        <w:drawing>
          <wp:inline>
            <wp:extent cx="5334000" cy="3286842"/>
            <wp:effectExtent b="0" l="0" r="0" t="0"/>
            <wp:docPr descr="Figure 4.2– Class diagram, Sprint 3" title="" id="222" name="Picture"/>
            <a:graphic>
              <a:graphicData uri="http://schemas.openxmlformats.org/drawingml/2006/picture">
                <pic:pic>
                  <pic:nvPicPr>
                    <pic:cNvPr descr="../diagrams/fig-5-2-classes-sprint-3/fig-5-2-classes-sprint-3.png" id="223" name="Picture"/>
                    <pic:cNvPicPr>
                      <a:picLocks noChangeArrowheads="1" noChangeAspect="1"/>
                    </pic:cNvPicPr>
                  </pic:nvPicPr>
                  <pic:blipFill>
                    <a:blip r:embed="rId221"/>
                    <a:stretch>
                      <a:fillRect/>
                    </a:stretch>
                  </pic:blipFill>
                  <pic:spPr bwMode="auto">
                    <a:xfrm>
                      <a:off x="0" y="0"/>
                      <a:ext cx="5334000" cy="3286842"/>
                    </a:xfrm>
                    <a:prstGeom prst="rect">
                      <a:avLst/>
                    </a:prstGeom>
                    <a:noFill/>
                    <a:ln w="9525">
                      <a:noFill/>
                      <a:headEnd/>
                      <a:tailEnd/>
                    </a:ln>
                  </pic:spPr>
                </pic:pic>
              </a:graphicData>
            </a:graphic>
          </wp:inline>
        </w:drawing>
      </w:r>
    </w:p>
    <w:p>
      <w:pPr>
        <w:pStyle w:val="ImageCaption"/>
      </w:pPr>
      <w:r>
        <w:t xml:space="preserve">Figure 4.2– Class diagram, Sprint 3</w:t>
      </w:r>
    </w:p>
    <w:bookmarkEnd w:id="224"/>
    <w:p>
      <w:pPr>
        <w:pStyle w:val="BodyText"/>
      </w:pPr>
      <w:r>
        <w:t xml:space="preserve">Likes, reposts and follows are many-to-many associations; comments and notifications</w:t>
      </w:r>
      <w:r>
        <w:t xml:space="preserve"> </w:t>
      </w:r>
      <w:r>
        <w:t xml:space="preserve">are classes because they carry content and state. The four rollup tables are</w:t>
      </w:r>
      <w:r>
        <w:t xml:space="preserve"> </w:t>
      </w:r>
      <w:r>
        <w:rPr>
          <w:rStyle w:val="VerbatimChar"/>
        </w:rPr>
        <w:t xml:space="preserve">ArticleMetrics</w:t>
      </w:r>
      <w:r>
        <w:t xml:space="preserve"> </w:t>
      </w:r>
      <w:r>
        <w:t xml:space="preserve">per article, and</w:t>
      </w:r>
      <w:r>
        <w:t xml:space="preserve"> </w:t>
      </w:r>
      <w:r>
        <w:rPr>
          <w:rStyle w:val="VerbatimChar"/>
        </w:rPr>
        <w:t xml:space="preserve">WriterAudienceMetrics</w:t>
      </w:r>
      <w:r>
        <w:t xml:space="preserve">,</w:t>
      </w:r>
      <w:r>
        <w:t xml:space="preserve"> </w:t>
      </w:r>
      <w:r>
        <w:rPr>
          <w:rStyle w:val="VerbatimChar"/>
        </w:rPr>
        <w:t xml:space="preserve">WriterContentMetrics</w:t>
      </w:r>
      <w:r>
        <w:t xml:space="preserve"> </w:t>
      </w:r>
      <w:r>
        <w:t xml:space="preserve">and</w:t>
      </w:r>
      <w:r>
        <w:t xml:space="preserve"> </w:t>
      </w:r>
      <w:r>
        <w:rPr>
          <w:rStyle w:val="VerbatimChar"/>
        </w:rPr>
        <w:t xml:space="preserve">WriterQualityMetrics</w:t>
      </w:r>
      <w:r>
        <w:t xml:space="preserve"> </w:t>
      </w:r>
      <w:r>
        <w:t xml:space="preserve">per writer. The diagram shows that the metrics are stored</w:t>
      </w:r>
      <w:r>
        <w:t xml:space="preserve"> </w:t>
      </w:r>
      <w:r>
        <w:t xml:space="preserve">separately from the events they summarise: each rollup has one row per article or per</w:t>
      </w:r>
      <w:r>
        <w:t xml:space="preserve"> </w:t>
      </w:r>
      <w:r>
        <w:t xml:space="preserve">writer, rewritten by the aggregation, so reading a dashboard costs the same whatever</w:t>
      </w:r>
      <w:r>
        <w:t xml:space="preserve"> </w:t>
      </w:r>
      <w:r>
        <w:t xml:space="preserve">the number of events behind it.</w:t>
      </w:r>
    </w:p>
    <w:p>
      <w:pPr>
        <w:pStyle w:val="BodyText"/>
      </w:pPr>
      <w:r>
        <w:rPr>
          <w:b/>
          <w:bCs/>
        </w:rPr>
        <w:t xml:space="preserve">Sequence diagram —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28" w:name="fig:seq-aggregation"/>
    <w:p>
      <w:pPr>
        <w:pStyle w:val="CaptionedFigure"/>
      </w:pPr>
      <w:r>
        <w:drawing>
          <wp:inline>
            <wp:extent cx="5334000" cy="4114438"/>
            <wp:effectExtent b="0" l="0" r="0" t="0"/>
            <wp:docPr descr="Figure 4.3– Sequence diagram: analytics aggregation" title="" id="226" name="Picture"/>
            <a:graphic>
              <a:graphicData uri="http://schemas.openxmlformats.org/drawingml/2006/picture">
                <pic:pic>
                  <pic:nvPicPr>
                    <pic:cNvPr descr="../diagrams/fig-5-3-sequence-analytics-aggregation/fig-5-3-sequence-analytics-aggregation.png" id="227" name="Picture"/>
                    <pic:cNvPicPr>
                      <a:picLocks noChangeArrowheads="1" noChangeAspect="1"/>
                    </pic:cNvPicPr>
                  </pic:nvPicPr>
                  <pic:blipFill>
                    <a:blip r:embed="rId225"/>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28"/>
    <w:p>
      <w:pPr>
        <w:pStyle w:val="BodyText"/>
      </w:pPr>
      <w:r>
        <w:t xml:space="preserve">The browser batches events; the API takes the reader’s identity from the access token</w:t>
      </w:r>
      <w:r>
        <w:t xml:space="preserve"> </w:t>
      </w:r>
      <w:r>
        <w:t xml:space="preserve">when one is sent — never from the request body — and attaches the time and device</w:t>
      </w:r>
      <w:r>
        <w:t xml:space="preserve"> </w:t>
      </w:r>
      <w:r>
        <w:t xml:space="preserve">server-side before appending the event. Every five minutes the worker reads only the</w:t>
      </w:r>
      <w:r>
        <w:t xml:space="preserve"> </w:t>
      </w:r>
      <w:r>
        <w:t xml:space="preserve">events since the last run and upserts the per-article metrics; just after, it computes</w:t>
      </w:r>
      <w:r>
        <w:t xml:space="preserve"> </w:t>
      </w:r>
      <w:r>
        <w:t xml:space="preserve">the three per-writer rollups and rechecks marketplace eligibility. Dashboards read the</w:t>
      </w:r>
      <w:r>
        <w:t xml:space="preserve"> </w:t>
      </w:r>
      <w:r>
        <w:t xml:space="preserve">rollups, never the raw events, so they stay fast as the event log grows (NFR-15,</w:t>
      </w:r>
      <w:r>
        <w:t xml:space="preserve"> </w:t>
      </w:r>
      <w:r>
        <w:t xml:space="preserve">NFR-16). The diagram shows the one place where freshness is traded for speed: a metric</w:t>
      </w:r>
      <w:r>
        <w:t xml:space="preserve"> </w:t>
      </w:r>
      <w:r>
        <w:t xml:space="preserve">can be up to five minutes behind the events.</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29"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29"/>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33" w:name="fig:seq-notify"/>
    <w:p>
      <w:pPr>
        <w:pStyle w:val="CaptionedFigure"/>
      </w:pPr>
      <w:r>
        <w:drawing>
          <wp:inline>
            <wp:extent cx="5334000" cy="5801006"/>
            <wp:effectExtent b="0" l="0" r="0" t="0"/>
            <wp:docPr descr="Figure 4.4– Sequence diagram: live notification delivery" title="" id="231" name="Picture"/>
            <a:graphic>
              <a:graphicData uri="http://schemas.openxmlformats.org/drawingml/2006/picture">
                <pic:pic>
                  <pic:nvPicPr>
                    <pic:cNvPr descr="../diagrams/fig-5-9-sequence-notification-delivery/fig-5-9-sequence-notification-delivery.png" id="232" name="Picture"/>
                    <pic:cNvPicPr>
                      <a:picLocks noChangeArrowheads="1" noChangeAspect="1"/>
                    </pic:cNvPicPr>
                  </pic:nvPicPr>
                  <pic:blipFill>
                    <a:blip r:embed="rId230"/>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33"/>
    <w:p>
      <w:pPr>
        <w:pStyle w:val="BodyText"/>
      </w:pPr>
      <w:r>
        <w:t xml:space="preserve">The client keeps a server-sent-events stream open; when a reader likes an article, the</w:t>
      </w:r>
      <w:r>
        <w:t xml:space="preserve"> </w:t>
      </w:r>
      <w:r>
        <w:t xml:space="preserve">like and the notification row are written first, and only after the commit is the</w:t>
      </w:r>
      <w:r>
        <w:t xml:space="preserve"> </w:t>
      </w:r>
      <w:r>
        <w:t xml:space="preserve">event pushed to the recipient’s open streams. If the connection drops, the client</w:t>
      </w:r>
      <w:r>
        <w:t xml:space="preserve"> </w:t>
      </w:r>
      <w:r>
        <w:t xml:space="preserve">reconnects with the identifier of the last event received and the server replays what</w:t>
      </w:r>
      <w:r>
        <w:t xml:space="preserve"> </w:t>
      </w:r>
      <w:r>
        <w:t xml:space="preserve">was missed. The diagram shows why a notification is never lost and never announces</w:t>
      </w:r>
      <w:r>
        <w:t xml:space="preserve"> </w:t>
      </w:r>
      <w:r>
        <w:t xml:space="preserve">something that did not happen: the database is the record, and the live push is only a</w:t>
      </w:r>
      <w:r>
        <w:t xml:space="preserve"> </w:t>
      </w:r>
      <w:r>
        <w:t xml:space="preserve">faster way to read it.</w:t>
      </w:r>
    </w:p>
    <w:bookmarkEnd w:id="234"/>
    <w:bookmarkStart w:id="263"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38" w:name="fig:feed-reader"/>
    <w:p>
      <w:pPr>
        <w:pStyle w:val="CaptionedFigure"/>
      </w:pPr>
      <w:r>
        <w:drawing>
          <wp:inline>
            <wp:extent cx="4267200" cy="2667000"/>
            <wp:effectExtent b="0" l="0" r="0" t="0"/>
            <wp:docPr descr="Figure 4.5– The feed of a signed-in reader, with live card controls" title="" id="236" name="Picture"/>
            <a:graphic>
              <a:graphicData uri="http://schemas.openxmlformats.org/drawingml/2006/picture">
                <pic:pic>
                  <pic:nvPicPr>
                    <pic:cNvPr descr="../figures/screens/reader-01-feed.png" id="237" name="Picture"/>
                    <pic:cNvPicPr>
                      <a:picLocks noChangeArrowheads="1" noChangeAspect="1"/>
                    </pic:cNvPicPr>
                  </pic:nvPicPr>
                  <pic:blipFill>
                    <a:blip r:embed="rId2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38"/>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42" w:name="fig:notifications"/>
    <w:p>
      <w:pPr>
        <w:pStyle w:val="CaptionedFigure"/>
      </w:pPr>
      <w:r>
        <w:drawing>
          <wp:inline>
            <wp:extent cx="4267200" cy="2667000"/>
            <wp:effectExtent b="0" l="0" r="0" t="0"/>
            <wp:docPr descr="Figure 4.6– Notifications, filtered and grouped by day" title="" id="240" name="Picture"/>
            <a:graphic>
              <a:graphicData uri="http://schemas.openxmlformats.org/drawingml/2006/picture">
                <pic:pic>
                  <pic:nvPicPr>
                    <pic:cNvPr descr="../figures/screens/writer-12-notifications.png" id="241" name="Picture"/>
                    <pic:cNvPicPr>
                      <a:picLocks noChangeArrowheads="1" noChangeAspect="1"/>
                    </pic:cNvPicPr>
                  </pic:nvPicPr>
                  <pic:blipFill>
                    <a:blip r:embed="rId2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42"/>
    <w:p>
      <w:pPr>
        <w:pStyle w:val="BodyText"/>
      </w:pPr>
      <w:r>
        <w:t xml:space="preserve">Notifications are grouped by day, filtered by kind — unread, comments, purchases,</w:t>
      </w:r>
      <w:r>
        <w:t xml:space="preserve"> </w:t>
      </w:r>
      <w:r>
        <w:t xml:space="preserve">followers —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46" w:name="fig:dashboard"/>
    <w:p>
      <w:pPr>
        <w:pStyle w:val="CaptionedFigure"/>
      </w:pPr>
      <w:r>
        <w:drawing>
          <wp:inline>
            <wp:extent cx="4267200" cy="2667000"/>
            <wp:effectExtent b="0" l="0" r="0" t="0"/>
            <wp:docPr descr="Figure 4.7– The writer’s dashboard" title="" id="244" name="Picture"/>
            <a:graphic>
              <a:graphicData uri="http://schemas.openxmlformats.org/drawingml/2006/picture">
                <pic:pic>
                  <pic:nvPicPr>
                    <pic:cNvPr descr="../figures/screens/writer-01-dashboard.png" id="245" name="Picture"/>
                    <pic:cNvPicPr>
                      <a:picLocks noChangeArrowheads="1" noChangeAspect="1"/>
                    </pic:cNvPicPr>
                  </pic:nvPicPr>
                  <pic:blipFill>
                    <a:blip r:embed="rId2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46"/>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 how am I</w:t>
      </w:r>
      <w:r>
        <w:t xml:space="preserve"> </w:t>
      </w:r>
      <w:r>
        <w:t xml:space="preserve">doing — on one screen.</w:t>
      </w:r>
    </w:p>
    <w:bookmarkStart w:id="250" w:name="fig:my-articles"/>
    <w:p>
      <w:pPr>
        <w:pStyle w:val="CaptionedFigure"/>
      </w:pPr>
      <w:r>
        <w:drawing>
          <wp:inline>
            <wp:extent cx="4267200" cy="2667000"/>
            <wp:effectExtent b="0" l="0" r="0" t="0"/>
            <wp:docPr descr="Figure 4.8– “My articles”: every article, sortable by performance" title="" id="248" name="Picture"/>
            <a:graphic>
              <a:graphicData uri="http://schemas.openxmlformats.org/drawingml/2006/picture">
                <pic:pic>
                  <pic:nvPicPr>
                    <pic:cNvPr descr="../figures/screens/writer-13-my-articles.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50"/>
    <w:p>
      <w:pPr>
        <w:pStyle w:val="BodyText"/>
      </w:pPr>
      <w:r>
        <w:t xml:space="preserve">“My articles”</w:t>
      </w:r>
      <w:r>
        <w:t xml:space="preserve"> </w:t>
      </w:r>
      <w:r>
        <w:t xml:space="preserve">lists every article, drafts and marketplace listings included, searchable</w:t>
      </w:r>
      <w:r>
        <w:t xml:space="preserve"> </w:t>
      </w:r>
      <w:r>
        <w:t xml:space="preserve">by content and filterable by date, with its views and engagement (FR-33). The</w:t>
      </w:r>
      <w:r>
        <w:t xml:space="preserve"> </w:t>
      </w:r>
      <w:r>
        <w:t xml:space="preserve">engagement column is the per-view rate of</w:t>
      </w:r>
      <w:r>
        <w:t xml:space="preserve"> </w:t>
      </w:r>
      <w:hyperlink w:anchor="tbl:metrics">
        <w:r>
          <w:rPr>
            <w:rStyle w:val="Hyperlink"/>
          </w:rPr>
          <w:t xml:space="preserve">Table 4.2</w:t>
        </w:r>
      </w:hyperlink>
      <w:r>
        <w:t xml:space="preserve">, which is why values above 100%</w:t>
      </w:r>
      <w:r>
        <w:t xml:space="preserve"> </w:t>
      </w:r>
      <w:r>
        <w:t xml:space="preserve">appear on articles whose seeded reactions outnumber their recorded views. Sorting</w:t>
      </w:r>
      <w:r>
        <w:t xml:space="preserve"> </w:t>
      </w:r>
      <w:r>
        <w:t xml:space="preserve">happens on the server across the whole body of work, not on the page shown.</w:t>
      </w:r>
    </w:p>
    <w:bookmarkStart w:id="254" w:name="fig:writer-analytics"/>
    <w:p>
      <w:pPr>
        <w:pStyle w:val="CaptionedFigure"/>
      </w:pPr>
      <w:r>
        <w:drawing>
          <wp:inline>
            <wp:extent cx="4267200" cy="2667000"/>
            <wp:effectExtent b="0" l="0" r="0" t="0"/>
            <wp:docPr descr="Figure 4.9– The writer’s analytics: views over the last 30 days" title="" id="252" name="Picture"/>
            <a:graphic>
              <a:graphicData uri="http://schemas.openxmlformats.org/drawingml/2006/picture">
                <pic:pic>
                  <pic:nvPicPr>
                    <pic:cNvPr descr="../figures/screens/writer-10-dashboard-analytics.png" id="253" name="Picture"/>
                    <pic:cNvPicPr>
                      <a:picLocks noChangeArrowheads="1" noChangeAspect="1"/>
                    </pic:cNvPicPr>
                  </pic:nvPicPr>
                  <pic:blipFill>
                    <a:blip r:embed="rId2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54"/>
    <w:p>
      <w:pPr>
        <w:pStyle w:val="BodyText"/>
      </w:pPr>
      <w:r>
        <w:t xml:space="preserve">The analytics page gives the totals — views, average read time, engagement rate,</w:t>
      </w:r>
      <w:r>
        <w:t xml:space="preserve"> </w:t>
      </w:r>
      <w:r>
        <w:t xml:space="preserve">likes — and the daily views of the last 30 days (FR-32). The note under the chart says</w:t>
      </w:r>
      <w:r>
        <w:t xml:space="preserve"> </w:t>
      </w:r>
      <w:r>
        <w:t xml:space="preserve">that it is counted from the events, not from a rollup: a daily series is the one panel</w:t>
      </w:r>
      <w:r>
        <w:t xml:space="preserve"> </w:t>
      </w:r>
      <w:r>
        <w:t xml:space="preserve">that may read the event log directly, bounded to thirty days, as NFR-15 allows.</w:t>
      </w:r>
    </w:p>
    <w:p>
      <w:pPr>
        <w:pStyle w:val="BodyText"/>
      </w:pPr>
      <w:hyperlink w:anchor="fig:writer-profile">
        <w:r>
          <w:rPr>
            <w:rStyle w:val="Hyperlink"/>
          </w:rPr>
          <w:t xml:space="preserve">Figure 4.10</w:t>
        </w:r>
      </w:hyperlink>
      <w:r>
        <w:t xml:space="preserve"> </w:t>
      </w:r>
      <w:r>
        <w:t xml:space="preserve">shows a writer’s public profile.</w:t>
      </w:r>
    </w:p>
    <w:bookmarkStart w:id="258" w:name="fig:writer-profile"/>
    <w:p>
      <w:pPr>
        <w:pStyle w:val="CaptionedFigure"/>
      </w:pPr>
      <w:r>
        <w:drawing>
          <wp:inline>
            <wp:extent cx="4267200" cy="2667000"/>
            <wp:effectExtent b="0" l="0" r="0" t="0"/>
            <wp:docPr descr="Figure 4.10– A writer’s public profile" title="" id="256" name="Picture"/>
            <a:graphic>
              <a:graphicData uri="http://schemas.openxmlformats.org/drawingml/2006/picture">
                <pic:pic>
                  <pic:nvPicPr>
                    <pic:cNvPr descr="../figures/screens/guest-07-writer-profile.png" id="257" name="Picture"/>
                    <pic:cNvPicPr>
                      <a:picLocks noChangeArrowheads="1" noChangeAspect="1"/>
                    </pic:cNvPicPr>
                  </pic:nvPicPr>
                  <pic:blipFill>
                    <a:blip r:embed="rId2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58"/>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62" w:name="fig:find-writers"/>
    <w:p>
      <w:pPr>
        <w:pStyle w:val="CaptionedFigure"/>
      </w:pPr>
      <w:r>
        <w:drawing>
          <wp:inline>
            <wp:extent cx="4267200" cy="2667000"/>
            <wp:effectExtent b="0" l="0" r="0" t="0"/>
            <wp:docPr descr="Figure 4.11– A magazine browsing eligible writers" title="" id="260" name="Picture"/>
            <a:graphic>
              <a:graphicData uri="http://schemas.openxmlformats.org/drawingml/2006/picture">
                <pic:pic>
                  <pic:nvPicPr>
                    <pic:cNvPr descr="../figures/screens/magazine-07-discover-writers.png" id="261" name="Picture"/>
                    <pic:cNvPicPr>
                      <a:picLocks noChangeArrowheads="1" noChangeAspect="1"/>
                    </pic:cNvPicPr>
                  </pic:nvPicPr>
                  <pic:blipFill>
                    <a:blip r:embed="rId2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62"/>
    <w:p>
      <w:pPr>
        <w:pStyle w:val="BodyText"/>
      </w:pPr>
      <w:r>
        <w:t xml:space="preserve">A magazine browses writers filtered to the eligible ones and by topic, searches them by</w:t>
      </w:r>
      <w:r>
        <w:t xml:space="preserve"> </w:t>
      </w:r>
      <w:r>
        <w:t xml:space="preserve">name or bio, and sorts them — here by engagement (FR-44). Each card already gives</w:t>
      </w:r>
      <w:r>
        <w:t xml:space="preserve"> </w:t>
      </w:r>
      <w:r>
        <w:t xml:space="preserve">readers, engagement and article count, and</w:t>
      </w:r>
      <w:r>
        <w:t xml:space="preserve"> </w:t>
      </w:r>
      <w:r>
        <w:rPr>
          <w:i/>
          <w:iCs/>
        </w:rPr>
        <w:t xml:space="preserve">View evaluation</w:t>
      </w:r>
      <w:r>
        <w:t xml:space="preserve"> </w:t>
      </w:r>
      <w:r>
        <w:t xml:space="preserve">opens the full report. In</w:t>
      </w:r>
      <w:r>
        <w:t xml:space="preserve"> </w:t>
      </w:r>
      <w:r>
        <w:t xml:space="preserve">this sprint the page is reachable by any magazine account; from Sprint 5 it sits behind</w:t>
      </w:r>
      <w:r>
        <w:t xml:space="preserve"> </w:t>
      </w:r>
      <w:r>
        <w:t xml:space="preserve">the subscription wall, which is why FR-44 is attributed to both sprints.</w:t>
      </w:r>
    </w:p>
    <w:bookmarkEnd w:id="263"/>
    <w:bookmarkEnd w:id="264"/>
    <w:bookmarkStart w:id="298" w:name="sec:sprint4"/>
    <w:p>
      <w:pPr>
        <w:pStyle w:val="Heading2"/>
      </w:pPr>
      <w:r>
        <w:rPr>
          <w:rStyle w:val="SectionNumber"/>
        </w:rPr>
        <w:t xml:space="preserve">4.2</w:t>
      </w:r>
      <w:r>
        <w:tab/>
      </w:r>
      <w:r>
        <w:t xml:space="preserve">Sprint 4 — Retrieval, portfolio insights and hybrid search</w:t>
      </w:r>
    </w:p>
    <w:bookmarkStart w:id="266"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65"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65"/>
    <w:p>
      <w:pPr>
        <w:pStyle w:val="BodyText"/>
      </w:pPr>
      <w:r>
        <w:t xml:space="preserve">The sprint commits 52 points, the second heaviest load of the project. Its</w:t>
      </w:r>
      <w:r>
        <w:t xml:space="preserve"> </w:t>
      </w:r>
      <w:r>
        <w:t xml:space="preserve">stories share one new component — the embedding of published articles — and could only</w:t>
      </w:r>
      <w:r>
        <w:t xml:space="preserve"> </w:t>
      </w:r>
      <w:r>
        <w:t xml:space="preserve">be estimated once it existed, which is why the sprint begins with it.</w:t>
      </w:r>
    </w:p>
    <w:bookmarkEnd w:id="266"/>
    <w:bookmarkStart w:id="271"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70" w:name="fig:uc-s4"/>
    <w:p>
      <w:pPr>
        <w:pStyle w:val="CaptionedFigure"/>
      </w:pPr>
      <w:r>
        <w:drawing>
          <wp:inline>
            <wp:extent cx="5334000" cy="2571370"/>
            <wp:effectExtent b="0" l="0" r="0" t="0"/>
            <wp:docPr descr="Figure 4.12– Use case diagram, Sprint 4" title="" id="268" name="Picture"/>
            <a:graphic>
              <a:graphicData uri="http://schemas.openxmlformats.org/drawingml/2006/picture">
                <pic:pic>
                  <pic:nvPicPr>
                    <pic:cNvPr descr="../diagrams/fig-5-5-use-case-sprint-4/fig-5-5-use-case-sprint-4.png" id="269" name="Picture"/>
                    <pic:cNvPicPr>
                      <a:picLocks noChangeArrowheads="1" noChangeAspect="1"/>
                    </pic:cNvPicPr>
                  </pic:nvPicPr>
                  <pic:blipFill>
                    <a:blip r:embed="rId267"/>
                    <a:stretch>
                      <a:fillRect/>
                    </a:stretch>
                  </pic:blipFill>
                  <pic:spPr bwMode="auto">
                    <a:xfrm>
                      <a:off x="0" y="0"/>
                      <a:ext cx="5334000" cy="2571370"/>
                    </a:xfrm>
                    <a:prstGeom prst="rect">
                      <a:avLst/>
                    </a:prstGeom>
                    <a:noFill/>
                    <a:ln w="9525">
                      <a:noFill/>
                      <a:headEnd/>
                      <a:tailEnd/>
                    </a:ln>
                  </pic:spPr>
                </pic:pic>
              </a:graphicData>
            </a:graphic>
          </wp:inline>
        </w:drawing>
      </w:r>
    </w:p>
    <w:p>
      <w:pPr>
        <w:pStyle w:val="ImageCaption"/>
      </w:pPr>
      <w:r>
        <w:t xml:space="preserve">Figure 4.12– Use case diagram, Sprint 4</w:t>
      </w:r>
    </w:p>
    <w:bookmarkEnd w:id="270"/>
    <w:p>
      <w:pPr>
        <w:pStyle w:val="BodyText"/>
      </w:pPr>
      <w:r>
        <w:t xml:space="preserve">Searching specialises into searching by keyword and by meaning and includes merging the</w:t>
      </w:r>
      <w:r>
        <w:t xml:space="preserve"> </w:t>
      </w:r>
      <w:r>
        <w:t xml:space="preserve">two result sets; using the assistant includes retrieving passages from the writer’s own</w:t>
      </w:r>
      <w:r>
        <w:t xml:space="preserve"> </w:t>
      </w:r>
      <w:r>
        <w:t xml:space="preserve">corpus and showing the sources used; publishing includes embedding the article,</w:t>
      </w:r>
      <w:r>
        <w:t xml:space="preserve"> </w:t>
      </w:r>
      <w:r>
        <w:t xml:space="preserve">extracting the writer’s voice profile and invalidating the insights cache; reading a</w:t>
      </w:r>
      <w:r>
        <w:t xml:space="preserve"> </w:t>
      </w:r>
      <w:r>
        <w:t xml:space="preserve">writer evaluation is extended by generating portfolio insights. The diagram shows that</w:t>
      </w:r>
      <w:r>
        <w:t xml:space="preserve"> </w:t>
      </w:r>
      <w:r>
        <w:t xml:space="preserve">publishing has become the trigger of the whole AI layer: every capability of the sprint</w:t>
      </w:r>
      <w:r>
        <w:t xml:space="preserve"> </w:t>
      </w:r>
      <w:r>
        <w:t xml:space="preserve">depends on what happens after a writer clicks</w:t>
      </w:r>
      <w:r>
        <w:t xml:space="preserve"> </w:t>
      </w:r>
      <w:r>
        <w:rPr>
          <w:i/>
          <w:iCs/>
        </w:rPr>
        <w:t xml:space="preserve">Publish</w:t>
      </w:r>
      <w:r>
        <w:t xml:space="preserve">.</w:t>
      </w:r>
    </w:p>
    <w:bookmarkEnd w:id="271"/>
    <w:bookmarkStart w:id="288"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75" w:name="fig:classes-s4"/>
    <w:p>
      <w:pPr>
        <w:pStyle w:val="CaptionedFigure"/>
      </w:pPr>
      <w:r>
        <w:drawing>
          <wp:inline>
            <wp:extent cx="5334000" cy="1922628"/>
            <wp:effectExtent b="0" l="0" r="0" t="0"/>
            <wp:docPr descr="Figure 4.13– Class diagram, Sprint 4" title="" id="273" name="Picture"/>
            <a:graphic>
              <a:graphicData uri="http://schemas.openxmlformats.org/drawingml/2006/picture">
                <pic:pic>
                  <pic:nvPicPr>
                    <pic:cNvPr descr="../diagrams/fig-5-6-classes-sprint-4/fig-5-6-classes-sprint-4.png" id="274" name="Picture"/>
                    <pic:cNvPicPr>
                      <a:picLocks noChangeArrowheads="1" noChangeAspect="1"/>
                    </pic:cNvPicPr>
                  </pic:nvPicPr>
                  <pic:blipFill>
                    <a:blip r:embed="rId272"/>
                    <a:stretch>
                      <a:fillRect/>
                    </a:stretch>
                  </pic:blipFill>
                  <pic:spPr bwMode="auto">
                    <a:xfrm>
                      <a:off x="0" y="0"/>
                      <a:ext cx="5334000" cy="1922628"/>
                    </a:xfrm>
                    <a:prstGeom prst="rect">
                      <a:avLst/>
                    </a:prstGeom>
                    <a:noFill/>
                    <a:ln w="9525">
                      <a:noFill/>
                      <a:headEnd/>
                      <a:tailEnd/>
                    </a:ln>
                  </pic:spPr>
                </pic:pic>
              </a:graphicData>
            </a:graphic>
          </wp:inline>
        </w:drawing>
      </w:r>
    </w:p>
    <w:p>
      <w:pPr>
        <w:pStyle w:val="ImageCaption"/>
      </w:pPr>
      <w:r>
        <w:t xml:space="preserve">Figure 4.13– Class diagram, Sprint 4</w:t>
      </w:r>
    </w:p>
    <w:bookmarkEnd w:id="275"/>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extracted voice profile (tone, style examples,</w:t>
      </w:r>
      <w:r>
        <w:t xml:space="preserve"> </w:t>
      </w:r>
      <w:r>
        <w:t xml:space="preserve">vocabulary, topics); the</w:t>
      </w:r>
      <w:r>
        <w:t xml:space="preserve"> </w:t>
      </w:r>
      <w:r>
        <w:rPr>
          <w:rStyle w:val="VerbatimChar"/>
        </w:rPr>
        <w:t xml:space="preserve">PortfolioInsight</w:t>
      </w:r>
      <w:r>
        <w:t xml:space="preserve"> </w:t>
      </w:r>
      <w:r>
        <w:t xml:space="preserve">caches the AI assessment of a writer; the</w:t>
      </w:r>
      <w:r>
        <w:t xml:space="preserve"> </w:t>
      </w:r>
      <w:r>
        <w:rPr>
          <w:rStyle w:val="VerbatimChar"/>
        </w:rPr>
        <w:t xml:space="preserve">AiInteraction</w:t>
      </w:r>
      <w:r>
        <w:t xml:space="preserve"> </w:t>
      </w:r>
      <w:r>
        <w:t xml:space="preserve">log records every call. The diagram shows that the AI layer adds data</w:t>
      </w:r>
      <w:r>
        <w:t xml:space="preserve"> </w:t>
      </w:r>
      <w:r>
        <w:t xml:space="preserve">derived from articles and never modifies them: every chunk, profile and insight can be</w:t>
      </w:r>
      <w:r>
        <w:t xml:space="preserve"> </w:t>
      </w:r>
      <w:r>
        <w:t xml:space="preserve">deleted and rebuilt from the published articles, which is what the re-embedding on</w:t>
      </w:r>
      <w:r>
        <w:t xml:space="preserve"> </w:t>
      </w:r>
      <w:r>
        <w:t xml:space="preserve">every publication does.</w:t>
      </w:r>
    </w:p>
    <w:p>
      <w:pPr>
        <w:pStyle w:val="BodyText"/>
      </w:pPr>
      <w:r>
        <w:rPr>
          <w:b/>
          <w:bCs/>
        </w:rPr>
        <w:t xml:space="preserve">Sequence diagram —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79" w:name="fig:seq-publish"/>
    <w:p>
      <w:pPr>
        <w:pStyle w:val="CaptionedFigure"/>
      </w:pPr>
      <w:r>
        <w:drawing>
          <wp:inline>
            <wp:extent cx="5334000" cy="4182776"/>
            <wp:effectExtent b="0" l="0" r="0" t="0"/>
            <wp:docPr descr="Figure 4.14– Sequence diagram: the publishing pipeline" title="" id="277" name="Picture"/>
            <a:graphic>
              <a:graphicData uri="http://schemas.openxmlformats.org/drawingml/2006/picture">
                <pic:pic>
                  <pic:nvPicPr>
                    <pic:cNvPr descr="../diagrams/fig-5-8-sequence-publish-pipeline/fig-5-8-sequence-publish-pipeline.png" id="278" name="Picture"/>
                    <pic:cNvPicPr>
                      <a:picLocks noChangeArrowheads="1" noChangeAspect="1"/>
                    </pic:cNvPicPr>
                  </pic:nvPicPr>
                  <pic:blipFill>
                    <a:blip r:embed="rId276"/>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79"/>
    <w:p>
      <w:pPr>
        <w:pStyle w:val="BodyText"/>
      </w:pPr>
      <w:r>
        <w:t xml:space="preserve">The API writes the article and enqueues an embedding job. The worker deletes the</w:t>
      </w:r>
      <w:r>
        <w:t xml:space="preserve"> </w:t>
      </w:r>
      <w:r>
        <w:t xml:space="preserve">article’s previous chunks, splits it into passages of 120 to 1,200 characters — each</w:t>
      </w:r>
      <w:r>
        <w:t xml:space="preserve"> </w:t>
      </w:r>
      <w:r>
        <w:t xml:space="preserve">prefixed with its nearest heading, so that a short paragraph embeds near its</w:t>
      </w:r>
      <w:r>
        <w:t xml:space="preserve"> </w:t>
      </w:r>
      <w:r>
        <w:t xml:space="preserve">subject — embeds them, stores the vectors and drops the writer’s cached insights. It</w:t>
      </w:r>
      <w:r>
        <w:t xml:space="preserve"> </w:t>
      </w:r>
      <w:r>
        <w:t xml:space="preserve">then chains the extraction of the voice profile from the most recent articles, which</w:t>
      </w:r>
      <w:r>
        <w:t xml:space="preserve"> </w:t>
      </w:r>
      <w:r>
        <w:t xml:space="preserve">the model returns as a schema‑validated object. The diagram shows that publishing</w:t>
      </w:r>
      <w:r>
        <w:t xml:space="preserve"> </w:t>
      </w:r>
      <w:r>
        <w:t xml:space="preserve">returns immediately: the writer never waits for an embedding, and a failure of the</w:t>
      </w:r>
      <w:r>
        <w:t xml:space="preserve"> </w:t>
      </w:r>
      <w:r>
        <w:t xml:space="preserve">provider delays retrieval without blocking publication.</w:t>
      </w:r>
    </w:p>
    <w:p>
      <w:pPr>
        <w:pStyle w:val="BodyText"/>
      </w:pPr>
      <w:r>
        <w:rPr>
          <w:b/>
          <w:bCs/>
        </w:rPr>
        <w:t xml:space="preserve">Sequence diagram —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83" w:name="fig:seq-rag"/>
    <w:p>
      <w:pPr>
        <w:pStyle w:val="CaptionedFigure"/>
      </w:pPr>
      <w:r>
        <w:drawing>
          <wp:inline>
            <wp:extent cx="5334000" cy="4254984"/>
            <wp:effectExtent b="0" l="0" r="0" t="0"/>
            <wp:docPr descr="Figure 4.15– Sequence diagram: AI chat with retrieval" title="" id="281" name="Picture"/>
            <a:graphic>
              <a:graphicData uri="http://schemas.openxmlformats.org/drawingml/2006/picture">
                <pic:pic>
                  <pic:nvPicPr>
                    <pic:cNvPr descr="../diagrams/fig-5-4-sequence-ai-chat-rag/fig-5-4-sequence-ai-chat-rag.png" id="282" name="Picture"/>
                    <pic:cNvPicPr>
                      <a:picLocks noChangeArrowheads="1" noChangeAspect="1"/>
                    </pic:cNvPicPr>
                  </pic:nvPicPr>
                  <pic:blipFill>
                    <a:blip r:embed="rId280"/>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83"/>
    <w:p>
      <w:pPr>
        <w:pStyle w:val="BodyText"/>
      </w:pPr>
      <w:r>
        <w:t xml:space="preserve">The question is embedded; the five passages of the writer’s own work closest to it by</w:t>
      </w:r>
      <w:r>
        <w:t xml:space="preserve"> </w:t>
      </w:r>
      <w:r>
        <w:t xml:space="preserve">cosine similarity are retrieved, provided they score above 0.60; the voice profile is</w:t>
      </w:r>
      <w:r>
        <w:t xml:space="preserve"> </w:t>
      </w:r>
      <w:r>
        <w:t xml:space="preserve">read; the prompt is assembled from role, memory, passages and question; the answer is</w:t>
      </w:r>
      <w:r>
        <w:t xml:space="preserve"> </w:t>
      </w:r>
      <w:r>
        <w:t xml:space="preserve">streamed, and the passages used are shown as sources. The similarity floor lets</w:t>
      </w:r>
      <w:r>
        <w:t xml:space="preserve"> </w:t>
      </w:r>
      <w:r>
        <w:t xml:space="preserve">retrieval return</w:t>
      </w:r>
      <w:r>
        <w:t xml:space="preserve"> </w:t>
      </w:r>
      <w:r>
        <w:rPr>
          <w:i/>
          <w:iCs/>
        </w:rPr>
        <w:t xml:space="preserve">nothing</w:t>
      </w:r>
      <w:r>
        <w:t xml:space="preserve"> </w:t>
      </w:r>
      <w:r>
        <w:t xml:space="preserve">rather than five irrelevant passages, and the voice profile</w:t>
      </w:r>
      <w:r>
        <w:t xml:space="preserve"> </w:t>
      </w:r>
      <w:r>
        <w:t xml:space="preserve">keeps the answer in the writer’s style even then.</w:t>
      </w:r>
      <w:r>
        <w:t xml:space="preserve"> </w:t>
      </w:r>
      <w:hyperlink w:anchor="sec:eval-rag">
        <w:r>
          <w:rPr>
            <w:rStyle w:val="Hyperlink"/>
          </w:rPr>
          <w:t xml:space="preserve">Section 7.2</w:t>
        </w:r>
      </w:hyperlink>
      <w:r>
        <w:t xml:space="preserve"> </w:t>
      </w:r>
      <w:r>
        <w:t xml:space="preserve">measures how well</w:t>
      </w:r>
      <w:r>
        <w:t xml:space="preserve"> </w:t>
      </w:r>
      <w:r>
        <w:t xml:space="preserve">this retrieval finds the right passage and how often the floor correctly returns</w:t>
      </w:r>
      <w:r>
        <w:t xml:space="preserve"> </w:t>
      </w:r>
      <w:r>
        <w:t xml:space="preserve">nothing.</w:t>
      </w:r>
    </w:p>
    <w:p>
      <w:pPr>
        <w:pStyle w:val="BodyText"/>
      </w:pPr>
      <w:r>
        <w:rPr>
          <w:b/>
          <w:bCs/>
        </w:rPr>
        <w:t xml:space="preserve">Sequence diagram — hybrid search.</w:t>
      </w:r>
      <w:r>
        <w:t xml:space="preserve"> </w:t>
      </w:r>
      <w:hyperlink w:anchor="fig:seq-search">
        <w:r>
          <w:rPr>
            <w:rStyle w:val="Hyperlink"/>
          </w:rPr>
          <w:t xml:space="preserve">Figure 4.16</w:t>
        </w:r>
      </w:hyperlink>
      <w:r>
        <w:t xml:space="preserve"> </w:t>
      </w:r>
      <w:r>
        <w:t xml:space="preserve">shows search.</w:t>
      </w:r>
    </w:p>
    <w:bookmarkStart w:id="287" w:name="fig:seq-search"/>
    <w:p>
      <w:pPr>
        <w:pStyle w:val="CaptionedFigure"/>
      </w:pPr>
      <w:r>
        <w:drawing>
          <wp:inline>
            <wp:extent cx="5334000" cy="4274721"/>
            <wp:effectExtent b="0" l="0" r="0" t="0"/>
            <wp:docPr descr="Figure 4.16– Sequence diagram: hybrid search with reciprocal rank fusion" title="" id="285" name="Picture"/>
            <a:graphic>
              <a:graphicData uri="http://schemas.openxmlformats.org/drawingml/2006/picture">
                <pic:pic>
                  <pic:nvPicPr>
                    <pic:cNvPr descr="../diagrams/fig-5-7-sequence-hybrid-search/fig-5-7-sequence-hybrid-search.png" id="286" name="Picture"/>
                    <pic:cNvPicPr>
                      <a:picLocks noChangeArrowheads="1" noChangeAspect="1"/>
                    </pic:cNvPicPr>
                  </pic:nvPicPr>
                  <pic:blipFill>
                    <a:blip r:embed="rId284"/>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87"/>
    <w:p>
      <w:pPr>
        <w:pStyle w:val="BodyText"/>
      </w:pPr>
      <w:r>
        <w:t xml:space="preserve">The query is ranked lexically with</w:t>
      </w:r>
      <w:r>
        <w:t xml:space="preserve"> </w:t>
      </w:r>
      <w:r>
        <w:rPr>
          <w:rStyle w:val="VerbatimChar"/>
        </w:rPr>
        <w:t xml:space="preserve">ts_rank</w:t>
      </w:r>
      <w:r>
        <w:t xml:space="preserve"> </w:t>
      </w:r>
      <w:r>
        <w:t xml:space="preserve">over the article’s weighted search vector</w:t>
      </w:r>
      <w:r>
        <w:t xml:space="preserve"> </w:t>
      </w:r>
      <w:hyperlink w:anchor="ref-postgres16fts">
        <w:r>
          <w:rPr>
            <w:rStyle w:val="Hyperlink"/>
          </w:rPr>
          <w:t xml:space="preserve">[23]</w:t>
        </w:r>
      </w:hyperlink>
      <w:r>
        <w:t xml:space="preserve">, and semantically by cosine similarity, keeping the best passage per</w:t>
      </w:r>
      <w:r>
        <w:t xml:space="preserve"> </w:t>
      </w:r>
      <w:r>
        <w:t xml:space="preserve">article. Because the two scores are on unrelated scales, the rankings are fused by</w:t>
      </w:r>
      <w:r>
        <w:t xml:space="preserve"> </w:t>
      </w:r>
      <w:r>
        <w:t xml:space="preserve">position with reciprocal rank fusion — each article scores Σ 1/(60 + rank) over the two</w:t>
      </w:r>
      <w:r>
        <w:t xml:space="preserve"> </w:t>
      </w:r>
      <w:r>
        <w:t xml:space="preserve">lists</w:t>
      </w:r>
      <w:r>
        <w:t xml:space="preserve"> </w:t>
      </w:r>
      <w:hyperlink w:anchor="ref-cormack2009rrf">
        <w:r>
          <w:rPr>
            <w:rStyle w:val="Hyperlink"/>
          </w:rPr>
          <w:t xml:space="preserve">[39]</w:t>
        </w:r>
      </w:hyperlink>
      <w:r>
        <w:t xml:space="preserve"> </w:t>
      </w:r>
      <w:r>
        <w:t xml:space="preserve">— so an article that never uses the searcher’s words can still</w:t>
      </w:r>
      <w:r>
        <w:t xml:space="preserve"> </w:t>
      </w:r>
      <w:r>
        <w:t xml:space="preserve">be found by meaning. The diagram shows that the two rankings are independent and run in</w:t>
      </w:r>
      <w:r>
        <w:t xml:space="preserve"> </w:t>
      </w:r>
      <w:r>
        <w:t xml:space="preserve">parallel: if the embedding provider fails, search degrades to keyword search instead</w:t>
      </w:r>
      <w:r>
        <w:t xml:space="preserve"> </w:t>
      </w:r>
      <w:r>
        <w:t xml:space="preserve">of failing.</w:t>
      </w:r>
      <w:r>
        <w:t xml:space="preserve"> </w:t>
      </w:r>
      <w:hyperlink w:anchor="sec:eval-search">
        <w:r>
          <w:rPr>
            <w:rStyle w:val="Hyperlink"/>
          </w:rPr>
          <w:t xml:space="preserve">Section 7.3</w:t>
        </w:r>
      </w:hyperlink>
      <w:r>
        <w:t xml:space="preserve"> </w:t>
      </w:r>
      <w:r>
        <w:t xml:space="preserve">compares the three rankings on the same queries.</w:t>
      </w:r>
    </w:p>
    <w:bookmarkEnd w:id="288"/>
    <w:bookmarkStart w:id="297"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292" w:name="fig:search"/>
    <w:p>
      <w:pPr>
        <w:pStyle w:val="CaptionedFigure"/>
      </w:pPr>
      <w:r>
        <w:drawing>
          <wp:inline>
            <wp:extent cx="4267200" cy="2667000"/>
            <wp:effectExtent b="0" l="0" r="0" t="0"/>
            <wp:docPr descr="Figure 4.17– Search results" title="" id="290" name="Picture"/>
            <a:graphic>
              <a:graphicData uri="http://schemas.openxmlformats.org/drawingml/2006/picture">
                <pic:pic>
                  <pic:nvPicPr>
                    <pic:cNvPr descr="../figures/screens/guest-09-search-results.png" id="291" name="Picture"/>
                    <pic:cNvPicPr>
                      <a:picLocks noChangeArrowheads="1" noChangeAspect="1"/>
                    </pic:cNvPicPr>
                  </pic:nvPicPr>
                  <pic:blipFill>
                    <a:blip r:embed="rId2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292"/>
    <w:p>
      <w:pPr>
        <w:pStyle w:val="BodyText"/>
      </w:pPr>
      <w:r>
        <w:t xml:space="preserve">The page says how it works —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296" w:name="fig:evaluation"/>
    <w:p>
      <w:pPr>
        <w:pStyle w:val="CaptionedFigure"/>
      </w:pPr>
      <w:r>
        <w:drawing>
          <wp:inline>
            <wp:extent cx="4267200" cy="2667000"/>
            <wp:effectExtent b="0" l="0" r="0" t="0"/>
            <wp:docPr descr="Figure 4.18– A writer evaluation report with portfolio insights" title="" id="294" name="Picture"/>
            <a:graphic>
              <a:graphicData uri="http://schemas.openxmlformats.org/drawingml/2006/picture">
                <pic:pic>
                  <pic:nvPicPr>
                    <pic:cNvPr descr="../figures/screens/magazine-08-writer-evaluation.png" id="295" name="Picture"/>
                    <pic:cNvPicPr>
                      <a:picLocks noChangeArrowheads="1" noChangeAspect="1"/>
                    </pic:cNvPicPr>
                  </pic:nvPicPr>
                  <pic:blipFill>
                    <a:blip r:embed="rId2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296"/>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 audience, quality with its</w:t>
      </w:r>
      <w:r>
        <w:t xml:space="preserve"> </w:t>
      </w:r>
      <w:r>
        <w:t xml:space="preserve">retention curve, and content with its topics — and the portfolio insights generated by</w:t>
      </w:r>
      <w:r>
        <w:t xml:space="preserve"> </w:t>
      </w:r>
      <w:r>
        <w:t xml:space="preserve">the model, here a description of the writer’s voice, with</w:t>
      </w:r>
      <w:r>
        <w:t xml:space="preserve"> </w:t>
      </w:r>
      <w:r>
        <w:rPr>
          <w:i/>
          <w:iCs/>
        </w:rPr>
        <w:t xml:space="preserve">Regenerate</w:t>
      </w:r>
      <w:r>
        <w:t xml:space="preserve"> </w:t>
      </w:r>
      <w:r>
        <w:t xml:space="preserve">as the explicit</w:t>
      </w:r>
      <w:r>
        <w:t xml:space="preserve"> </w:t>
      </w:r>
      <w:r>
        <w:t xml:space="preserve">action of FR-46 (FR-45, FR-46). Two fields the capture cannot measure, geographic</w:t>
      </w:r>
      <w:r>
        <w:t xml:space="preserve"> </w:t>
      </w:r>
      <w:r>
        <w:t xml:space="preserve">distribution and device split, are stated as not collected rather than shown as zero.</w:t>
      </w:r>
      <w:r>
        <w:t xml:space="preserve"> </w:t>
      </w:r>
      <w:r>
        <w:t xml:space="preserve">The screen is the reason the analytics exist: it turns reading into evidence a buyer</w:t>
      </w:r>
      <w:r>
        <w:t xml:space="preserve"> </w:t>
      </w:r>
      <w:r>
        <w:t xml:space="preserve">can weigh.</w:t>
      </w:r>
    </w:p>
    <w:bookmarkEnd w:id="297"/>
    <w:bookmarkEnd w:id="298"/>
    <w:bookmarkStart w:id="299"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299"/>
    <w:bookmarkEnd w:id="300"/>
    <w:bookmarkStart w:id="409"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301"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301"/>
    <w:bookmarkStart w:id="396" w:name="sec:sprint5"/>
    <w:p>
      <w:pPr>
        <w:pStyle w:val="Heading2"/>
      </w:pPr>
      <w:r>
        <w:rPr>
          <w:rStyle w:val="SectionNumber"/>
        </w:rPr>
        <w:t xml:space="preserve">5.1</w:t>
      </w:r>
      <w:r>
        <w:tab/>
      </w:r>
      <w:r>
        <w:t xml:space="preserve">Sprint 5 — Marketplace, subscriptions, premium and moderation</w:t>
      </w:r>
    </w:p>
    <w:bookmarkStart w:id="303"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302"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302"/>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303"/>
    <w:bookmarkStart w:id="309"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307" w:name="fig:uc-s5"/>
    <w:p>
      <w:pPr>
        <w:pStyle w:val="CaptionedFigure"/>
      </w:pPr>
      <w:r>
        <w:drawing>
          <wp:inline>
            <wp:extent cx="5334000" cy="2067768"/>
            <wp:effectExtent b="0" l="0" r="0" t="0"/>
            <wp:docPr descr="Figure 5.1– Use case diagram, Sprint 5" title="" id="305" name="Picture"/>
            <a:graphic>
              <a:graphicData uri="http://schemas.openxmlformats.org/drawingml/2006/picture">
                <pic:pic>
                  <pic:nvPicPr>
                    <pic:cNvPr descr="../diagrams/fig-6-1-use-case-sprint-5/fig-6-1-use-case-sprint-5.png" id="306" name="Picture"/>
                    <pic:cNvPicPr>
                      <a:picLocks noChangeArrowheads="1" noChangeAspect="1"/>
                    </pic:cNvPicPr>
                  </pic:nvPicPr>
                  <pic:blipFill>
                    <a:blip r:embed="rId304"/>
                    <a:stretch>
                      <a:fillRect/>
                    </a:stretch>
                  </pic:blipFill>
                  <pic:spPr bwMode="auto">
                    <a:xfrm>
                      <a:off x="0" y="0"/>
                      <a:ext cx="5334000" cy="2067768"/>
                    </a:xfrm>
                    <a:prstGeom prst="rect">
                      <a:avLst/>
                    </a:prstGeom>
                    <a:noFill/>
                    <a:ln w="9525">
                      <a:noFill/>
                      <a:headEnd/>
                      <a:tailEnd/>
                    </a:ln>
                  </pic:spPr>
                </pic:pic>
              </a:graphicData>
            </a:graphic>
          </wp:inline>
        </w:drawing>
      </w:r>
    </w:p>
    <w:p>
      <w:pPr>
        <w:pStyle w:val="ImageCaption"/>
      </w:pPr>
      <w:r>
        <w:t xml:space="preserve">Figure 5.1– Use case diagram, Sprint 5</w:t>
      </w:r>
    </w:p>
    <w:bookmarkEnd w:id="307"/>
    <w:p>
      <w:pPr>
        <w:pStyle w:val="BodyText"/>
      </w:pPr>
      <w:r>
        <w:t xml:space="preserve">A magazine without an active subscription can only subscribe; with one, it browses</w:t>
      </w:r>
      <w:r>
        <w:t xml:space="preserve"> </w:t>
      </w:r>
      <w:r>
        <w:t xml:space="preserve">the marketplace, purchases an article exclusively — unlocking a preview extends the</w:t>
      </w:r>
      <w:r>
        <w:t xml:space="preserve"> </w:t>
      </w:r>
      <w:r>
        <w:t xml:space="preserve">purchase — tops up credits, views its library and publishes a purchased article from</w:t>
      </w:r>
      <w:r>
        <w:t xml:space="preserve"> </w:t>
      </w:r>
      <w:r>
        <w:t xml:space="preserve">it. Every credit movement includes moving credits in one transaction. A writer lists</w:t>
      </w:r>
      <w:r>
        <w:t xml:space="preserve"> </w:t>
      </w:r>
      <w:r>
        <w:t xml:space="preserve">an article when the condition</w:t>
      </w:r>
      <w:r>
        <w:t xml:space="preserve"> </w:t>
      </w:r>
      <w:r>
        <w:rPr>
          <w:rStyle w:val="VerbatimChar"/>
        </w:rPr>
        <w:t xml:space="preserve">[writer is eligible]</w:t>
      </w:r>
      <w:r>
        <w:t xml:space="preserve"> </w:t>
      </w:r>
      <w:r>
        <w:t xml:space="preserve">holds, which includes setting a price and classifying the content at</w:t>
      </w:r>
      <w:r>
        <w:t xml:space="preserve"> </w:t>
      </w:r>
      <w:r>
        <w:t xml:space="preserve">publish time; the administrator reviews the report queue, grants eligibility and</w:t>
      </w:r>
      <w:r>
        <w:t xml:space="preserve"> </w:t>
      </w:r>
      <w:r>
        <w:t xml:space="preserve">manages users. The diagram shows that the subscription is the gate of every magazine</w:t>
      </w:r>
      <w:r>
        <w:t xml:space="preserve"> </w:t>
      </w:r>
      <w:r>
        <w:t xml:space="preserve">use case but one: it is the condition</w:t>
      </w:r>
      <w:r>
        <w:t xml:space="preserve"> </w:t>
      </w:r>
      <w:r>
        <w:rPr>
          <w:rStyle w:val="VerbatimChar"/>
        </w:rPr>
        <w:t xml:space="preserve">[subscription active]</w:t>
      </w:r>
      <w:r>
        <w:t xml:space="preserve"> </w:t>
      </w:r>
      <w:r>
        <w:t xml:space="preserve">of</w:t>
      </w:r>
      <w:r>
        <w:t xml:space="preserve"> </w:t>
      </w:r>
      <w:hyperlink w:anchor="sec:actors">
        <w:r>
          <w:rPr>
            <w:rStyle w:val="Hyperlink"/>
          </w:rPr>
          <w:t xml:space="preserve">Section 1.3</w:t>
        </w:r>
      </w:hyperlink>
      <w:r>
        <w:t xml:space="preserve">, drawn here as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308"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08"/>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 10%, 20%, 500, 5,000 and 1,000 — are</w:t>
      </w:r>
      <w:r>
        <w:t xml:space="preserve"> </w:t>
      </w:r>
      <w:r>
        <w:t xml:space="preserve">product decisions, kept as named constants (</w:t>
      </w:r>
      <w:hyperlink w:anchor="sec:parameters">
        <w:r>
          <w:rPr>
            <w:rStyle w:val="Hyperlink"/>
          </w:rPr>
          <w:t xml:space="preserve">Section 2.3</w:t>
        </w:r>
      </w:hyperlink>
      <w:r>
        <w:t xml:space="preserve">).</w:t>
      </w:r>
    </w:p>
    <w:bookmarkEnd w:id="309"/>
    <w:bookmarkStart w:id="334"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13" w:name="fig:classes-s5"/>
    <w:p>
      <w:pPr>
        <w:pStyle w:val="CaptionedFigure"/>
      </w:pPr>
      <w:r>
        <w:drawing>
          <wp:inline>
            <wp:extent cx="5334000" cy="2414302"/>
            <wp:effectExtent b="0" l="0" r="0" t="0"/>
            <wp:docPr descr="Figure 5.2– Class diagram, Sprint 5" title="" id="311" name="Picture"/>
            <a:graphic>
              <a:graphicData uri="http://schemas.openxmlformats.org/drawingml/2006/picture">
                <pic:pic>
                  <pic:nvPicPr>
                    <pic:cNvPr descr="../diagrams/fig-6-2-classes-sprint-5/fig-6-2-classes-sprint-5.png" id="312" name="Picture"/>
                    <pic:cNvPicPr>
                      <a:picLocks noChangeArrowheads="1" noChangeAspect="1"/>
                    </pic:cNvPicPr>
                  </pic:nvPicPr>
                  <pic:blipFill>
                    <a:blip r:embed="rId310"/>
                    <a:stretch>
                      <a:fillRect/>
                    </a:stretch>
                  </pic:blipFill>
                  <pic:spPr bwMode="auto">
                    <a:xfrm>
                      <a:off x="0" y="0"/>
                      <a:ext cx="5334000" cy="2414302"/>
                    </a:xfrm>
                    <a:prstGeom prst="rect">
                      <a:avLst/>
                    </a:prstGeom>
                    <a:noFill/>
                    <a:ln w="9525">
                      <a:noFill/>
                      <a:headEnd/>
                      <a:tailEnd/>
                    </a:ln>
                  </pic:spPr>
                </pic:pic>
              </a:graphicData>
            </a:graphic>
          </wp:inline>
        </w:drawing>
      </w:r>
    </w:p>
    <w:p>
      <w:pPr>
        <w:pStyle w:val="ImageCaption"/>
      </w:pPr>
      <w:r>
        <w:t xml:space="preserve">Figure 5.2– Class diagram, Sprint 5</w:t>
      </w:r>
    </w:p>
    <w:bookmarkEnd w:id="313"/>
    <w:p>
      <w:pPr>
        <w:pStyle w:val="BodyText"/>
      </w:pPr>
      <w:r>
        <w:t xml:space="preserve">A</w:t>
      </w:r>
      <w:r>
        <w:t xml:space="preserve"> </w:t>
      </w:r>
      <w:r>
        <w:rPr>
          <w:rStyle w:val="VerbatimChar"/>
        </w:rPr>
        <w:t xml:space="preserve">Purchase</w:t>
      </w:r>
      <w:r>
        <w:t xml:space="preserve"> </w:t>
      </w:r>
      <w:r>
        <w:t xml:space="preserve">records a stage — preview unlock or full purchase — with the credits paid,</w:t>
      </w:r>
      <w:r>
        <w:t xml:space="preserve"> </w:t>
      </w:r>
      <w:r>
        <w:t xml:space="preserve">the platform fee and the writer’s payout, and a full purchase links to the preview that</w:t>
      </w:r>
      <w:r>
        <w:t xml:space="preserve"> </w:t>
      </w:r>
      <w:r>
        <w:t xml:space="preserve">preceded it. Each stage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amounts are always positive and their direction</w:t>
      </w:r>
      <w:r>
        <w:t xml:space="preserve"> </w:t>
      </w:r>
      <w:r>
        <w:t xml:space="preserve">comes from the type, enforced by a constraint. The diagram shows that no balance is</w:t>
      </w:r>
      <w:r>
        <w:t xml:space="preserve"> </w:t>
      </w:r>
      <w:r>
        <w:t xml:space="preserve">stored without its explanation: the magazine’s credit balance and the writer’s earnings</w:t>
      </w:r>
      <w:r>
        <w:t xml:space="preserve"> </w:t>
      </w:r>
      <w:r>
        <w:t xml:space="preserve">are caches of the transaction rows, which is exactly what the ledger invariants check</w:t>
      </w:r>
      <w:r>
        <w:t xml:space="preserve"> </w:t>
      </w:r>
      <w:r>
        <w:t xml:space="preserve">(NFR-19).</w:t>
      </w:r>
    </w:p>
    <w:p>
      <w:pPr>
        <w:pStyle w:val="BodyText"/>
      </w:pPr>
      <w:r>
        <w:rPr>
          <w:b/>
          <w:bCs/>
        </w:rPr>
        <w:t xml:space="preserve">Sequence diagram —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17" w:name="fig:seq-purchase"/>
    <w:p>
      <w:pPr>
        <w:pStyle w:val="CaptionedFigure"/>
      </w:pPr>
      <w:r>
        <w:drawing>
          <wp:inline>
            <wp:extent cx="5334000" cy="8528664"/>
            <wp:effectExtent b="0" l="0" r="0" t="0"/>
            <wp:docPr descr="Figure 5.3– Sequence diagram: preview, purchase and publication" title="" id="315" name="Picture"/>
            <a:graphic>
              <a:graphicData uri="http://schemas.openxmlformats.org/drawingml/2006/picture">
                <pic:pic>
                  <pic:nvPicPr>
                    <pic:cNvPr descr="../diagrams/fig-6-3-sequence-two-stage-purchase/fig-6-3-sequence-two-stage-purchase.png" id="316" name="Picture"/>
                    <pic:cNvPicPr>
                      <a:picLocks noChangeArrowheads="1" noChangeAspect="1"/>
                    </pic:cNvPicPr>
                  </pic:nvPicPr>
                  <pic:blipFill>
                    <a:blip r:embed="rId314"/>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17"/>
    <w:p>
      <w:pPr>
        <w:pStyle w:val="BodyText"/>
      </w:pPr>
      <w:r>
        <w:t xml:space="preserve">Each purchase stage opens one database transaction: it locks the article row and reads</w:t>
      </w:r>
      <w:r>
        <w:t xml:space="preserve"> </w:t>
      </w:r>
      <w:r>
        <w:t xml:space="preserve">its owner, refusing with 409 if another magazine already owns it, then locks the</w:t>
      </w:r>
      <w:r>
        <w:t xml:space="preserve"> </w:t>
      </w:r>
      <w:r>
        <w:t xml:space="preserve">magazine’s credit balance, refuses with 402 when it is insufficient, debits the</w:t>
      </w:r>
      <w:r>
        <w:t xml:space="preserve"> </w:t>
      </w:r>
      <w:r>
        <w:t xml:space="preserve">magazine, credits the writer, and writes the purchase and its three ledger rows. The</w:t>
      </w:r>
      <w:r>
        <w:t xml:space="preserve"> </w:t>
      </w:r>
      <w:r>
        <w:t xml:space="preserve">full purchase charges only what the preview has not already paid, and leaves the</w:t>
      </w:r>
      <w:r>
        <w:t xml:space="preserve"> </w:t>
      </w:r>
      <w:r>
        <w:t xml:space="preserve">article in the magazine’s library, owned and unpublished; publishing is a third call.</w:t>
      </w:r>
      <w:r>
        <w:t xml:space="preserve"> </w:t>
      </w:r>
      <w:r>
        <w:t xml:space="preserve">The diagram shows the two guarantees of the design: the row lock rules out two</w:t>
      </w:r>
      <w:r>
        <w:t xml:space="preserve"> </w:t>
      </w:r>
      <w:r>
        <w:t xml:space="preserve">magazines buying the same article or one magazine spending the same credits twice</w:t>
      </w:r>
      <w:r>
        <w:t xml:space="preserve"> </w:t>
      </w:r>
      <w:r>
        <w:t xml:space="preserve">(NFR-20), and the idempotency key on every request rules out a retried request</w:t>
      </w:r>
      <w:r>
        <w:t xml:space="preserve"> </w:t>
      </w:r>
      <w:r>
        <w:t xml:space="preserve">charging twice (NFR-06).</w:t>
      </w:r>
    </w:p>
    <w:p>
      <w:pPr>
        <w:pStyle w:val="BodyText"/>
      </w:pPr>
      <w:r>
        <w:rPr>
          <w:b/>
          <w:bCs/>
        </w:rPr>
        <w:t xml:space="preserve">Activity diagram —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21" w:name="fig:act-eligibility"/>
    <w:p>
      <w:pPr>
        <w:pStyle w:val="CaptionedFigure"/>
      </w:pPr>
      <w:r>
        <w:drawing>
          <wp:inline>
            <wp:extent cx="5334000" cy="6402079"/>
            <wp:effectExtent b="0" l="0" r="0" t="0"/>
            <wp:docPr descr="Figure 5.4– Activity diagram: the marketplace eligibility gate" title="" id="319" name="Picture"/>
            <a:graphic>
              <a:graphicData uri="http://schemas.openxmlformats.org/drawingml/2006/picture">
                <pic:pic>
                  <pic:nvPicPr>
                    <pic:cNvPr descr="../diagrams/fig-6-4-activity-eligibility-gate/fig-6-4-activity-eligibility-gate.png" id="320" name="Picture"/>
                    <pic:cNvPicPr>
                      <a:picLocks noChangeArrowheads="1" noChangeAspect="1"/>
                    </pic:cNvPicPr>
                  </pic:nvPicPr>
                  <pic:blipFill>
                    <a:blip r:embed="rId318"/>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21"/>
    <w:p>
      <w:pPr>
        <w:pStyle w:val="BodyText"/>
      </w:pPr>
      <w:r>
        <w:t xml:space="preserve">After each aggregation the worker checks the writers above both thresholds who are not</w:t>
      </w:r>
      <w:r>
        <w:t xml:space="preserve"> </w:t>
      </w:r>
      <w:r>
        <w:t xml:space="preserve">yet eligible, marks them eligible and writes an audit-log entry with the metric</w:t>
      </w:r>
      <w:r>
        <w:t xml:space="preserve"> </w:t>
      </w:r>
      <w:r>
        <w:t xml:space="preserve">snapshot; an administrator can grant eligibility directly, with the same audit trail.</w:t>
      </w:r>
      <w:r>
        <w:t xml:space="preserve"> </w:t>
      </w:r>
      <w:r>
        <w:t xml:space="preserve">Comment likes and reposts are deliberately not counted as reactions, so that other</w:t>
      </w:r>
      <w:r>
        <w:t xml:space="preserve"> </w:t>
      </w:r>
      <w:r>
        <w:t xml:space="preserve">people’s activity cannot move a writer’s threshold. The diagram shows that both paths</w:t>
      </w:r>
      <w:r>
        <w:t xml:space="preserve"> </w:t>
      </w:r>
      <w:r>
        <w:t xml:space="preserve">end in the same audit entry, so every eligible writer can be traced to the numbers or</w:t>
      </w:r>
      <w:r>
        <w:t xml:space="preserve"> </w:t>
      </w:r>
      <w:r>
        <w:t xml:space="preserve">the person that made them eligible.</w:t>
      </w:r>
    </w:p>
    <w:p>
      <w:pPr>
        <w:pStyle w:val="BodyText"/>
      </w:pPr>
      <w:r>
        <w:rPr>
          <w:b/>
          <w:bCs/>
        </w:rPr>
        <w:t xml:space="preserve">Sequence diagram —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25" w:name="fig:seq-moderation"/>
    <w:p>
      <w:pPr>
        <w:pStyle w:val="CaptionedFigure"/>
      </w:pPr>
      <w:r>
        <w:drawing>
          <wp:inline>
            <wp:extent cx="5334000" cy="6177576"/>
            <wp:effectExtent b="0" l="0" r="0" t="0"/>
            <wp:docPr descr="Figure 5.5– Sequence diagram: reporting and moderation" title="" id="323" name="Picture"/>
            <a:graphic>
              <a:graphicData uri="http://schemas.openxmlformats.org/drawingml/2006/picture">
                <pic:pic>
                  <pic:nvPicPr>
                    <pic:cNvPr descr="../diagrams/fig-6-5-sequence-moderation/fig-6-5-sequence-moderation.png" id="324" name="Picture"/>
                    <pic:cNvPicPr>
                      <a:picLocks noChangeArrowheads="1" noChangeAspect="1"/>
                    </pic:cNvPicPr>
                  </pic:nvPicPr>
                  <pic:blipFill>
                    <a:blip r:embed="rId322"/>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25"/>
    <w:p>
      <w:pPr>
        <w:pStyle w:val="BodyText"/>
      </w:pPr>
      <w:r>
        <w:t xml:space="preserve">After publication a classifier model reviews the article; a flag files a pending report</w:t>
      </w:r>
      <w:r>
        <w:t xml:space="preserve"> </w:t>
      </w:r>
      <w:r>
        <w:t xml:space="preserve">with no reporter but never blocks publication. Readers report articles, users or</w:t>
      </w:r>
      <w:r>
        <w:t xml:space="preserve"> </w:t>
      </w:r>
      <w:r>
        <w:t xml:space="preserve">comments. The administrator works the queue: dismiss the report, remove the article or</w:t>
      </w:r>
      <w:r>
        <w:t xml:space="preserve"> </w:t>
      </w:r>
      <w:r>
        <w:t xml:space="preserve">ban the author, a ban taking effect within fifteen minutes (NFR-09). The diagram shows</w:t>
      </w:r>
      <w:r>
        <w:t xml:space="preserve"> </w:t>
      </w:r>
      <w:r>
        <w:t xml:space="preserve">the policy behind the design: the classifier only</w:t>
      </w:r>
      <w:r>
        <w:t xml:space="preserve"> </w:t>
      </w:r>
      <w:r>
        <w:rPr>
          <w:i/>
          <w:iCs/>
        </w:rPr>
        <w:t xml:space="preserve">files</w:t>
      </w:r>
      <w:r>
        <w:t xml:space="preserve"> </w:t>
      </w:r>
      <w:r>
        <w:t xml:space="preserve">a report, because refusing</w:t>
      </w:r>
      <w:r>
        <w:t xml:space="preserve"> </w:t>
      </w:r>
      <w:r>
        <w:t xml:space="preserve">publication on a false positive would be worse than a human clearing it from the</w:t>
      </w:r>
      <w:r>
        <w:t xml:space="preserve"> </w:t>
      </w:r>
      <w:r>
        <w:t xml:space="preserve">queue. Its precision and recall are measured in</w:t>
      </w:r>
      <w:r>
        <w:t xml:space="preserve"> </w:t>
      </w:r>
      <w:hyperlink w:anchor="sec:eval-moderation">
        <w:r>
          <w:rPr>
            <w:rStyle w:val="Hyperlink"/>
          </w:rPr>
          <w:t xml:space="preserve">Section 7.4</w:t>
        </w:r>
      </w:hyperlink>
      <w:r>
        <w:t xml:space="preserve">.</w:t>
      </w:r>
    </w:p>
    <w:p>
      <w:pPr>
        <w:pStyle w:val="BodyText"/>
      </w:pPr>
      <w:r>
        <w:rPr>
          <w:b/>
          <w:bCs/>
        </w:rPr>
        <w:t xml:space="preserve">Activity diagram —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29" w:name="fig:act-access"/>
    <w:p>
      <w:pPr>
        <w:pStyle w:val="CaptionedFigure"/>
      </w:pPr>
      <w:r>
        <w:drawing>
          <wp:inline>
            <wp:extent cx="5334000" cy="2662435"/>
            <wp:effectExtent b="0" l="0" r="0" t="0"/>
            <wp:docPr descr="Figure 5.6– Activity diagram: the article access decision" title="" id="327" name="Picture"/>
            <a:graphic>
              <a:graphicData uri="http://schemas.openxmlformats.org/drawingml/2006/picture">
                <pic:pic>
                  <pic:nvPicPr>
                    <pic:cNvPr descr="../diagrams/fig-6-6-activity-article-access/fig-6-6-activity-article-access.png" id="328" name="Picture"/>
                    <pic:cNvPicPr>
                      <a:picLocks noChangeArrowheads="1" noChangeAspect="1"/>
                    </pic:cNvPicPr>
                  </pic:nvPicPr>
                  <pic:blipFill>
                    <a:blip r:embed="rId326"/>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29"/>
    <w:p>
      <w:pPr>
        <w:pStyle w:val="BodyText"/>
      </w:pPr>
      <w:r>
        <w:t xml:space="preserve">The author and administrators always read. A marketplace article is visible only to a</w:t>
      </w:r>
      <w:r>
        <w:t xml:space="preserve"> </w:t>
      </w:r>
      <w:r>
        <w:t xml:space="preserve">magazine with an active subscription, and its body only once that magazine has</w:t>
      </w:r>
      <w:r>
        <w:t xml:space="preserve"> </w:t>
      </w:r>
      <w:r>
        <w:t xml:space="preserve">previewed or bought it — otherwise it receives the title, excerpt and price with the</w:t>
      </w:r>
      <w:r>
        <w:t xml:space="preserve"> </w:t>
      </w:r>
      <w:r>
        <w:t xml:space="preserve">content set to</w:t>
      </w:r>
      <w:r>
        <w:t xml:space="preserve"> </w:t>
      </w:r>
      <w:r>
        <w:rPr>
          <w:rStyle w:val="VerbatimChar"/>
        </w:rPr>
        <w:t xml:space="preserve">null</w:t>
      </w:r>
      <w:r>
        <w:t xml:space="preserve">. A premium public article requires the premium plan or a</w:t>
      </w:r>
      <w:r>
        <w:t xml:space="preserve"> </w:t>
      </w:r>
      <w:r>
        <w:t xml:space="preserve">subscribed magazine. A free public article is readable by everyone. The diagram is the</w:t>
      </w:r>
      <w:r>
        <w:t xml:space="preserve"> </w:t>
      </w:r>
      <w:r>
        <w:t xml:space="preserve">rule of FR-56 and NFR-04: the browser is told the verdict and never computes it, so a</w:t>
      </w:r>
      <w:r>
        <w:t xml:space="preserve"> </w:t>
      </w:r>
      <w:r>
        <w:t xml:space="preserve">modified client cannot read what it has not paid for.</w:t>
      </w:r>
    </w:p>
    <w:p>
      <w:pPr>
        <w:pStyle w:val="BodyText"/>
      </w:pPr>
      <w:r>
        <w:rPr>
          <w:b/>
          <w:bCs/>
        </w:rPr>
        <w:t xml:space="preserve">State diagram —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33" w:name="fig:state-article"/>
    <w:p>
      <w:pPr>
        <w:pStyle w:val="CaptionedFigure"/>
      </w:pPr>
      <w:r>
        <w:drawing>
          <wp:inline>
            <wp:extent cx="5334000" cy="2595636"/>
            <wp:effectExtent b="0" l="0" r="0" t="0"/>
            <wp:docPr descr="Figure 5.7– State diagram: the article lifecycle" title="" id="331" name="Picture"/>
            <a:graphic>
              <a:graphicData uri="http://schemas.openxmlformats.org/drawingml/2006/picture">
                <pic:pic>
                  <pic:nvPicPr>
                    <pic:cNvPr descr="../diagrams/fig-6-8-state-article-lifecycle/fig-6-8-state-article-lifecycle.png" id="332" name="Picture"/>
                    <pic:cNvPicPr>
                      <a:picLocks noChangeArrowheads="1" noChangeAspect="1"/>
                    </pic:cNvPicPr>
                  </pic:nvPicPr>
                  <pic:blipFill>
                    <a:blip r:embed="rId330"/>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33"/>
    <w:p>
      <w:pPr>
        <w:pStyle w:val="BodyText"/>
      </w:pPr>
      <w:r>
        <w:t xml:space="preserve">A draft is published as free, premium or listed on the marketplace. A listed article</w:t>
      </w:r>
      <w:r>
        <w:t xml:space="preserve"> </w:t>
      </w:r>
      <w:r>
        <w:t xml:space="preserve">can be withdrawn to public — never the reverse, because an article the public has read</w:t>
      </w:r>
      <w:r>
        <w:t xml:space="preserve"> </w:t>
      </w:r>
      <w:r>
        <w:t xml:space="preserve">has no exclusivity left to sell — or deleted, as long as no magazine owns it. Its first</w:t>
      </w:r>
      <w:r>
        <w:t xml:space="preserve"> </w:t>
      </w:r>
      <w:r>
        <w:t xml:space="preserve">full purchase makes it</w:t>
      </w:r>
      <w:r>
        <w:t xml:space="preserve"> </w:t>
      </w:r>
      <w:r>
        <w:rPr>
          <w:i/>
          <w:iCs/>
        </w:rPr>
        <w:t xml:space="preserve">owned</w:t>
      </w:r>
      <w:r>
        <w:t xml:space="preserve">, after which the writer can neither withdraw nor delete</w:t>
      </w:r>
      <w:r>
        <w:t xml:space="preserve"> </w:t>
      </w:r>
      <w:r>
        <w:t xml:space="preserve">it; the magazine’s publication makes it</w:t>
      </w:r>
      <w:r>
        <w:t xml:space="preserve"> </w:t>
      </w:r>
      <w:r>
        <w:rPr>
          <w:i/>
          <w:iCs/>
        </w:rPr>
        <w:t xml:space="preserve">published by a magazine</w:t>
      </w:r>
      <w:r>
        <w:t xml:space="preserve">, public and free. The</w:t>
      </w:r>
      <w:r>
        <w:t xml:space="preserve"> </w:t>
      </w:r>
      <w:r>
        <w:t xml:space="preserve">diagram shows that every transition that could destroy what a magazine paid for is</w:t>
      </w:r>
      <w:r>
        <w:t xml:space="preserve"> </w:t>
      </w:r>
      <w:r>
        <w:t xml:space="preserve">absent, which is what makes the exclusivity of</w:t>
      </w:r>
      <w:r>
        <w:t xml:space="preserve"> </w:t>
      </w:r>
      <w:hyperlink w:anchor="tbl:rules">
        <w:r>
          <w:rPr>
            <w:rStyle w:val="Hyperlink"/>
          </w:rPr>
          <w:t xml:space="preserve">Table 5.2</w:t>
        </w:r>
      </w:hyperlink>
      <w:r>
        <w:t xml:space="preserve"> </w:t>
      </w:r>
      <w:r>
        <w:t xml:space="preserve">enforceable.</w:t>
      </w:r>
    </w:p>
    <w:bookmarkEnd w:id="334"/>
    <w:bookmarkStart w:id="395"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38" w:name="fig:paywall"/>
    <w:p>
      <w:pPr>
        <w:pStyle w:val="CaptionedFigure"/>
      </w:pPr>
      <w:r>
        <w:drawing>
          <wp:inline>
            <wp:extent cx="4267200" cy="2667000"/>
            <wp:effectExtent b="0" l="0" r="0" t="0"/>
            <wp:docPr descr="Figure 5.8– A premium article behind the paywall" title="" id="336" name="Picture"/>
            <a:graphic>
              <a:graphicData uri="http://schemas.openxmlformats.org/drawingml/2006/picture">
                <pic:pic>
                  <pic:nvPicPr>
                    <pic:cNvPr descr="../figures/screens/guest-06-article-premium-paywall.png" id="337" name="Picture"/>
                    <pic:cNvPicPr>
                      <a:picLocks noChangeArrowheads="1" noChangeAspect="1"/>
                    </pic:cNvPicPr>
                  </pic:nvPicPr>
                  <pic:blipFill>
                    <a:blip r:embed="rId3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38"/>
    <w:p>
      <w:pPr>
        <w:pStyle w:val="BodyText"/>
      </w:pPr>
      <w:r>
        <w:t xml:space="preserve">The visitor reads the title, the author and the opening of the article; the rest of the</w:t>
      </w:r>
      <w:r>
        <w:t xml:space="preserve"> </w:t>
      </w:r>
      <w:r>
        <w:t xml:space="preserve">body is withheld by the access decision of</w:t>
      </w:r>
      <w:r>
        <w:t xml:space="preserve"> </w:t>
      </w:r>
      <w:hyperlink w:anchor="fig:act-access">
        <w:r>
          <w:rPr>
            <w:rStyle w:val="Hyperlink"/>
          </w:rPr>
          <w:t xml:space="preserve">Figure 5.6</w:t>
        </w:r>
      </w:hyperlink>
      <w:r>
        <w:t xml:space="preserve">, and only a premium reader</w:t>
      </w:r>
      <w:r>
        <w:t xml:space="preserve"> </w:t>
      </w:r>
      <w:r>
        <w:t xml:space="preserve">or a subscribed magazine receives it (FR-03, FR-16). What the screen does not show is as important as</w:t>
      </w:r>
      <w:r>
        <w:t xml:space="preserve"> </w:t>
      </w:r>
      <w:r>
        <w:t xml:space="preserve">what it shows: the body never reaches the browser, so it cannot be revealed by</w:t>
      </w:r>
      <w:r>
        <w:t xml:space="preserve"> </w:t>
      </w:r>
      <w:r>
        <w:t xml:space="preserve">inspecting the page.</w:t>
      </w:r>
    </w:p>
    <w:p>
      <w:pPr>
        <w:pStyle w:val="BodyText"/>
      </w:pPr>
      <w:hyperlink w:anchor="fig:plans">
        <w:r>
          <w:rPr>
            <w:rStyle w:val="Hyperlink"/>
          </w:rPr>
          <w:t xml:space="preserve">Figure 5.9</w:t>
        </w:r>
      </w:hyperlink>
      <w:r>
        <w:t xml:space="preserve"> </w:t>
      </w:r>
      <w:r>
        <w:t xml:space="preserve">shows the plans offered to a reader.</w:t>
      </w:r>
    </w:p>
    <w:bookmarkStart w:id="342" w:name="fig:plans"/>
    <w:p>
      <w:pPr>
        <w:pStyle w:val="CaptionedFigure"/>
      </w:pPr>
      <w:r>
        <w:drawing>
          <wp:inline>
            <wp:extent cx="4267200" cy="2667000"/>
            <wp:effectExtent b="0" l="0" r="0" t="0"/>
            <wp:docPr descr="Figure 5.9– The plans: free and premium" title="" id="340" name="Picture"/>
            <a:graphic>
              <a:graphicData uri="http://schemas.openxmlformats.org/drawingml/2006/picture">
                <pic:pic>
                  <pic:nvPicPr>
                    <pic:cNvPr descr="../figures/screens/reader-03-subscription-plans.png" id="341" name="Picture"/>
                    <pic:cNvPicPr>
                      <a:picLocks noChangeArrowheads="1" noChangeAspect="1"/>
                    </pic:cNvPicPr>
                  </pic:nvPicPr>
                  <pic:blipFill>
                    <a:blip r:embed="rId3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42"/>
    <w:p>
      <w:pPr>
        <w:pStyle w:val="BodyText"/>
      </w:pPr>
      <w:r>
        <w:t xml:space="preserve">The comparison states the difference between the plans — premium articles and the AI</w:t>
      </w:r>
      <w:r>
        <w:t xml:space="preserve"> </w:t>
      </w:r>
      <w:r>
        <w:t xml:space="preserve">assistant with 20,000 tokens a day —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46" w:name="fig:subscription"/>
    <w:p>
      <w:pPr>
        <w:pStyle w:val="CaptionedFigure"/>
      </w:pPr>
      <w:r>
        <w:drawing>
          <wp:inline>
            <wp:extent cx="4267200" cy="2667000"/>
            <wp:effectExtent b="0" l="0" r="0" t="0"/>
            <wp:docPr descr="Figure 5.10– A magazine’s subscription and credits" title="" id="344" name="Picture"/>
            <a:graphic>
              <a:graphicData uri="http://schemas.openxmlformats.org/drawingml/2006/picture">
                <pic:pic>
                  <pic:nvPicPr>
                    <pic:cNvPr descr="../figures/screens/magazine-06-subscription-credits.png" id="345" name="Picture"/>
                    <pic:cNvPicPr>
                      <a:picLocks noChangeArrowheads="1" noChangeAspect="1"/>
                    </pic:cNvPicPr>
                  </pic:nvPicPr>
                  <pic:blipFill>
                    <a:blip r:embed="rId3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46"/>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50" w:name="fig:marketplace"/>
    <w:p>
      <w:pPr>
        <w:pStyle w:val="CaptionedFigure"/>
      </w:pPr>
      <w:r>
        <w:drawing>
          <wp:inline>
            <wp:extent cx="4267200" cy="2667000"/>
            <wp:effectExtent b="0" l="0" r="0" t="0"/>
            <wp:docPr descr="Figure 5.11– The marketplace, with preview and purchase prices" title="" id="348" name="Picture"/>
            <a:graphic>
              <a:graphicData uri="http://schemas.openxmlformats.org/drawingml/2006/picture">
                <pic:pic>
                  <pic:nvPicPr>
                    <pic:cNvPr descr="../figures/screens/magazine-01-marketplace.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50"/>
    <w:bookmarkStart w:id="354" w:name="fig:listing"/>
    <w:p>
      <w:pPr>
        <w:pStyle w:val="CaptionedFigure"/>
      </w:pPr>
      <w:r>
        <w:drawing>
          <wp:inline>
            <wp:extent cx="4267200" cy="2667000"/>
            <wp:effectExtent b="0" l="0" r="0" t="0"/>
            <wp:docPr descr="Figure 5.12– A listing before preview" title="" id="352" name="Picture"/>
            <a:graphic>
              <a:graphicData uri="http://schemas.openxmlformats.org/drawingml/2006/picture">
                <pic:pic>
                  <pic:nvPicPr>
                    <pic:cNvPr descr="../figures/screens/magazine-02-listing-detail.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54"/>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 14 credits for an article at 140 —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58" w:name="fig:preview-confirm"/>
    <w:p>
      <w:pPr>
        <w:pStyle w:val="CaptionedFigure"/>
      </w:pPr>
      <w:r>
        <w:drawing>
          <wp:inline>
            <wp:extent cx="4267200" cy="2667000"/>
            <wp:effectExtent b="0" l="0" r="0" t="0"/>
            <wp:docPr descr="Figure 5.13– Confirming a preview unlock: price and balance after" title="" id="356" name="Picture"/>
            <a:graphic>
              <a:graphicData uri="http://schemas.openxmlformats.org/drawingml/2006/picture">
                <pic:pic>
                  <pic:nvPicPr>
                    <pic:cNvPr descr="../figures/screens/magazine-03-purchase-confirm.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58"/>
    <w:p>
      <w:pPr>
        <w:pStyle w:val="BodyText"/>
      </w:pPr>
      <w:r>
        <w:t xml:space="preserve">Before any credit moves, the dialog states what is bought, what is paid now and the</w:t>
      </w:r>
      <w:r>
        <w:t xml:space="preserve"> </w:t>
      </w:r>
      <w:r>
        <w:t xml:space="preserve">balance after — 238 → 224 —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62" w:name="fig:library"/>
    <w:p>
      <w:pPr>
        <w:pStyle w:val="CaptionedFigure"/>
      </w:pPr>
      <w:r>
        <w:drawing>
          <wp:inline>
            <wp:extent cx="4267200" cy="2667000"/>
            <wp:effectExtent b="0" l="0" r="0" t="0"/>
            <wp:docPr descr="Figure 5.14– The magazine’s library: unpublished and published" title="" id="360" name="Picture"/>
            <a:graphic>
              <a:graphicData uri="http://schemas.openxmlformats.org/drawingml/2006/picture">
                <pic:pic>
                  <pic:nvPicPr>
                    <pic:cNvPr descr="../figures/screens/magazine-04-library.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62"/>
    <w:bookmarkStart w:id="366" w:name="fig:publish-library"/>
    <w:p>
      <w:pPr>
        <w:pStyle w:val="CaptionedFigure"/>
      </w:pPr>
      <w:r>
        <w:drawing>
          <wp:inline>
            <wp:extent cx="4267200" cy="2667000"/>
            <wp:effectExtent b="0" l="0" r="0" t="0"/>
            <wp:docPr descr="Figure 5.15– Publishing a purchased article under the magazine’s masthead" title="" id="364" name="Picture"/>
            <a:graphic>
              <a:graphicData uri="http://schemas.openxmlformats.org/drawingml/2006/picture">
                <pic:pic>
                  <pic:nvPicPr>
                    <pic:cNvPr descr="../figures/screens/magazine-09-publish-from-library.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66"/>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70" w:name="fig:licensed"/>
    <w:p>
      <w:pPr>
        <w:pStyle w:val="CaptionedFigure"/>
      </w:pPr>
      <w:r>
        <w:drawing>
          <wp:inline>
            <wp:extent cx="4267200" cy="2667000"/>
            <wp:effectExtent b="0" l="0" r="0" t="0"/>
            <wp:docPr descr="Figure 5.16– A licensed article naming both the writer and the magazine" title="" id="368" name="Picture"/>
            <a:graphic>
              <a:graphicData uri="http://schemas.openxmlformats.org/drawingml/2006/picture">
                <pic:pic>
                  <pic:nvPicPr>
                    <pic:cNvPr descr="../figures/screens/guest-10-licensed-article.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70"/>
    <w:bookmarkStart w:id="374" w:name="fig:magazine-profile"/>
    <w:p>
      <w:pPr>
        <w:pStyle w:val="CaptionedFigure"/>
      </w:pPr>
      <w:r>
        <w:drawing>
          <wp:inline>
            <wp:extent cx="4267200" cy="2667000"/>
            <wp:effectExtent b="0" l="0" r="0" t="0"/>
            <wp:docPr descr="Figure 5.17– A magazine’s public profile and its published articles" title="" id="372" name="Picture"/>
            <a:graphic>
              <a:graphicData uri="http://schemas.openxmlformats.org/drawingml/2006/picture">
                <pic:pic>
                  <pic:nvPicPr>
                    <pic:cNvPr descr="../figures/screens/guest-08-magazine-profile.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74"/>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78" w:name="fig:earnings"/>
    <w:p>
      <w:pPr>
        <w:pStyle w:val="CaptionedFigure"/>
      </w:pPr>
      <w:r>
        <w:drawing>
          <wp:inline>
            <wp:extent cx="4267200" cy="2667000"/>
            <wp:effectExtent b="0" l="0" r="0" t="0"/>
            <wp:docPr descr="Figure 5.18– A writer’s earnings, itemised by preview and purchase" title="" id="376" name="Picture"/>
            <a:graphic>
              <a:graphicData uri="http://schemas.openxmlformats.org/drawingml/2006/picture">
                <pic:pic>
                  <pic:nvPicPr>
                    <pic:cNvPr descr="../figures/screens/writer-09-earnings.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78"/>
    <w:bookmarkStart w:id="382" w:name="fig:sold-article"/>
    <w:p>
      <w:pPr>
        <w:pStyle w:val="CaptionedFigure"/>
      </w:pPr>
      <w:r>
        <w:drawing>
          <wp:inline>
            <wp:extent cx="4267200" cy="2667000"/>
            <wp:effectExtent b="0" l="0" r="0" t="0"/>
            <wp:docPr descr="Figure 5.19– A sold article, as its author sees it" title="" id="380" name="Picture"/>
            <a:graphic>
              <a:graphicData uri="http://schemas.openxmlformats.org/drawingml/2006/picture">
                <pic:pic>
                  <pic:nvPicPr>
                    <pic:cNvPr descr="../figures/screens/writer-11-sold-articl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82"/>
    <w:p>
      <w:pPr>
        <w:pStyle w:val="BodyText"/>
      </w:pPr>
      <w:r>
        <w:t xml:space="preserve">Earnings are itemised by article and by stage, and each line of the payout history</w:t>
      </w:r>
      <w:r>
        <w:t xml:space="preserve"> </w:t>
      </w:r>
      <w:r>
        <w:t xml:space="preserve">shows what the magazine paid and the platform fee: for a purchase, 54 credits paid,</w:t>
      </w:r>
      <w:r>
        <w:t xml:space="preserve"> </w:t>
      </w:r>
      <w:r>
        <w:t xml:space="preserve">10 credits of fee — 20% rounded down — and 44 credits to the writer (FR-37). The</w:t>
      </w:r>
      <w:r>
        <w:t xml:space="preserve"> </w:t>
      </w:r>
      <w:r>
        <w:t xml:space="preserve">arithmetic of</w:t>
      </w:r>
      <w:r>
        <w:t xml:space="preserve"> </w:t>
      </w:r>
      <w:hyperlink w:anchor="tbl:rules">
        <w:r>
          <w:rPr>
            <w:rStyle w:val="Hyperlink"/>
          </w:rPr>
          <w:t xml:space="preserve">Table 5.2</w:t>
        </w:r>
      </w:hyperlink>
      <w:r>
        <w:t xml:space="preserve"> </w:t>
      </w:r>
      <w:r>
        <w:t xml:space="preserve">is therefore visible to the writer, line by line, which is the</w:t>
      </w:r>
      <w:r>
        <w:t xml:space="preserve"> </w:t>
      </w:r>
      <w:r>
        <w:t xml:space="preserve">trust US-42 asks for. A sold article tells its author who owns it, and can no longer be</w:t>
      </w:r>
      <w:r>
        <w:t xml:space="preserve"> </w:t>
      </w:r>
      <w:r>
        <w:t xml:space="preserve">withdrawn or deleted (FR-72), as the lifecycle of</w:t>
      </w:r>
      <w:r>
        <w:t xml:space="preserve"> </w:t>
      </w:r>
      <w:hyperlink w:anchor="fig:state-article">
        <w:r>
          <w:rPr>
            <w:rStyle w:val="Hyperlink"/>
          </w:rPr>
          <w:t xml:space="preserve">Figure 5.7</w:t>
        </w:r>
      </w:hyperlink>
      <w:r>
        <w:t xml:space="preserve"> </w:t>
      </w:r>
      <w:r>
        <w:t xml:space="preserve">requires.</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86" w:name="fig:admin-grant"/>
    <w:p>
      <w:pPr>
        <w:pStyle w:val="CaptionedFigure"/>
      </w:pPr>
      <w:r>
        <w:drawing>
          <wp:inline>
            <wp:extent cx="4267200" cy="2667000"/>
            <wp:effectExtent b="0" l="0" r="0" t="0"/>
            <wp:docPr descr="Figure 5.20– Administration: manual eligibility grant" title="" id="384" name="Picture"/>
            <a:graphic>
              <a:graphicData uri="http://schemas.openxmlformats.org/drawingml/2006/picture">
                <pic:pic>
                  <pic:nvPicPr>
                    <pic:cNvPr descr="../figures/screens/admin-01-eligibility-grant.png" id="385" name="Picture"/>
                    <pic:cNvPicPr>
                      <a:picLocks noChangeArrowheads="1" noChangeAspect="1"/>
                    </pic:cNvPicPr>
                  </pic:nvPicPr>
                  <pic:blipFill>
                    <a:blip r:embed="rId3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86"/>
    <w:bookmarkStart w:id="390" w:name="fig:admin-users"/>
    <w:p>
      <w:pPr>
        <w:pStyle w:val="CaptionedFigure"/>
      </w:pPr>
      <w:r>
        <w:drawing>
          <wp:inline>
            <wp:extent cx="4267200" cy="2667000"/>
            <wp:effectExtent b="0" l="0" r="0" t="0"/>
            <wp:docPr descr="Figure 5.21– Administration: user management" title="" id="388" name="Picture"/>
            <a:graphic>
              <a:graphicData uri="http://schemas.openxmlformats.org/drawingml/2006/picture">
                <pic:pic>
                  <pic:nvPicPr>
                    <pic:cNvPr descr="../figures/screens/admin-02-user-table.png" id="389" name="Picture"/>
                    <pic:cNvPicPr>
                      <a:picLocks noChangeArrowheads="1" noChangeAspect="1"/>
                    </pic:cNvPicPr>
                  </pic:nvPicPr>
                  <pic:blipFill>
                    <a:blip r:embed="rId3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390"/>
    <w:bookmarkStart w:id="394" w:name="fig:admin-reports"/>
    <w:p>
      <w:pPr>
        <w:pStyle w:val="CaptionedFigure"/>
      </w:pPr>
      <w:r>
        <w:drawing>
          <wp:inline>
            <wp:extent cx="4267200" cy="2667000"/>
            <wp:effectExtent b="0" l="0" r="0" t="0"/>
            <wp:docPr descr="Figure 5.22– Administration: the report queue" title="" id="392" name="Picture"/>
            <a:graphic>
              <a:graphicData uri="http://schemas.openxmlformats.org/drawingml/2006/picture">
                <pic:pic>
                  <pic:nvPicPr>
                    <pic:cNvPr descr="../figures/screens/admin-03-report-queue.png" id="393" name="Picture"/>
                    <pic:cNvPicPr>
                      <a:picLocks noChangeArrowheads="1" noChangeAspect="1"/>
                    </pic:cNvPicPr>
                  </pic:nvPicPr>
                  <pic:blipFill>
                    <a:blip r:embed="rId39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394"/>
    <w:p>
      <w:pPr>
        <w:pStyle w:val="BodyText"/>
      </w:pPr>
      <w:r>
        <w:t xml:space="preserve">The grant records who made a writer eligible (FR-55); the user table searches and</w:t>
      </w:r>
      <w:r>
        <w:t xml:space="preserve"> </w:t>
      </w:r>
      <w:r>
        <w:t xml:space="preserve">filters accounts and edits a plan (FR-53, FR-54); the report queue lists reports by</w:t>
      </w:r>
      <w:r>
        <w:t xml:space="preserve"> </w:t>
      </w:r>
      <w:r>
        <w:t xml:space="preserve">status with the four actions of</w:t>
      </w:r>
      <w:r>
        <w:t xml:space="preserve"> </w:t>
      </w:r>
      <w:hyperlink w:anchor="fig:seq-moderation">
        <w:r>
          <w:rPr>
            <w:rStyle w:val="Hyperlink"/>
          </w:rPr>
          <w:t xml:space="preserve">Figure 5.5</w:t>
        </w:r>
      </w:hyperlink>
      <w:r>
        <w:t xml:space="preserve"> </w:t>
      </w:r>
      <w:r>
        <w:t xml:space="preserve">— dismiss, mark resolved, remove the</w:t>
      </w:r>
      <w:r>
        <w:t xml:space="preserve"> </w:t>
      </w:r>
      <w:r>
        <w:t xml:space="preserve">article, ban the author (FR-51, FR-52). The second report of</w:t>
      </w:r>
      <w:r>
        <w:t xml:space="preserve"> </w:t>
      </w:r>
      <w:hyperlink w:anchor="fig:admin-reports">
        <w:r>
          <w:rPr>
            <w:rStyle w:val="Hyperlink"/>
          </w:rPr>
          <w:t xml:space="preserve">Figure 5.22</w:t>
        </w:r>
      </w:hyperlink>
      <w:r>
        <w:t xml:space="preserve"> </w:t>
      </w:r>
      <w:r>
        <w:t xml:space="preserve">has no</w:t>
      </w:r>
      <w:r>
        <w:t xml:space="preserve"> </w:t>
      </w:r>
      <w:r>
        <w:t xml:space="preserve">reporter: it was filed by the classifier at publish time (FR-57), and the</w:t>
      </w:r>
      <w:r>
        <w:t xml:space="preserve"> </w:t>
      </w:r>
      <w:r>
        <w:t xml:space="preserve">administrator’s note records why the article stayed published — the human decision the</w:t>
      </w:r>
      <w:r>
        <w:t xml:space="preserve"> </w:t>
      </w:r>
      <w:r>
        <w:t xml:space="preserve">design reserves for a person.</w:t>
      </w:r>
    </w:p>
    <w:bookmarkEnd w:id="395"/>
    <w:bookmarkEnd w:id="396"/>
    <w:bookmarkStart w:id="407" w:name="sec:sprint6"/>
    <w:p>
      <w:pPr>
        <w:pStyle w:val="Heading2"/>
      </w:pPr>
      <w:r>
        <w:rPr>
          <w:rStyle w:val="SectionNumber"/>
        </w:rPr>
        <w:t xml:space="preserve">5.2</w:t>
      </w:r>
      <w:r>
        <w:tab/>
      </w:r>
      <w:r>
        <w:t xml:space="preserve">Sprint 6 — Tests, demonstration and deployment</w:t>
      </w:r>
    </w:p>
    <w:bookmarkStart w:id="398"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397"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397"/>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398"/>
    <w:bookmarkStart w:id="399"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399"/>
    <w:bookmarkStart w:id="404"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403" w:name="fig:test-strategy"/>
    <w:p>
      <w:pPr>
        <w:pStyle w:val="CaptionedFigure"/>
      </w:pPr>
      <w:r>
        <w:drawing>
          <wp:inline>
            <wp:extent cx="5334000" cy="2581469"/>
            <wp:effectExtent b="0" l="0" r="0" t="0"/>
            <wp:docPr descr="Figure 5.23– Test strategy" title="" id="401" name="Picture"/>
            <a:graphic>
              <a:graphicData uri="http://schemas.openxmlformats.org/drawingml/2006/picture">
                <pic:pic>
                  <pic:nvPicPr>
                    <pic:cNvPr descr="../diagrams/fig-6-7-test-strategy/fig-6-7-test-strategy.png" id="402" name="Picture"/>
                    <pic:cNvPicPr>
                      <a:picLocks noChangeArrowheads="1" noChangeAspect="1"/>
                    </pic:cNvPicPr>
                  </pic:nvPicPr>
                  <pic:blipFill>
                    <a:blip r:embed="rId400"/>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403"/>
    <w:p>
      <w:pPr>
        <w:pStyle w:val="BodyText"/>
      </w:pPr>
      <w:r>
        <w:t xml:space="preserve">The base is the</w:t>
      </w:r>
      <w:r>
        <w:t xml:space="preserve"> </w:t>
      </w:r>
      <w:r>
        <w:rPr>
          <w:b/>
          <w:bCs/>
        </w:rPr>
        <w:t xml:space="preserve">unit and service tests</w:t>
      </w:r>
      <w:r>
        <w:t xml:space="preserve"> </w:t>
      </w:r>
      <w:r>
        <w:t xml:space="preserve">of the backend, which run against a real</w:t>
      </w:r>
      <w:r>
        <w:t xml:space="preserve"> </w:t>
      </w:r>
      <w:r>
        <w:t xml:space="preserve">PostgreSQL database rather than mocks, so that constraints, transactions and row locks</w:t>
      </w:r>
      <w:r>
        <w:t xml:space="preserve"> </w:t>
      </w:r>
      <w:r>
        <w:t xml:space="preserve">are exercised for real; each test runs in a transaction that is rolled back. Above them,</w:t>
      </w:r>
      <w:r>
        <w:t xml:space="preserve"> </w:t>
      </w:r>
      <w:r>
        <w:rPr>
          <w:b/>
          <w:bCs/>
        </w:rPr>
        <w:t xml:space="preserve">integration tests</w:t>
      </w:r>
      <w:r>
        <w:t xml:space="preserve"> </w:t>
      </w:r>
      <w:r>
        <w:t xml:space="preserve">go through the API — authentication, publishing, purchasing — and</w:t>
      </w:r>
      <w:r>
        <w:t xml:space="preserve"> </w:t>
      </w:r>
      <w:r>
        <w:t xml:space="preserve">verify the ledger afterwards. At the top,</w:t>
      </w:r>
      <w:r>
        <w:t xml:space="preserve"> </w:t>
      </w:r>
      <w:r>
        <w:rPr>
          <w:b/>
          <w:bCs/>
        </w:rPr>
        <w:t xml:space="preserve">end-to-end tests</w:t>
      </w:r>
      <w:r>
        <w:t xml:space="preserve"> </w:t>
      </w:r>
      <w:r>
        <w:t xml:space="preserve">drive a real browser over</w:t>
      </w:r>
      <w:r>
        <w:t xml:space="preserve"> </w:t>
      </w:r>
      <w:r>
        <w:t xml:space="preserve">a seeded corpus. Two families protect the money: the</w:t>
      </w:r>
      <w:r>
        <w:t xml:space="preserve"> </w:t>
      </w:r>
      <w:r>
        <w:rPr>
          <w:b/>
          <w:bCs/>
        </w:rPr>
        <w:t xml:space="preserve">ledger invariant harness</w:t>
      </w:r>
      <w:r>
        <w:t xml:space="preserve">,</w:t>
      </w:r>
      <w:r>
        <w:t xml:space="preserve"> </w:t>
      </w:r>
      <w:r>
        <w:t xml:space="preserve">whose tests are mostly negative — a fixture builds a coherent purchase, corrupts one</w:t>
      </w:r>
      <w:r>
        <w:t xml:space="preserve"> </w:t>
      </w:r>
      <w:r>
        <w:t xml:space="preserve">column and checks that the right invariant fires — and a</w:t>
      </w:r>
      <w:r>
        <w:t xml:space="preserve"> </w:t>
      </w:r>
      <w:r>
        <w:rPr>
          <w:b/>
          <w:bCs/>
        </w:rPr>
        <w:t xml:space="preserve">price sweep</w:t>
      </w:r>
      <w:r>
        <w:t xml:space="preserve"> </w:t>
      </w:r>
      <w:r>
        <w:t xml:space="preserve">that checks</w:t>
      </w:r>
      <w:r>
        <w:t xml:space="preserve"> </w:t>
      </w:r>
      <w:r>
        <w:t xml:space="preserve">every price from 1 to 300 credits, both stages and both splits, reconciling exactly.</w:t>
      </w:r>
      <w:r>
        <w:t xml:space="preserve"> </w:t>
      </w:r>
      <w:r>
        <w:t xml:space="preserve">The figure shows the choice behind the strategy: the database is never mocked, because</w:t>
      </w:r>
      <w:r>
        <w:t xml:space="preserve"> </w:t>
      </w:r>
      <w:r>
        <w:t xml:space="preserve">the guarantees under test — a unique constraint, a row lock, a rollback — live in the</w:t>
      </w:r>
      <w:r>
        <w:t xml:space="preserve"> </w:t>
      </w:r>
      <w:r>
        <w:t xml:space="preserve">database.</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404"/>
    <w:bookmarkStart w:id="406"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405"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05"/>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 where the ledger checks live —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w:t>
      </w:r>
      <w:r>
        <w:t xml:space="preserve">— its</w:t>
      </w:r>
      <w:r>
        <w:t xml:space="preserve"> </w:t>
      </w:r>
      <w:r>
        <w:t xml:space="preserve">configuration, TLS setup and pipeline are done, its hosting is not —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406"/>
    <w:bookmarkEnd w:id="407"/>
    <w:bookmarkStart w:id="408" w:name="conclusion-4"/>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796 backend tests concentrated on</w:t>
      </w:r>
      <w:r>
        <w:t xml:space="preserve"> </w:t>
      </w:r>
      <w:r>
        <w:t xml:space="preserve">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08"/>
    <w:bookmarkEnd w:id="409"/>
    <w:bookmarkStart w:id="510"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410"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10"/>
    <w:bookmarkStart w:id="440" w:name="sec:sprint7"/>
    <w:p>
      <w:pPr>
        <w:pStyle w:val="Heading2"/>
      </w:pPr>
      <w:r>
        <w:rPr>
          <w:rStyle w:val="SectionNumber"/>
        </w:rPr>
        <w:t xml:space="preserve">6.1</w:t>
      </w:r>
      <w:r>
        <w:tab/>
      </w:r>
      <w:r>
        <w:t xml:space="preserve">Sprint 7 — Comment likes, lists, block, save and share</w:t>
      </w:r>
    </w:p>
    <w:bookmarkStart w:id="412"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411"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11"/>
    <w:p>
      <w:pPr>
        <w:pStyle w:val="BodyText"/>
      </w:pPr>
      <w:r>
        <w:t xml:space="preserve">The sprint commits 18 points, a light load: its five stories reuse the</w:t>
      </w:r>
      <w:r>
        <w:t xml:space="preserve"> </w:t>
      </w:r>
      <w:r>
        <w:t xml:space="preserve">interaction model of Sprint 3 — each is a new many-to-many association with a</w:t>
      </w:r>
      <w:r>
        <w:t xml:space="preserve"> </w:t>
      </w:r>
      <w:r>
        <w:t xml:space="preserve">notification —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12"/>
    <w:bookmarkStart w:id="417"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16" w:name="fig:uc-s7"/>
    <w:p>
      <w:pPr>
        <w:pStyle w:val="CaptionedFigure"/>
      </w:pPr>
      <w:r>
        <w:drawing>
          <wp:inline>
            <wp:extent cx="5334000" cy="2183652"/>
            <wp:effectExtent b="0" l="0" r="0" t="0"/>
            <wp:docPr descr="Figure 6.1– Use case diagram, Sprint 7" title="" id="414" name="Picture"/>
            <a:graphic>
              <a:graphicData uri="http://schemas.openxmlformats.org/drawingml/2006/picture">
                <pic:pic>
                  <pic:nvPicPr>
                    <pic:cNvPr descr="../diagrams/fig-7-1-use-case-sprint-7/fig-7-1-use-case-sprint-7.png" id="415" name="Picture"/>
                    <pic:cNvPicPr>
                      <a:picLocks noChangeArrowheads="1" noChangeAspect="1"/>
                    </pic:cNvPicPr>
                  </pic:nvPicPr>
                  <pic:blipFill>
                    <a:blip r:embed="rId413"/>
                    <a:stretch>
                      <a:fillRect/>
                    </a:stretch>
                  </pic:blipFill>
                  <pic:spPr bwMode="auto">
                    <a:xfrm>
                      <a:off x="0" y="0"/>
                      <a:ext cx="5334000" cy="2183652"/>
                    </a:xfrm>
                    <a:prstGeom prst="rect">
                      <a:avLst/>
                    </a:prstGeom>
                    <a:noFill/>
                    <a:ln w="9525">
                      <a:noFill/>
                      <a:headEnd/>
                      <a:tailEnd/>
                    </a:ln>
                  </pic:spPr>
                </pic:pic>
              </a:graphicData>
            </a:graphic>
          </wp:inline>
        </w:drawing>
      </w:r>
    </w:p>
    <w:p>
      <w:pPr>
        <w:pStyle w:val="ImageCaption"/>
      </w:pPr>
      <w:r>
        <w:t xml:space="preserve">Figure 6.1– Use case diagram, Sprint 7</w:t>
      </w:r>
    </w:p>
    <w:bookmarkEnd w:id="416"/>
    <w:p>
      <w:pPr>
        <w:pStyle w:val="BodyText"/>
      </w:pPr>
      <w:r>
        <w:t xml:space="preserve">Sharing and the follower lists need no account; following from a list extends viewing</w:t>
      </w:r>
      <w:r>
        <w:t xml:space="preserve"> </w:t>
      </w:r>
      <w:r>
        <w:t xml:space="preserve">it. Liking a comment and saving an article include notifying the recipient. A block</w:t>
      </w:r>
      <w:r>
        <w:t xml:space="preserve"> </w:t>
      </w:r>
      <w:r>
        <w:t xml:space="preserve">hides the two accounts from each other — profiles, articles and comments — and the only</w:t>
      </w:r>
      <w:r>
        <w:t xml:space="preserve"> </w:t>
      </w:r>
      <w:r>
        <w:t xml:space="preserve">place to lift it is the blocker’s settings. Saves are private: the author is notified,</w:t>
      </w:r>
      <w:r>
        <w:t xml:space="preserve"> </w:t>
      </w:r>
      <w:r>
        <w:t xml:space="preserve">but nobody else can see what a reader keeps. The diagram shows the difference between</w:t>
      </w:r>
      <w:r>
        <w:t xml:space="preserve"> </w:t>
      </w:r>
      <w:r>
        <w:t xml:space="preserve">the two new kinds of relationship: liking, following and sharing are public signals,</w:t>
      </w:r>
      <w:r>
        <w:t xml:space="preserve"> </w:t>
      </w:r>
      <w:r>
        <w:t xml:space="preserve">while saving and blocking are private choices that only their author can see.</w:t>
      </w:r>
    </w:p>
    <w:bookmarkEnd w:id="417"/>
    <w:bookmarkStart w:id="422"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21" w:name="fig:classes-s7"/>
    <w:p>
      <w:pPr>
        <w:pStyle w:val="CaptionedFigure"/>
      </w:pPr>
      <w:r>
        <w:drawing>
          <wp:inline>
            <wp:extent cx="5334000" cy="3010158"/>
            <wp:effectExtent b="0" l="0" r="0" t="0"/>
            <wp:docPr descr="Figure 6.2– Class diagram, Sprint 7" title="" id="419" name="Picture"/>
            <a:graphic>
              <a:graphicData uri="http://schemas.openxmlformats.org/drawingml/2006/picture">
                <pic:pic>
                  <pic:nvPicPr>
                    <pic:cNvPr descr="../diagrams/fig-7-2-classes-sprint-7/fig-7-2-classes-sprint-7.png" id="420" name="Picture"/>
                    <pic:cNvPicPr>
                      <a:picLocks noChangeArrowheads="1" noChangeAspect="1"/>
                    </pic:cNvPicPr>
                  </pic:nvPicPr>
                  <pic:blipFill>
                    <a:blip r:embed="rId418"/>
                    <a:stretch>
                      <a:fillRect/>
                    </a:stretch>
                  </pic:blipFill>
                  <pic:spPr bwMode="auto">
                    <a:xfrm>
                      <a:off x="0" y="0"/>
                      <a:ext cx="5334000" cy="3010158"/>
                    </a:xfrm>
                    <a:prstGeom prst="rect">
                      <a:avLst/>
                    </a:prstGeom>
                    <a:noFill/>
                    <a:ln w="9525">
                      <a:noFill/>
                      <a:headEnd/>
                      <a:tailEnd/>
                    </a:ln>
                  </pic:spPr>
                </pic:pic>
              </a:graphicData>
            </a:graphic>
          </wp:inline>
        </w:drawing>
      </w:r>
    </w:p>
    <w:p>
      <w:pPr>
        <w:pStyle w:val="ImageCaption"/>
      </w:pPr>
      <w:r>
        <w:t xml:space="preserve">Figure 6.2– Class diagram, Sprint 7</w:t>
      </w:r>
    </w:p>
    <w:bookmarkEnd w:id="421"/>
    <w:p>
      <w:pPr>
        <w:pStyle w:val="BodyText"/>
      </w:pPr>
      <w:r>
        <w:t xml:space="preserve">Comment likes, blocks and saves are many-to-many associations, created and removed</w:t>
      </w:r>
      <w:r>
        <w:t xml:space="preserve"> </w:t>
      </w:r>
      <w:r>
        <w:t xml:space="preserve">by the operations the sprint adds to</w:t>
      </w:r>
      <w:r>
        <w:t xml:space="preserve"> </w:t>
      </w:r>
      <w:r>
        <w:rPr>
          <w:rStyle w:val="VerbatimChar"/>
        </w:rPr>
        <w:t xml:space="preserve">User</w:t>
      </w:r>
      <w:r>
        <w:t xml:space="preserve"> </w:t>
      </w:r>
      <w:r>
        <w:t xml:space="preserve">(</w:t>
      </w:r>
      <w:r>
        <w:rPr>
          <w:rStyle w:val="VerbatimChar"/>
        </w:rPr>
        <w:t xml:space="preserve">likeComment()</w:t>
      </w:r>
      <w:r>
        <w:t xml:space="preserve">,</w:t>
      </w:r>
      <w:r>
        <w:t xml:space="preserve"> </w:t>
      </w:r>
      <w:r>
        <w:rPr>
          <w:rStyle w:val="VerbatimChar"/>
        </w:rPr>
        <w:t xml:space="preserve">block()</w:t>
      </w:r>
      <w:r>
        <w:t xml:space="preserve">,</w:t>
      </w:r>
      <w:r>
        <w:t xml:space="preserve"> </w:t>
      </w:r>
      <w:r>
        <w:rPr>
          <w:rStyle w:val="VerbatimChar"/>
        </w:rPr>
        <w:t xml:space="preserve">save()</w:t>
      </w:r>
      <w:r>
        <w:t xml:space="preserve"> </w:t>
      </w:r>
      <w:r>
        <w:t xml:space="preserve">and</w:t>
      </w:r>
      <w:r>
        <w:t xml:space="preserve"> </w:t>
      </w:r>
      <w:r>
        <w:t xml:space="preserve">their inverses), each stored as a join table with a unique constraint on its pair, so a repeated request is a no-op, and a</w:t>
      </w:r>
      <w:r>
        <w:t xml:space="preserve"> </w:t>
      </w:r>
      <w:r>
        <w:t xml:space="preserve">notification is emitted only when a row was actually inserted; a check constraint</w:t>
      </w:r>
      <w:r>
        <w:t xml:space="preserve"> </w:t>
      </w:r>
      <w:r>
        <w:t xml:space="preserve">forbids blocking oneself. A block row is directional, but every read treats it both</w:t>
      </w:r>
      <w:r>
        <w:t xml:space="preserve"> </w:t>
      </w:r>
      <w:r>
        <w:t xml:space="preserve">ways. Comment likes are kept apart from article likes, so that by construction they can</w:t>
      </w:r>
      <w:r>
        <w:t xml:space="preserve"> </w:t>
      </w:r>
      <w:r>
        <w:t xml:space="preserve">never count towards a writer’s eligibility. The diagram shows that the sprint changed no</w:t>
      </w:r>
      <w:r>
        <w:t xml:space="preserve"> </w:t>
      </w:r>
      <w:r>
        <w:t xml:space="preserve">existing class: the social layer grew by association only, which is why it could be</w:t>
      </w:r>
      <w:r>
        <w:t xml:space="preserve"> </w:t>
      </w:r>
      <w:r>
        <w:t xml:space="preserve">added at the end without reopening the marketplace rules.</w:t>
      </w:r>
    </w:p>
    <w:bookmarkEnd w:id="422"/>
    <w:bookmarkStart w:id="439"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26" w:name="fig:saved"/>
    <w:p>
      <w:pPr>
        <w:pStyle w:val="CaptionedFigure"/>
      </w:pPr>
      <w:r>
        <w:drawing>
          <wp:inline>
            <wp:extent cx="4267200" cy="2667000"/>
            <wp:effectExtent b="0" l="0" r="0" t="0"/>
            <wp:docPr descr="Figure 6.3– The Saved shelf" title="" id="424" name="Picture"/>
            <a:graphic>
              <a:graphicData uri="http://schemas.openxmlformats.org/drawingml/2006/picture">
                <pic:pic>
                  <pic:nvPicPr>
                    <pic:cNvPr descr="../figures/screens/reader-05-saved.png" id="425" name="Picture"/>
                    <pic:cNvPicPr>
                      <a:picLocks noChangeArrowheads="1" noChangeAspect="1"/>
                    </pic:cNvPicPr>
                  </pic:nvPicPr>
                  <pic:blipFill>
                    <a:blip r:embed="rId4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26"/>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30" w:name="fig:blocked"/>
    <w:p>
      <w:pPr>
        <w:pStyle w:val="CaptionedFigure"/>
      </w:pPr>
      <w:r>
        <w:drawing>
          <wp:inline>
            <wp:extent cx="4267200" cy="2667000"/>
            <wp:effectExtent b="0" l="0" r="0" t="0"/>
            <wp:docPr descr="Figure 6.4– Blocked accounts, in settings" title="" id="428" name="Picture"/>
            <a:graphic>
              <a:graphicData uri="http://schemas.openxmlformats.org/drawingml/2006/picture">
                <pic:pic>
                  <pic:nvPicPr>
                    <pic:cNvPr descr="../figures/screens/reader-06-blocked-accounts.png" id="429" name="Picture"/>
                    <pic:cNvPicPr>
                      <a:picLocks noChangeArrowheads="1" noChangeAspect="1"/>
                    </pic:cNvPicPr>
                  </pic:nvPicPr>
                  <pic:blipFill>
                    <a:blip r:embed="rId4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30"/>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34" w:name="fig:following-feed"/>
    <w:p>
      <w:pPr>
        <w:pStyle w:val="CaptionedFigure"/>
      </w:pPr>
      <w:r>
        <w:drawing>
          <wp:inline>
            <wp:extent cx="4267200" cy="2667000"/>
            <wp:effectExtent b="0" l="0" r="0" t="0"/>
            <wp:docPr descr="Figure 6.5– The following feed" title="" id="432" name="Picture"/>
            <a:graphic>
              <a:graphicData uri="http://schemas.openxmlformats.org/drawingml/2006/picture">
                <pic:pic>
                  <pic:nvPicPr>
                    <pic:cNvPr descr="../figures/screens/reader-07-following-feed.png" id="433" name="Picture"/>
                    <pic:cNvPicPr>
                      <a:picLocks noChangeArrowheads="1" noChangeAspect="1"/>
                    </pic:cNvPicPr>
                  </pic:nvPicPr>
                  <pic:blipFill>
                    <a:blip r:embed="rId4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34"/>
    <w:bookmarkStart w:id="438" w:name="fig:followers-search"/>
    <w:p>
      <w:pPr>
        <w:pStyle w:val="CaptionedFigure"/>
      </w:pPr>
      <w:r>
        <w:drawing>
          <wp:inline>
            <wp:extent cx="4267200" cy="2667000"/>
            <wp:effectExtent b="0" l="0" r="0" t="0"/>
            <wp:docPr descr="Figure 6.6– A follower list, searched" title="" id="436" name="Picture"/>
            <a:graphic>
              <a:graphicData uri="http://schemas.openxmlformats.org/drawingml/2006/picture">
                <pic:pic>
                  <pic:nvPicPr>
                    <pic:cNvPr descr="../figures/screens/reader-08-followers-search.png" id="437" name="Picture"/>
                    <pic:cNvPicPr>
                      <a:picLocks noChangeArrowheads="1" noChangeAspect="1"/>
                    </pic:cNvPicPr>
                  </pic:nvPicPr>
                  <pic:blipFill>
                    <a:blip r:embed="rId4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38"/>
    <w:p>
      <w:pPr>
        <w:pStyle w:val="BodyText"/>
      </w:pPr>
      <w:r>
        <w:t xml:space="preserve">The following feed shows only the writers a reader follows, and the follower lists can</w:t>
      </w:r>
      <w:r>
        <w:t xml:space="preserve"> </w:t>
      </w:r>
      <w:r>
        <w:t xml:space="preserve">be browsed, searched and acted on — following back from the list itself (FR-61). Both</w:t>
      </w:r>
      <w:r>
        <w:t xml:space="preserve"> </w:t>
      </w:r>
      <w:r>
        <w:t xml:space="preserve">turn the follow relationship of Sprint 3 into a way to discover people through people.</w:t>
      </w:r>
    </w:p>
    <w:bookmarkEnd w:id="439"/>
    <w:bookmarkEnd w:id="440"/>
    <w:bookmarkStart w:id="478" w:name="sec:sprint8"/>
    <w:p>
      <w:pPr>
        <w:pStyle w:val="Heading2"/>
      </w:pPr>
      <w:r>
        <w:rPr>
          <w:rStyle w:val="SectionNumber"/>
        </w:rPr>
        <w:t xml:space="preserve">6.2</w:t>
      </w:r>
      <w:r>
        <w:tab/>
      </w:r>
      <w:r>
        <w:t xml:space="preserve">Sprint 8 — Live cards, the assistant that writes, and voice</w:t>
      </w:r>
    </w:p>
    <w:bookmarkStart w:id="442"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41"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41"/>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42"/>
    <w:bookmarkStart w:id="447"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46" w:name="fig:uc-s8"/>
    <w:p>
      <w:pPr>
        <w:pStyle w:val="CaptionedFigure"/>
      </w:pPr>
      <w:r>
        <w:drawing>
          <wp:inline>
            <wp:extent cx="5334000" cy="3824227"/>
            <wp:effectExtent b="0" l="0" r="0" t="0"/>
            <wp:docPr descr="Figure 6.7– Use case diagram, Sprint 8" title="" id="444" name="Picture"/>
            <a:graphic>
              <a:graphicData uri="http://schemas.openxmlformats.org/drawingml/2006/picture">
                <pic:pic>
                  <pic:nvPicPr>
                    <pic:cNvPr descr="../diagrams/fig-7-3-use-case-sprint-8/fig-7-3-use-case-sprint-8.png" id="445" name="Picture"/>
                    <pic:cNvPicPr>
                      <a:picLocks noChangeArrowheads="1" noChangeAspect="1"/>
                    </pic:cNvPicPr>
                  </pic:nvPicPr>
                  <pic:blipFill>
                    <a:blip r:embed="rId443"/>
                    <a:stretch>
                      <a:fillRect/>
                    </a:stretch>
                  </pic:blipFill>
                  <pic:spPr bwMode="auto">
                    <a:xfrm>
                      <a:off x="0" y="0"/>
                      <a:ext cx="5334000" cy="3824227"/>
                    </a:xfrm>
                    <a:prstGeom prst="rect">
                      <a:avLst/>
                    </a:prstGeom>
                    <a:noFill/>
                    <a:ln w="9525">
                      <a:noFill/>
                      <a:headEnd/>
                      <a:tailEnd/>
                    </a:ln>
                  </pic:spPr>
                </pic:pic>
              </a:graphicData>
            </a:graphic>
          </wp:inline>
        </w:drawing>
      </w:r>
    </w:p>
    <w:p>
      <w:pPr>
        <w:pStyle w:val="ImageCaption"/>
      </w:pPr>
      <w:r>
        <w:t xml:space="preserve">Figure 6.7– Use case diagram, Sprint 8</w:t>
      </w:r>
    </w:p>
    <w:bookmarkEnd w:id="446"/>
    <w:p>
      <w:pPr>
        <w:pStyle w:val="BodyText"/>
      </w:pPr>
      <w:r>
        <w:t xml:space="preserve">Briefing the assistant specialises into receiving an answer in the panel and having</w:t>
      </w:r>
      <w:r>
        <w:t xml:space="preserve"> </w:t>
      </w:r>
      <w:r>
        <w:t xml:space="preserve">text written into the document, and includes following the live pipeline steps and</w:t>
      </w:r>
      <w:r>
        <w:t xml:space="preserve"> </w:t>
      </w:r>
      <w:r>
        <w:t xml:space="preserve">consuming the allowance; keeping or discarding the written text includes the write.</w:t>
      </w:r>
      <w:r>
        <w:t xml:space="preserve"> </w:t>
      </w:r>
      <w:r>
        <w:t xml:space="preserve">Dictating extends the brief and is billed; hearing the reply extends the answer. The</w:t>
      </w:r>
      <w:r>
        <w:t xml:space="preserve"> </w:t>
      </w:r>
      <w:r>
        <w:t xml:space="preserve">choice between answering and writing is the assistant’s, made per message; it</w:t>
      </w:r>
      <w:r>
        <w:t xml:space="preserve"> </w:t>
      </w:r>
      <w:r>
        <w:t xml:space="preserve">supersedes the manual</w:t>
      </w:r>
      <w:r>
        <w:t xml:space="preserve"> </w:t>
      </w:r>
      <w:r>
        <w:t xml:space="preserve">“insert the answer into the document”</w:t>
      </w:r>
      <w:r>
        <w:t xml:space="preserve"> </w:t>
      </w:r>
      <w:r>
        <w:t xml:space="preserve">of Sprint 2 (FR-30,</w:t>
      </w:r>
      <w:r>
        <w:t xml:space="preserve"> </w:t>
      </w:r>
      <w:r>
        <w:t xml:space="preserve">superseded by FR-78). The diagram shows the change of role: in Sprint 2 the writer</w:t>
      </w:r>
      <w:r>
        <w:t xml:space="preserve"> </w:t>
      </w:r>
      <w:r>
        <w:t xml:space="preserve">copied text from a chat, in Sprint 8 the assistant writes where the writer works and</w:t>
      </w:r>
      <w:r>
        <w:t xml:space="preserve"> </w:t>
      </w:r>
      <w:r>
        <w:t xml:space="preserve">the writer keeps or discards it.</w:t>
      </w:r>
    </w:p>
    <w:bookmarkEnd w:id="447"/>
    <w:bookmarkStart w:id="460" w:name="design-7"/>
    <w:p>
      <w:pPr>
        <w:pStyle w:val="Heading3"/>
      </w:pPr>
      <w:r>
        <w:rPr>
          <w:rStyle w:val="SectionNumber"/>
        </w:rPr>
        <w:t xml:space="preserve">6.2.3</w:t>
      </w:r>
      <w:r>
        <w:tab/>
      </w:r>
      <w:r>
        <w:t xml:space="preserve">Design</w:t>
      </w:r>
    </w:p>
    <w:p>
      <w:pPr>
        <w:pStyle w:val="FirstParagraph"/>
      </w:pPr>
      <w:r>
        <w:rPr>
          <w:b/>
          <w:bCs/>
        </w:rPr>
        <w:t xml:space="preserve">Sequence diagram — one assistant turn.</w:t>
      </w:r>
      <w:r>
        <w:t xml:space="preserve"> </w:t>
      </w:r>
      <w:hyperlink w:anchor="fig:seq-turn">
        <w:r>
          <w:rPr>
            <w:rStyle w:val="Hyperlink"/>
          </w:rPr>
          <w:t xml:space="preserve">Figure 6.8</w:t>
        </w:r>
      </w:hyperlink>
      <w:r>
        <w:t xml:space="preserve"> </w:t>
      </w:r>
      <w:r>
        <w:t xml:space="preserve">shows a turn.</w:t>
      </w:r>
    </w:p>
    <w:bookmarkStart w:id="451" w:name="fig:seq-turn"/>
    <w:p>
      <w:pPr>
        <w:pStyle w:val="CaptionedFigure"/>
      </w:pPr>
      <w:r>
        <w:drawing>
          <wp:inline>
            <wp:extent cx="5334000" cy="4888028"/>
            <wp:effectExtent b="0" l="0" r="0" t="0"/>
            <wp:docPr descr="Figure 6.8– Sequence diagram: one assistant turn" title="" id="449" name="Picture"/>
            <a:graphic>
              <a:graphicData uri="http://schemas.openxmlformats.org/drawingml/2006/picture">
                <pic:pic>
                  <pic:nvPicPr>
                    <pic:cNvPr descr="../diagrams/fig-7-4-sequence-assistant-turn/fig-7-4-sequence-assistant-turn.png" id="450" name="Picture"/>
                    <pic:cNvPicPr>
                      <a:picLocks noChangeArrowheads="1" noChangeAspect="1"/>
                    </pic:cNvPicPr>
                  </pic:nvPicPr>
                  <pic:blipFill>
                    <a:blip r:embed="rId448"/>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51"/>
    <w:p>
      <w:pPr>
        <w:pStyle w:val="BodyText"/>
      </w:pPr>
      <w:r>
        <w:t xml:space="preserve">The request carries the conversation, the article and any selection. The system reads</w:t>
      </w:r>
      <w:r>
        <w:t xml:space="preserve"> </w:t>
      </w:r>
      <w:r>
        <w:t xml:space="preserve">the draft, the writer’s voice profile and — when documents are attached — passages from</w:t>
      </w:r>
      <w:r>
        <w:t xml:space="preserve"> </w:t>
      </w:r>
      <w:r>
        <w:t xml:space="preserve">them, reporting each stage to the panel as it completes. A single routing call to the</w:t>
      </w:r>
      <w:r>
        <w:t xml:space="preserve"> </w:t>
      </w:r>
      <w:r>
        <w:t xml:space="preserve">model then either answers in the panel, streamed as Markdown, or calls the</w:t>
      </w:r>
      <w:r>
        <w:t xml:space="preserve"> </w:t>
      </w:r>
      <w:r>
        <w:rPr>
          <w:rStyle w:val="VerbatimChar"/>
        </w:rPr>
        <w:t xml:space="preserve">write_to_article</w:t>
      </w:r>
      <w:r>
        <w:t xml:space="preserve"> </w:t>
      </w:r>
      <w:r>
        <w:t xml:space="preserve">tool with a placement (at the cursor or over the selection) and a</w:t>
      </w:r>
      <w:r>
        <w:t xml:space="preserve"> </w:t>
      </w:r>
      <w:r>
        <w:t xml:space="preserve">one-line brief; the model then adds a one-line recap. The tokens of both calls are</w:t>
      </w:r>
      <w:r>
        <w:t xml:space="preserve"> </w:t>
      </w:r>
      <w:r>
        <w:t xml:space="preserve">settled once, at the end; a stopped turn still bills an estimate of what was produced.</w:t>
      </w:r>
      <w:r>
        <w:t xml:space="preserve"> </w:t>
      </w:r>
      <w:r>
        <w:t xml:space="preserve">The diagram shows why the panel can show real steps rather than a spinner: each stage</w:t>
      </w:r>
      <w:r>
        <w:t xml:space="preserve"> </w:t>
      </w:r>
      <w:r>
        <w:t xml:space="preserve">is a part of the response stream, sent as soon as it is done (FR-80).</w:t>
      </w:r>
    </w:p>
    <w:p>
      <w:pPr>
        <w:pStyle w:val="BodyText"/>
      </w:pPr>
      <w:r>
        <w:rPr>
          <w:b/>
          <w:bCs/>
        </w:rPr>
        <w:t xml:space="preserve">Sequence diagram — writing into the document.</w:t>
      </w:r>
      <w:r>
        <w:t xml:space="preserve"> </w:t>
      </w:r>
      <w:hyperlink w:anchor="fig:seq-write">
        <w:r>
          <w:rPr>
            <w:rStyle w:val="Hyperlink"/>
          </w:rPr>
          <w:t xml:space="preserve">Figure 6.9</w:t>
        </w:r>
      </w:hyperlink>
      <w:r>
        <w:t xml:space="preserve"> </w:t>
      </w:r>
      <w:r>
        <w:t xml:space="preserve">shows the write.</w:t>
      </w:r>
    </w:p>
    <w:bookmarkStart w:id="455" w:name="fig:seq-write"/>
    <w:p>
      <w:pPr>
        <w:pStyle w:val="CaptionedFigure"/>
      </w:pPr>
      <w:r>
        <w:drawing>
          <wp:inline>
            <wp:extent cx="5334000" cy="3253211"/>
            <wp:effectExtent b="0" l="0" r="0" t="0"/>
            <wp:docPr descr="Figure 6.9– Sequence diagram: writing into the document" title="" id="453" name="Picture"/>
            <a:graphic>
              <a:graphicData uri="http://schemas.openxmlformats.org/drawingml/2006/picture">
                <pic:pic>
                  <pic:nvPicPr>
                    <pic:cNvPr descr="../diagrams/fig-7-5-sequence-in-document-write/fig-7-5-sequence-in-document-write.png" id="454" name="Picture"/>
                    <pic:cNvPicPr>
                      <a:picLocks noChangeArrowheads="1" noChangeAspect="1"/>
                    </pic:cNvPicPr>
                  </pic:nvPicPr>
                  <pic:blipFill>
                    <a:blip r:embed="rId452"/>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55"/>
    <w:p>
      <w:pPr>
        <w:pStyle w:val="BodyText"/>
      </w:pPr>
      <w:r>
        <w:t xml:space="preserve">The system retrieves passages from the writer’s other published articles and streams</w:t>
      </w:r>
      <w:r>
        <w:t xml:space="preserve"> </w:t>
      </w:r>
      <w:r>
        <w:t xml:space="preserve">the article text from a second model call. The panel opens a range in the editor at a</w:t>
      </w:r>
      <w:r>
        <w:t xml:space="preserve"> </w:t>
      </w:r>
      <w:r>
        <w:t xml:space="preserve">block boundary — after the block holding the cursor, or over the selected blocks — tints</w:t>
      </w:r>
      <w:r>
        <w:t xml:space="preserve"> </w:t>
      </w:r>
      <w:r>
        <w:t xml:space="preserve">it and refuses the writer’s own edits inside it; each Markdown block is inserted as</w:t>
      </w:r>
      <w:r>
        <w:t xml:space="preserve"> </w:t>
      </w:r>
      <w:r>
        <w:t xml:space="preserve">soon as it is complete, outside the undo history. When the stream ends, the writer</w:t>
      </w:r>
      <w:r>
        <w:t xml:space="preserve"> </w:t>
      </w:r>
      <w:r>
        <w:t xml:space="preserve">keeps the text, which becomes one undo step, or discards it, which restores exactly</w:t>
      </w:r>
      <w:r>
        <w:t xml:space="preserve"> </w:t>
      </w:r>
      <w:r>
        <w:t xml:space="preserve">what was there. The diagram shows the guarantee behind the design: opening the range at</w:t>
      </w:r>
      <w:r>
        <w:t xml:space="preserve"> </w:t>
      </w:r>
      <w:r>
        <w:t xml:space="preserve">a block boundary is what makes the restoration exact, because every node the writer</w:t>
      </w:r>
      <w:r>
        <w:t xml:space="preserve"> </w:t>
      </w:r>
      <w:r>
        <w:t xml:space="preserve">owns stays untouched.</w:t>
      </w:r>
    </w:p>
    <w:p>
      <w:pPr>
        <w:pStyle w:val="BodyText"/>
      </w:pPr>
      <w:r>
        <w:rPr>
          <w:b/>
          <w:bCs/>
        </w:rPr>
        <w:t xml:space="preserve">Sequence diagram — voice.</w:t>
      </w:r>
      <w:r>
        <w:t xml:space="preserve"> </w:t>
      </w:r>
      <w:hyperlink w:anchor="fig:seq-voice">
        <w:r>
          <w:rPr>
            <w:rStyle w:val="Hyperlink"/>
          </w:rPr>
          <w:t xml:space="preserve">Figure 6.10</w:t>
        </w:r>
      </w:hyperlink>
      <w:r>
        <w:t xml:space="preserve"> </w:t>
      </w:r>
      <w:r>
        <w:t xml:space="preserve">shows the voice round trip.</w:t>
      </w:r>
    </w:p>
    <w:bookmarkStart w:id="459" w:name="fig:seq-voice"/>
    <w:p>
      <w:pPr>
        <w:pStyle w:val="CaptionedFigure"/>
      </w:pPr>
      <w:r>
        <w:drawing>
          <wp:inline>
            <wp:extent cx="5334000" cy="3698187"/>
            <wp:effectExtent b="0" l="0" r="0" t="0"/>
            <wp:docPr descr="Figure 6.10– Sequence diagram: the voice round trip" title="" id="457" name="Picture"/>
            <a:graphic>
              <a:graphicData uri="http://schemas.openxmlformats.org/drawingml/2006/picture">
                <pic:pic>
                  <pic:nvPicPr>
                    <pic:cNvPr descr="../diagrams/fig-7-6-sequence-voice-round-trip/fig-7-6-sequence-voice-round-trip.png" id="458" name="Picture"/>
                    <pic:cNvPicPr>
                      <a:picLocks noChangeArrowheads="1" noChangeAspect="1"/>
                    </pic:cNvPicPr>
                  </pic:nvPicPr>
                  <pic:blipFill>
                    <a:blip r:embed="rId456"/>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59"/>
    <w:p>
      <w:pPr>
        <w:pStyle w:val="BodyText"/>
      </w:pPr>
      <w:r>
        <w:t xml:space="preserve">A recording of at most five minutes is sent with its length; the system checks the</w:t>
      </w:r>
      <w:r>
        <w:t xml:space="preserve"> </w:t>
      </w:r>
      <w:r>
        <w:t xml:space="preserve">allowance, the format and the size, transcribes it with Whisper, settles the</w:t>
      </w:r>
      <w:r>
        <w:t xml:space="preserve"> </w:t>
      </w:r>
      <w:r>
        <w:t xml:space="preserve">duration — the provider’s when it reports one, otherwise the larger of the client’s</w:t>
      </w:r>
      <w:r>
        <w:t xml:space="preserve"> </w:t>
      </w:r>
      <w:r>
        <w:t xml:space="preserve">figure and a floor derived from the file size — and bills 200 tokens per started</w:t>
      </w:r>
      <w:r>
        <w:t xml:space="preserve"> </w:t>
      </w:r>
      <w:r>
        <w:t xml:space="preserve">minute. The transcript lands in the composer, editable. Reading a reply aloud is free</w:t>
      </w:r>
      <w:r>
        <w:t xml:space="preserve"> </w:t>
      </w:r>
      <w:r>
        <w:t xml:space="preserve">to the writer and limited per account instead, to 20 replies a minute and 300 a day.</w:t>
      </w:r>
      <w:r>
        <w:t xml:space="preserve"> </w:t>
      </w:r>
      <w:r>
        <w:t xml:space="preserve">The diagram shows that the client’s claim about duration is never trusted alone: the</w:t>
      </w:r>
      <w:r>
        <w:t xml:space="preserve"> </w:t>
      </w:r>
      <w:r>
        <w:t xml:space="preserve">billing uses the larger of what the client says and what the file size proves.</w:t>
      </w:r>
    </w:p>
    <w:bookmarkEnd w:id="460"/>
    <w:bookmarkStart w:id="477"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64" w:name="fig:reposted"/>
    <w:p>
      <w:pPr>
        <w:pStyle w:val="CaptionedFigure"/>
      </w:pPr>
      <w:r>
        <w:drawing>
          <wp:inline>
            <wp:extent cx="4267200" cy="2667000"/>
            <wp:effectExtent b="0" l="0" r="0" t="0"/>
            <wp:docPr descr="Figure 6.11– The Reposted tab of a profile" title="" id="462" name="Picture"/>
            <a:graphic>
              <a:graphicData uri="http://schemas.openxmlformats.org/drawingml/2006/picture">
                <pic:pic>
                  <pic:nvPicPr>
                    <pic:cNvPr descr="../figures/screens/reader-09-reposted-tab.png" id="463" name="Picture"/>
                    <pic:cNvPicPr>
                      <a:picLocks noChangeArrowheads="1" noChangeAspect="1"/>
                    </pic:cNvPicPr>
                  </pic:nvPicPr>
                  <pic:blipFill>
                    <a:blip r:embed="rId46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64"/>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68" w:name="fig:keep-discard"/>
    <w:p>
      <w:pPr>
        <w:pStyle w:val="CaptionedFigure"/>
      </w:pPr>
      <w:r>
        <w:drawing>
          <wp:inline>
            <wp:extent cx="4267200" cy="2667000"/>
            <wp:effectExtent b="0" l="0" r="0" t="0"/>
            <wp:docPr descr="Figure 6.12– A write awaiting Keep or Discard" title="" id="466" name="Picture"/>
            <a:graphic>
              <a:graphicData uri="http://schemas.openxmlformats.org/drawingml/2006/picture">
                <pic:pic>
                  <pic:nvPicPr>
                    <pic:cNvPr descr="../figures/screens/writer-14-ai-keep-discard.png" id="467" name="Picture"/>
                    <pic:cNvPicPr>
                      <a:picLocks noChangeArrowheads="1" noChangeAspect="1"/>
                    </pic:cNvPicPr>
                  </pic:nvPicPr>
                  <pic:blipFill>
                    <a:blip r:embed="rId46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68"/>
    <w:p>
      <w:pPr>
        <w:pStyle w:val="BodyText"/>
      </w:pPr>
      <w:r>
        <w:t xml:space="preserve">Asked for a closing paragraph</w:t>
      </w:r>
      <w:r>
        <w:t xml:space="preserve"> </w:t>
      </w:r>
      <w:r>
        <w:t xml:space="preserve">“in my voice”</w:t>
      </w:r>
      <w:r>
        <w:t xml:space="preserve">, the assistant chose to write rather than</w:t>
      </w:r>
      <w:r>
        <w:t xml:space="preserve"> </w:t>
      </w:r>
      <w:r>
        <w:t xml:space="preserve">answer (FR-78). The panel lists the real steps — words read, profile, thinking, five</w:t>
      </w:r>
      <w:r>
        <w:t xml:space="preserve"> </w:t>
      </w:r>
      <w:r>
        <w:t xml:space="preserve">passages from four articles, the size of the write — and a one-line recap; in the</w:t>
      </w:r>
      <w:r>
        <w:t xml:space="preserve"> </w:t>
      </w:r>
      <w:r>
        <w:t xml:space="preserve">editor, the new paragraph is tinted at the end of the draft with</w:t>
      </w:r>
      <w:r>
        <w:t xml:space="preserve"> </w:t>
      </w:r>
      <w:r>
        <w:rPr>
          <w:i/>
          <w:iCs/>
        </w:rPr>
        <w:t xml:space="preserve">Keep</w:t>
      </w:r>
      <w:r>
        <w:t xml:space="preserve">,</w:t>
      </w:r>
      <w:r>
        <w:t xml:space="preserve"> </w:t>
      </w:r>
      <w:r>
        <w:rPr>
          <w:i/>
          <w:iCs/>
        </w:rPr>
        <w:t xml:space="preserve">Discard</w:t>
      </w:r>
      <w:r>
        <w:t xml:space="preserve"> </w:t>
      </w:r>
      <w:r>
        <w:t xml:space="preserve">and</w:t>
      </w:r>
      <w:r>
        <w:t xml:space="preserve"> </w:t>
      </w:r>
      <w:r>
        <w:t xml:space="preserve">the reminder that Ctrl+Z undoes after keeping (FR-79, FR-80). While the decision is</w:t>
      </w:r>
      <w:r>
        <w:t xml:space="preserve"> </w:t>
      </w:r>
      <w:r>
        <w:t xml:space="preserve">pending, the composer is disabled: the writer cannot start a second write over an</w:t>
      </w:r>
      <w:r>
        <w:t xml:space="preserve"> </w:t>
      </w:r>
      <w:r>
        <w:t xml:space="preserve">undecided one.</w:t>
      </w:r>
    </w:p>
    <w:p>
      <w:pPr>
        <w:pStyle w:val="BodyText"/>
      </w:pPr>
      <w:hyperlink w:anchor="fig:rail">
        <w:r>
          <w:rPr>
            <w:rStyle w:val="Hyperlink"/>
          </w:rPr>
          <w:t xml:space="preserve">Figure 6.13</w:t>
        </w:r>
      </w:hyperlink>
      <w:r>
        <w:t xml:space="preserve"> </w:t>
      </w:r>
      <w:r>
        <w:t xml:space="preserve">shows the live step on the collapsed panel.</w:t>
      </w:r>
    </w:p>
    <w:bookmarkStart w:id="472" w:name="fig:rail"/>
    <w:p>
      <w:pPr>
        <w:pStyle w:val="CaptionedFigure"/>
      </w:pPr>
      <w:r>
        <w:drawing>
          <wp:inline>
            <wp:extent cx="4267200" cy="2667000"/>
            <wp:effectExtent b="0" l="0" r="0" t="0"/>
            <wp:docPr descr="Figure 6.13– The live step on the collapsed panel" title="" id="470" name="Picture"/>
            <a:graphic>
              <a:graphicData uri="http://schemas.openxmlformats.org/drawingml/2006/picture">
                <pic:pic>
                  <pic:nvPicPr>
                    <pic:cNvPr descr="../figures/screens/writer-15-ai-rail-live-step.png" id="471" name="Picture"/>
                    <pic:cNvPicPr>
                      <a:picLocks noChangeArrowheads="1" noChangeAspect="1"/>
                    </pic:cNvPicPr>
                  </pic:nvPicPr>
                  <pic:blipFill>
                    <a:blip r:embed="rId46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72"/>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76" w:name="fig:voice"/>
    <w:p>
      <w:pPr>
        <w:pStyle w:val="CaptionedFigure"/>
      </w:pPr>
      <w:r>
        <w:drawing>
          <wp:inline>
            <wp:extent cx="4267200" cy="2106385"/>
            <wp:effectExtent b="0" l="0" r="0" t="0"/>
            <wp:docPr descr="Figure 6.14– Recording a prompt" title="" id="474" name="Picture"/>
            <a:graphic>
              <a:graphicData uri="http://schemas.openxmlformats.org/drawingml/2006/picture">
                <pic:pic>
                  <pic:nvPicPr>
                    <pic:cNvPr descr="../figures/screens/writer-19-voice-recording.png" id="475" name="Picture"/>
                    <pic:cNvPicPr>
                      <a:picLocks noChangeArrowheads="1" noChangeAspect="1"/>
                    </pic:cNvPicPr>
                  </pic:nvPicPr>
                  <pic:blipFill>
                    <a:blip r:embed="rId473"/>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76"/>
    <w:p>
      <w:pPr>
        <w:pStyle w:val="BodyText"/>
      </w:pPr>
      <w:r>
        <w:t xml:space="preserve">While recording, the composer says</w:t>
      </w:r>
      <w:r>
        <w:t xml:space="preserve"> </w:t>
      </w:r>
      <w:r>
        <w:rPr>
          <w:i/>
          <w:iCs/>
        </w:rPr>
        <w:t xml:space="preserve">Listening… speak your prompt</w:t>
      </w:r>
      <w:r>
        <w:t xml:space="preserve"> </w:t>
      </w:r>
      <w:r>
        <w:t xml:space="preserve">and shows the</w:t>
      </w:r>
      <w:r>
        <w:t xml:space="preserve"> </w:t>
      </w:r>
      <w:r>
        <w:t xml:space="preserve">elapsed time with a control to confirm and one to cancel; on confirmation the</w:t>
      </w:r>
      <w:r>
        <w:t xml:space="preserve"> </w:t>
      </w:r>
      <w:r>
        <w:t xml:space="preserve">transcript fills the composer, where it can be edited before sending (FR-82).</w:t>
      </w:r>
      <w:r>
        <w:t xml:space="preserve"> </w:t>
      </w:r>
      <w:r>
        <w:t xml:space="preserve">Dictation is billed against the same daily allowance as typed prompts, so voice is a</w:t>
      </w:r>
      <w:r>
        <w:t xml:space="preserve"> </w:t>
      </w:r>
      <w:r>
        <w:t xml:space="preserve">way of writing a prompt, not a separate service.</w:t>
      </w:r>
    </w:p>
    <w:bookmarkEnd w:id="477"/>
    <w:bookmarkEnd w:id="478"/>
    <w:bookmarkStart w:id="508" w:name="sec:sprint9"/>
    <w:p>
      <w:pPr>
        <w:pStyle w:val="Heading2"/>
      </w:pPr>
      <w:r>
        <w:rPr>
          <w:rStyle w:val="SectionNumber"/>
        </w:rPr>
        <w:t xml:space="preserve">6.3</w:t>
      </w:r>
      <w:r>
        <w:tab/>
      </w:r>
      <w:r>
        <w:t xml:space="preserve">Sprint 9 — Document library and citations</w:t>
      </w:r>
    </w:p>
    <w:bookmarkStart w:id="480"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79"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79"/>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80"/>
    <w:bookmarkStart w:id="485"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84" w:name="fig:uc-s9"/>
    <w:p>
      <w:pPr>
        <w:pStyle w:val="CaptionedFigure"/>
      </w:pPr>
      <w:r>
        <w:drawing>
          <wp:inline>
            <wp:extent cx="5334000" cy="1415786"/>
            <wp:effectExtent b="0" l="0" r="0" t="0"/>
            <wp:docPr descr="Figure 6.15– Use case diagram, Sprint 9" title="" id="482" name="Picture"/>
            <a:graphic>
              <a:graphicData uri="http://schemas.openxmlformats.org/drawingml/2006/picture">
                <pic:pic>
                  <pic:nvPicPr>
                    <pic:cNvPr descr="../diagrams/fig-7-7-use-case-sprint-9/fig-7-7-use-case-sprint-9.png" id="483" name="Picture"/>
                    <pic:cNvPicPr>
                      <a:picLocks noChangeArrowheads="1" noChangeAspect="1"/>
                    </pic:cNvPicPr>
                  </pic:nvPicPr>
                  <pic:blipFill>
                    <a:blip r:embed="rId481"/>
                    <a:stretch>
                      <a:fillRect/>
                    </a:stretch>
                  </pic:blipFill>
                  <pic:spPr bwMode="auto">
                    <a:xfrm>
                      <a:off x="0" y="0"/>
                      <a:ext cx="5334000" cy="1415786"/>
                    </a:xfrm>
                    <a:prstGeom prst="rect">
                      <a:avLst/>
                    </a:prstGeom>
                    <a:noFill/>
                    <a:ln w="9525">
                      <a:noFill/>
                      <a:headEnd/>
                      <a:tailEnd/>
                    </a:ln>
                  </pic:spPr>
                </pic:pic>
              </a:graphicData>
            </a:graphic>
          </wp:inline>
        </w:drawing>
      </w:r>
    </w:p>
    <w:p>
      <w:pPr>
        <w:pStyle w:val="ImageCaption"/>
      </w:pPr>
      <w:r>
        <w:t xml:space="preserve">Figure 6.15– Use case diagram, Sprint 9</w:t>
      </w:r>
    </w:p>
    <w:bookmarkEnd w:id="484"/>
    <w:p>
      <w:pPr>
        <w:pStyle w:val="BodyText"/>
      </w:pPr>
      <w:r>
        <w:t xml:space="preserve">Managing the library specialises into uploading, retrying a failed document and</w:t>
      </w:r>
      <w:r>
        <w:t xml:space="preserve"> </w:t>
      </w:r>
      <w:r>
        <w:t xml:space="preserve">deleting; uploading and retrying include extracting, chunking and embedding the text.</w:t>
      </w:r>
      <w:r>
        <w:t xml:space="preserve"> </w:t>
      </w:r>
      <w:r>
        <w:t xml:space="preserve">Attaching documents to an article is extended by detaching one. Asking the assistant</w:t>
      </w:r>
      <w:r>
        <w:t xml:space="preserve"> </w:t>
      </w:r>
      <w:r>
        <w:t xml:space="preserve">is extended by citing passages as</w:t>
      </w:r>
      <w:r>
        <w:t xml:space="preserve"> </w:t>
      </w:r>
      <w:r>
        <w:rPr>
          <w:i/>
          <w:iCs/>
        </w:rPr>
        <w:t xml:space="preserve">[Title, p. N]</w:t>
      </w:r>
      <w:r>
        <w:t xml:space="preserve">, itself extended by opening a cited</w:t>
      </w:r>
      <w:r>
        <w:t xml:space="preserve"> </w:t>
      </w:r>
      <w:r>
        <w:t xml:space="preserve">passage at its page. Documents are PDF, DOCX, TXT or Markdown files under 10 MB and 200</w:t>
      </w:r>
      <w:r>
        <w:t xml:space="preserve"> </w:t>
      </w:r>
      <w:r>
        <w:t xml:space="preserve">pages, at most 20 per writer. The diagram shows the privacy boundary of the feature: a</w:t>
      </w:r>
      <w:r>
        <w:t xml:space="preserve"> </w:t>
      </w:r>
      <w:r>
        <w:t xml:space="preserve">document is the writer’s alone, and it never feeds the voice profile, portfolio</w:t>
      </w:r>
      <w:r>
        <w:t xml:space="preserve"> </w:t>
      </w:r>
      <w:r>
        <w:t xml:space="preserve">insights or search (FR-87).</w:t>
      </w:r>
    </w:p>
    <w:bookmarkEnd w:id="485"/>
    <w:bookmarkStart w:id="494"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489" w:name="fig:classes-s9"/>
    <w:p>
      <w:pPr>
        <w:pStyle w:val="CaptionedFigure"/>
      </w:pPr>
      <w:r>
        <w:drawing>
          <wp:inline>
            <wp:extent cx="5334000" cy="4095229"/>
            <wp:effectExtent b="0" l="0" r="0" t="0"/>
            <wp:docPr descr="Figure 6.16– Class diagram, Sprint 9" title="" id="487" name="Picture"/>
            <a:graphic>
              <a:graphicData uri="http://schemas.openxmlformats.org/drawingml/2006/picture">
                <pic:pic>
                  <pic:nvPicPr>
                    <pic:cNvPr descr="../diagrams/fig-7-8-classes-sprint-9/fig-7-8-classes-sprint-9.png" id="488" name="Picture"/>
                    <pic:cNvPicPr>
                      <a:picLocks noChangeArrowheads="1" noChangeAspect="1"/>
                    </pic:cNvPicPr>
                  </pic:nvPicPr>
                  <pic:blipFill>
                    <a:blip r:embed="rId486"/>
                    <a:stretch>
                      <a:fillRect/>
                    </a:stretch>
                  </pic:blipFill>
                  <pic:spPr bwMode="auto">
                    <a:xfrm>
                      <a:off x="0" y="0"/>
                      <a:ext cx="5334000" cy="4095229"/>
                    </a:xfrm>
                    <a:prstGeom prst="rect">
                      <a:avLst/>
                    </a:prstGeom>
                    <a:noFill/>
                    <a:ln w="9525">
                      <a:noFill/>
                      <a:headEnd/>
                      <a:tailEnd/>
                    </a:ln>
                  </pic:spPr>
                </pic:pic>
              </a:graphicData>
            </a:graphic>
          </wp:inline>
        </w:drawing>
      </w:r>
    </w:p>
    <w:p>
      <w:pPr>
        <w:pStyle w:val="ImageCaption"/>
      </w:pPr>
      <w:r>
        <w:t xml:space="preserve">Figure 6.16– Class diagram, Sprint 9</w:t>
      </w:r>
    </w:p>
    <w:bookmarkEnd w:id="489"/>
    <w:p>
      <w:pPr>
        <w:pStyle w:val="BodyText"/>
      </w:pPr>
      <w:r>
        <w:t xml:space="preserve">A</w:t>
      </w:r>
      <w:r>
        <w:t xml:space="preserve"> </w:t>
      </w:r>
      <w:r>
        <w:rPr>
          <w:rStyle w:val="VerbatimChar"/>
        </w:rPr>
        <w:t xml:space="preserve">Document</w:t>
      </w:r>
      <w:r>
        <w:t xml:space="preserve"> </w:t>
      </w:r>
      <w:r>
        <w:t xml:space="preserve">carries its status, page and chunk counts and a readable error; its</w:t>
      </w:r>
      <w:r>
        <w:t xml:space="preserve"> </w:t>
      </w:r>
      <w:r>
        <w:rPr>
          <w:rStyle w:val="VerbatimChar"/>
        </w:rPr>
        <w:t xml:space="preserve">DocumentChunk</w:t>
      </w:r>
      <w:r>
        <w:t xml:space="preserve">s each keep the page they came from, which is what a citation points to;</w:t>
      </w:r>
      <w:r>
        <w:t xml:space="preserve"> </w:t>
      </w:r>
      <w:r>
        <w:t xml:space="preserve">and documents are attached to articles by a many-to-many association. The status moves</w:t>
      </w:r>
      <w:r>
        <w:t xml:space="preserve"> </w:t>
      </w:r>
      <w:r>
        <w:t xml:space="preserve">from pending to extracting to ready, or to failed with a reason the writer can act on;</w:t>
      </w:r>
      <w:r>
        <w:t xml:space="preserve"> </w:t>
      </w:r>
      <w:r>
        <w:t xml:space="preserve">the only backward move is a retry. The diagram shows that a citation is a property of</w:t>
      </w:r>
      <w:r>
        <w:t xml:space="preserve"> </w:t>
      </w:r>
      <w:r>
        <w:t xml:space="preserve">the data, not of the model’s output: the page number travels with the chunk from</w:t>
      </w:r>
      <w:r>
        <w:t xml:space="preserve"> </w:t>
      </w:r>
      <w:r>
        <w:t xml:space="preserve">extraction to the prompt.</w:t>
      </w:r>
    </w:p>
    <w:p>
      <w:pPr>
        <w:pStyle w:val="BodyText"/>
      </w:pPr>
      <w:r>
        <w:rPr>
          <w:b/>
          <w:bCs/>
        </w:rPr>
        <w:t xml:space="preserve">Sequence diagram —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493" w:name="fig:seq-ingest"/>
    <w:p>
      <w:pPr>
        <w:pStyle w:val="CaptionedFigure"/>
      </w:pPr>
      <w:r>
        <w:drawing>
          <wp:inline>
            <wp:extent cx="5334000" cy="5116941"/>
            <wp:effectExtent b="0" l="0" r="0" t="0"/>
            <wp:docPr descr="Figure 6.17– Sequence diagram: document upload and ingestion" title="" id="491" name="Picture"/>
            <a:graphic>
              <a:graphicData uri="http://schemas.openxmlformats.org/drawingml/2006/picture">
                <pic:pic>
                  <pic:nvPicPr>
                    <pic:cNvPr descr="../diagrams/fig-7-9-sequence-document-ingestion/fig-7-9-sequence-document-ingestion.png" id="492" name="Picture"/>
                    <pic:cNvPicPr>
                      <a:picLocks noChangeArrowheads="1" noChangeAspect="1"/>
                    </pic:cNvPicPr>
                  </pic:nvPicPr>
                  <pic:blipFill>
                    <a:blip r:embed="rId490"/>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493"/>
    <w:p>
      <w:pPr>
        <w:pStyle w:val="BodyText"/>
      </w:pPr>
      <w:r>
        <w:t xml:space="preserve">The browser asks for a presigned URL and uploads the file straight to a private</w:t>
      </w:r>
      <w:r>
        <w:t xml:space="preserve"> </w:t>
      </w:r>
      <w:r>
        <w:t xml:space="preserve">bucket — the file never passes through the API. The registration checks that the object</w:t>
      </w:r>
      <w:r>
        <w:t xml:space="preserve"> </w:t>
      </w:r>
      <w:r>
        <w:t xml:space="preserve">exists and is under 10 MB, counts the writer’s documents under a per-writer lock and</w:t>
      </w:r>
      <w:r>
        <w:t xml:space="preserve"> </w:t>
      </w:r>
      <w:r>
        <w:t xml:space="preserve">queues ingestion. The worker extracts the text page by page, refuses a document over</w:t>
      </w:r>
      <w:r>
        <w:t xml:space="preserve"> </w:t>
      </w:r>
      <w:r>
        <w:t xml:space="preserve">200 pages or without a text layer with a readable reason, then chunks it, embeds the</w:t>
      </w:r>
      <w:r>
        <w:t xml:space="preserve"> </w:t>
      </w:r>
      <w:r>
        <w:t xml:space="preserve">chunks and marks it ready in one transaction. The diagram shows that a document is</w:t>
      </w:r>
      <w:r>
        <w:t xml:space="preserve"> </w:t>
      </w:r>
      <w:r>
        <w:t xml:space="preserve">either fully usable or clearly refused: there is no state in which the assistant can</w:t>
      </w:r>
      <w:r>
        <w:t xml:space="preserve"> </w:t>
      </w:r>
      <w:r>
        <w:t xml:space="preserve">retrieve half a document.</w:t>
      </w:r>
    </w:p>
    <w:bookmarkEnd w:id="494"/>
    <w:bookmarkStart w:id="507"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498" w:name="fig:documents"/>
    <w:p>
      <w:pPr>
        <w:pStyle w:val="CaptionedFigure"/>
      </w:pPr>
      <w:r>
        <w:drawing>
          <wp:inline>
            <wp:extent cx="4267200" cy="2667000"/>
            <wp:effectExtent b="0" l="0" r="0" t="0"/>
            <wp:docPr descr="Figure 6.18– The document library, one document refused with its reason" title="" id="496" name="Picture"/>
            <a:graphic>
              <a:graphicData uri="http://schemas.openxmlformats.org/drawingml/2006/picture">
                <pic:pic>
                  <pic:nvPicPr>
                    <pic:cNvPr descr="../figures/screens/writer-16-document-library.png" id="497" name="Picture"/>
                    <pic:cNvPicPr>
                      <a:picLocks noChangeArrowheads="1" noChangeAspect="1"/>
                    </pic:cNvPicPr>
                  </pic:nvPicPr>
                  <pic:blipFill>
                    <a:blip r:embed="rId49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498"/>
    <w:p>
      <w:pPr>
        <w:pStyle w:val="BodyText"/>
      </w:pPr>
      <w:r>
        <w:t xml:space="preserve">The library lists each document with its type, pages, status, size and upload time,</w:t>
      </w:r>
      <w:r>
        <w:t xml:space="preserve"> </w:t>
      </w:r>
      <w:r>
        <w:t xml:space="preserve">and counts the documents against the limit — 2 of 20 (FR-84). One document is being</w:t>
      </w:r>
      <w:r>
        <w:t xml:space="preserve"> </w:t>
      </w:r>
      <w:r>
        <w:t xml:space="preserve">extracted; the other is refused with the reason</w:t>
      </w:r>
      <w:r>
        <w:t xml:space="preserve"> </w:t>
      </w:r>
      <w:r>
        <w:t xml:space="preserve">“This document has no text to read”</w:t>
      </w:r>
      <w:r>
        <w:t xml:space="preserve"> </w:t>
      </w:r>
      <w:r>
        <w:t xml:space="preserve">and offers a retry: a failure is stated in words the writer can act on, not as an error</w:t>
      </w:r>
      <w:r>
        <w:t xml:space="preserve"> </w:t>
      </w:r>
      <w:r>
        <w:t xml:space="preserve">code.</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502" w:name="fig:sources"/>
    <w:p>
      <w:pPr>
        <w:pStyle w:val="CaptionedFigure"/>
      </w:pPr>
      <w:r>
        <w:drawing>
          <wp:inline>
            <wp:extent cx="4267200" cy="2667000"/>
            <wp:effectExtent b="0" l="0" r="0" t="0"/>
            <wp:docPr descr="Figure 6.19– Attaching a document from the Sources tab" title="" id="500" name="Picture"/>
            <a:graphic>
              <a:graphicData uri="http://schemas.openxmlformats.org/drawingml/2006/picture">
                <pic:pic>
                  <pic:nvPicPr>
                    <pic:cNvPr descr="../figures/screens/writer-17-ai-sources-tab.png" id="501" name="Picture"/>
                    <pic:cNvPicPr>
                      <a:picLocks noChangeArrowheads="1" noChangeAspect="1"/>
                    </pic:cNvPicPr>
                  </pic:nvPicPr>
                  <pic:blipFill>
                    <a:blip r:embed="rId49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502"/>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506" w:name="fig:cited"/>
    <w:p>
      <w:pPr>
        <w:pStyle w:val="CaptionedFigure"/>
      </w:pPr>
      <w:r>
        <w:drawing>
          <wp:inline>
            <wp:extent cx="5334000" cy="3333750"/>
            <wp:effectExtent b="0" l="0" r="0" t="0"/>
            <wp:docPr descr="Figure 6.20– A reply citing its source as [Title, p. N]" title="" id="504" name="Picture"/>
            <a:graphic>
              <a:graphicData uri="http://schemas.openxmlformats.org/drawingml/2006/picture">
                <pic:pic>
                  <pic:nvPicPr>
                    <pic:cNvPr descr="../figures/screens/writer-18-ai-cited-reply.png" id="505" name="Picture"/>
                    <pic:cNvPicPr>
                      <a:picLocks noChangeArrowheads="1" noChangeAspect="1"/>
                    </pic:cNvPicPr>
                  </pic:nvPicPr>
                  <pic:blipFill>
                    <a:blip r:embed="rId5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506"/>
    <w:p>
      <w:pPr>
        <w:pStyle w:val="BodyText"/>
      </w:pPr>
      <w:r>
        <w:t xml:space="preserve">Asked a factual question about the writer’s field notes, the assistant retrieved three</w:t>
      </w:r>
      <w:r>
        <w:t xml:space="preserve"> </w:t>
      </w:r>
      <w:r>
        <w:t xml:space="preserve">passages from one document and answered with the figure and its source,</w:t>
      </w:r>
      <w:r>
        <w:t xml:space="preserve"> </w:t>
      </w:r>
      <w:r>
        <w:rPr>
          <w:i/>
          <w:iCs/>
        </w:rPr>
        <w:t xml:space="preserve">[Tackle Market Field Notes, p. 2]</w:t>
      </w:r>
      <w:r>
        <w:t xml:space="preserve"> </w:t>
      </w:r>
      <w:r>
        <w:t xml:space="preserve">(FR-86). The steps above the answer show where the</w:t>
      </w:r>
      <w:r>
        <w:t xml:space="preserve"> </w:t>
      </w:r>
      <w:r>
        <w:t xml:space="preserve">facts came from before the answer is read. The writer can therefore check a claim</w:t>
      </w:r>
      <w:r>
        <w:t xml:space="preserve"> </w:t>
      </w:r>
      <w:r>
        <w:t xml:space="preserve">before it goes out under their name, which is the purpose of US-72.</w:t>
      </w:r>
    </w:p>
    <w:bookmarkEnd w:id="507"/>
    <w:bookmarkEnd w:id="508"/>
    <w:bookmarkStart w:id="509"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09"/>
    <w:bookmarkEnd w:id="510"/>
    <w:bookmarkStart w:id="527" w:name="sec:ch7"/>
    <w:p>
      <w:pPr>
        <w:sectPr>
          <w:footnotePr>
            <w:numRestart w:val="eachSect"/>
          </w:footnotePr>
        </w:sectPr>
      </w:pPr>
    </w:p>
    <w:p>
      <w:pPr>
        <w:pStyle w:val="Heading1"/>
      </w:pPr>
      <w:r>
        <w:rPr>
          <w:rStyle w:val="SectionNumber"/>
        </w:rPr>
        <w:t xml:space="preserve">7</w:t>
      </w:r>
      <w:r>
        <w:tab/>
      </w:r>
      <w:r>
        <w:t xml:space="preserve">Evaluation</w:t>
      </w:r>
    </w:p>
    <w:bookmarkStart w:id="511"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 —</w:t>
      </w:r>
      <w:r>
        <w:t xml:space="preserve"> </w:t>
      </w:r>
      <w:r>
        <w:t xml:space="preserve">the retrieval behind the assistant, the hybrid search and the moderation classifier —</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11"/>
    <w:bookmarkStart w:id="512"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w:t>
      </w:r>
      <w:r>
        <w:t xml:space="preserve">— the share of relevant items among the passages returned;</w:t>
      </w:r>
    </w:p>
    <w:p>
      <w:pPr>
        <w:pStyle w:val="Compact"/>
        <w:numPr>
          <w:ilvl w:val="0"/>
          <w:numId w:val="1007"/>
        </w:numPr>
      </w:pPr>
      <w:r>
        <w:rPr>
          <w:b/>
          <w:bCs/>
        </w:rPr>
        <w:t xml:space="preserve">recall@10</w:t>
      </w:r>
      <w:r>
        <w:t xml:space="preserve"> </w:t>
      </w:r>
      <w:r>
        <w:t xml:space="preserve">— the share of the relevant articles found in the first ten results;</w:t>
      </w:r>
    </w:p>
    <w:p>
      <w:pPr>
        <w:pStyle w:val="Compact"/>
        <w:numPr>
          <w:ilvl w:val="0"/>
          <w:numId w:val="1007"/>
        </w:numPr>
      </w:pPr>
      <w:r>
        <w:rPr>
          <w:b/>
          <w:bCs/>
        </w:rPr>
        <w:t xml:space="preserve">nDCG@10</w:t>
      </w:r>
      <w:r>
        <w:t xml:space="preserve"> </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12"/>
    <w:bookmarkStart w:id="514"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13"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13"/>
    <w:p>
      <w:pPr>
        <w:pStyle w:val="BodyText"/>
      </w:pPr>
      <w:r>
        <w:t xml:space="preserve">At the floor used in production (0.60), a relevant passage is among the five returned</w:t>
      </w:r>
      <w:r>
        <w:t xml:space="preserve"> </w:t>
      </w:r>
      <w:r>
        <w:t xml:space="preserve">for 89% of the questions — 96% when the question uses the passage’s words, 81% when it</w:t>
      </w:r>
      <w:r>
        <w:t xml:space="preserve"> </w:t>
      </w:r>
      <w:r>
        <w:t xml:space="preserve">paraphrases them —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14"/>
    <w:bookmarkStart w:id="516"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15"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15"/>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 the results are still</w:t>
      </w:r>
      <w:r>
        <w:t xml:space="preserve"> </w:t>
      </w:r>
      <w:r>
        <w:t xml:space="preserve">returned —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16"/>
    <w:bookmarkStart w:id="518"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 war</w:t>
      </w:r>
      <w:r>
        <w:t xml:space="preserve"> </w:t>
      </w:r>
      <w:r>
        <w:t xml:space="preserve">reporting, crime news, an addiction memoir, thriller fiction, a suicide-prevention</w:t>
      </w:r>
      <w:r>
        <w:t xml:space="preserve"> </w:t>
      </w:r>
      <w:r>
        <w:t xml:space="preserve">message, instructions on overdose treatment — that a naive classifier would flag</w:t>
      </w:r>
      <w:r>
        <w:t xml:space="preserve"> </w:t>
      </w:r>
      <w:r>
        <w:t xml:space="preserve">because of their subject. The production service was called on each text three times.</w:t>
      </w:r>
    </w:p>
    <w:bookmarkStart w:id="517"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17"/>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 which fails open by design —</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18"/>
    <w:bookmarkStart w:id="521"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19"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w:t>
            </w:r>
          </w:p>
        </w:tc>
        <w:tc>
          <w:tcPr/>
          <w:p>
            <w:pPr>
              <w:pStyle w:val="Compact"/>
              <w:jc w:val="center"/>
            </w:pPr>
            <w:r>
              <w:t xml:space="preserve">bound by the provider quota</w:t>
            </w:r>
          </w:p>
        </w:tc>
      </w:tr>
    </w:tbl>
    <w:bookmarkEnd w:id="519"/>
    <w:p>
      <w:pPr>
        <w:pStyle w:val="BodyText"/>
      </w:pPr>
      <w:r>
        <w:t xml:space="preserve">Every route that reads the database answers in under 50 ms at the 95th percentile on</w:t>
      </w:r>
      <w:r>
        <w:t xml:space="preserve"> </w:t>
      </w:r>
      <w:r>
        <w:t xml:space="preserve">a laptop, and the two routes backed by the rollups — the evaluation report and the</w:t>
      </w:r>
      <w:r>
        <w:t xml:space="preserve"> </w:t>
      </w:r>
      <w:r>
        <w:t xml:space="preserve">dashboard —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20"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20"/>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21"/>
    <w:bookmarkStart w:id="522"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22"/>
    <w:bookmarkStart w:id="525"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23"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jc w:val="left"/>
            </w:pPr>
            <w:r>
              <w:t xml:space="preserve">—</w:t>
            </w: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jc w:val="left"/>
            </w:pPr>
            <w:r>
              <w:t xml:space="preserve">—</w:t>
            </w: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jc w:val="left"/>
            </w:pPr>
            <w:r>
              <w:t xml:space="preserve">—</w:t>
            </w: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jc w:val="left"/>
            </w:pPr>
            <w:r>
              <w:t xml:space="preserve">—</w:t>
            </w: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jc w:val="left"/>
            </w:pPr>
            <w:r>
              <w:t xml:space="preserve">—</w:t>
            </w: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jc w:val="left"/>
            </w:pPr>
            <w:r>
              <w:t xml:space="preserve">—</w:t>
            </w: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23"/>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24"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24"/>
    <w:p>
      <w:pPr>
        <w:pStyle w:val="BodyText"/>
      </w:pPr>
      <w:r>
        <w:t xml:space="preserve">The retrospective shows a pattern. The rules written down early — the ledger</w:t>
      </w:r>
      <w:r>
        <w:t xml:space="preserve"> </w:t>
      </w:r>
      <w:r>
        <w:t xml:space="preserve">invariants, the access decision, the definition of done —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25"/>
    <w:bookmarkStart w:id="526"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26"/>
    <w:bookmarkEnd w:id="527"/>
    <w:bookmarkStart w:id="530"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 including tests designed to fail when the code is sabotaged — and</w:t>
      </w:r>
      <w:r>
        <w:t xml:space="preserve"> </w:t>
      </w:r>
      <w:r>
        <w:t xml:space="preserve">claims checked by measurement, which in two cases corrected the project itself.</w:t>
      </w:r>
    </w:p>
    <w:bookmarkStart w:id="528"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 an embedding during a provider outage, for instance —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 though no</w:t>
      </w:r>
      <w:r>
        <w:t xml:space="preserve"> </w:t>
      </w:r>
      <w:r>
        <w:t xml:space="preserve">critical —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28"/>
    <w:bookmarkStart w:id="529"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 contrast tokens and accessible names on icon</w:t>
      </w:r>
      <w:r>
        <w:t xml:space="preserve"> </w:t>
      </w:r>
      <w:r>
        <w:t xml:space="preserve">links —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29"/>
    <w:bookmarkEnd w:id="530"/>
    <w:bookmarkStart w:id="619" w:name="references"/>
    <w:p>
      <w:pPr>
        <w:sectPr>
          <w:footnotePr>
            <w:numRestart w:val="eachSect"/>
          </w:footnotePr>
        </w:sectPr>
      </w:pPr>
    </w:p>
    <w:p>
      <w:pPr>
        <w:pStyle w:val="Heading1"/>
      </w:pPr>
      <w:r>
        <w:t xml:space="preserve">References</w:t>
      </w:r>
    </w:p>
    <w:bookmarkStart w:id="618" w:name="refs"/>
    <w:bookmarkStart w:id="532"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31">
        <w:r>
          <w:rPr>
            <w:rStyle w:val="Hyperlink"/>
          </w:rPr>
          <w:t xml:space="preserve">https://www.goldmansachs.com/insights/articles/the-creator-economy-could-approach-half-a-trillion-dollars-by-2027</w:t>
        </w:r>
      </w:hyperlink>
    </w:p>
    <w:bookmarkEnd w:id="532"/>
    <w:bookmarkStart w:id="534"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33">
        <w:r>
          <w:rPr>
            <w:rStyle w:val="Hyperlink"/>
          </w:rPr>
          <w:t xml:space="preserve">https://www.grammarly.com/ai</w:t>
        </w:r>
      </w:hyperlink>
    </w:p>
    <w:bookmarkEnd w:id="534"/>
    <w:bookmarkStart w:id="536"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35">
        <w:r>
          <w:rPr>
            <w:rStyle w:val="Hyperlink"/>
          </w:rPr>
          <w:t xml:space="preserve">https://www.notion.com/product/ai</w:t>
        </w:r>
      </w:hyperlink>
    </w:p>
    <w:bookmarkEnd w:id="536"/>
    <w:bookmarkStart w:id="538"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37">
        <w:r>
          <w:rPr>
            <w:rStyle w:val="Hyperlink"/>
          </w:rPr>
          <w:t xml:space="preserve">https://www.beehiiv.com/features/artificial-intelligence</w:t>
        </w:r>
      </w:hyperlink>
    </w:p>
    <w:bookmarkEnd w:id="538"/>
    <w:bookmarkStart w:id="540"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39">
        <w:r>
          <w:rPr>
            <w:rStyle w:val="Hyperlink"/>
          </w:rPr>
          <w:t xml:space="preserve">https://help.medium.com/hc/en-us/articles/360036691193</w:t>
        </w:r>
      </w:hyperlink>
    </w:p>
    <w:bookmarkEnd w:id="540"/>
    <w:bookmarkStart w:id="542"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41">
        <w:r>
          <w:rPr>
            <w:rStyle w:val="Hyperlink"/>
          </w:rPr>
          <w:t xml:space="preserve">https://substack.com/about</w:t>
        </w:r>
      </w:hyperlink>
    </w:p>
    <w:bookmarkEnd w:id="542"/>
    <w:bookmarkStart w:id="544"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43">
        <w:r>
          <w:rPr>
            <w:rStyle w:val="Hyperlink"/>
          </w:rPr>
          <w:t xml:space="preserve">https://ghost.org/features/</w:t>
        </w:r>
      </w:hyperlink>
    </w:p>
    <w:bookmarkEnd w:id="544"/>
    <w:bookmarkStart w:id="546"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45">
        <w:r>
          <w:rPr>
            <w:rStyle w:val="Hyperlink"/>
          </w:rPr>
          <w:t xml:space="preserve">https://contently.com</w:t>
        </w:r>
      </w:hyperlink>
    </w:p>
    <w:bookmarkEnd w:id="546"/>
    <w:bookmarkStart w:id="548"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47">
        <w:r>
          <w:rPr>
            <w:rStyle w:val="Hyperlink"/>
          </w:rPr>
          <w:t xml:space="preserve">https://www.upwork.com/hire/writers/</w:t>
        </w:r>
      </w:hyperlink>
    </w:p>
    <w:bookmarkEnd w:id="548"/>
    <w:bookmarkStart w:id="550"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49">
        <w:r>
          <w:rPr>
            <w:rStyle w:val="Hyperlink"/>
          </w:rPr>
          <w:t xml:space="preserve">https://blog.google/technology/ai/notebooklm-goes-global-support-for-websites-slides-fact-check/</w:t>
        </w:r>
      </w:hyperlink>
    </w:p>
    <w:bookmarkEnd w:id="550"/>
    <w:bookmarkStart w:id="552"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51">
        <w:r>
          <w:rPr>
            <w:rStyle w:val="Hyperlink"/>
          </w:rPr>
          <w:t xml:space="preserve">https://help.openai.com/en/articles/8555545-file-uploads-faq</w:t>
        </w:r>
      </w:hyperlink>
    </w:p>
    <w:bookmarkEnd w:id="552"/>
    <w:bookmarkStart w:id="554"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53">
        <w:r>
          <w:rPr>
            <w:rStyle w:val="Hyperlink"/>
          </w:rPr>
          <w:t xml:space="preserve">https://www.perplexity.ai/help-center/en/articles/10352961-what-are-spaces</w:t>
        </w:r>
      </w:hyperlink>
    </w:p>
    <w:bookmarkEnd w:id="554"/>
    <w:bookmarkStart w:id="555"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55"/>
    <w:bookmarkStart w:id="557"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56">
        <w:r>
          <w:rPr>
            <w:rStyle w:val="Hyperlink"/>
          </w:rPr>
          <w:t xml:space="preserve">https://agilemanifesto.org</w:t>
        </w:r>
      </w:hyperlink>
    </w:p>
    <w:bookmarkEnd w:id="557"/>
    <w:bookmarkStart w:id="558"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58"/>
    <w:bookmarkStart w:id="560"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59">
        <w:r>
          <w:rPr>
            <w:rStyle w:val="Hyperlink"/>
          </w:rPr>
          <w:t xml:space="preserve">https://scrumguides.org/scrum-guide.html</w:t>
        </w:r>
      </w:hyperlink>
    </w:p>
    <w:bookmarkEnd w:id="560"/>
    <w:bookmarkStart w:id="562"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61">
        <w:r>
          <w:rPr>
            <w:rStyle w:val="Hyperlink"/>
          </w:rPr>
          <w:t xml:space="preserve">https://www.agilebusiness.org/dsdm-project-framework/moscow-prioririsation.html</w:t>
        </w:r>
      </w:hyperlink>
    </w:p>
    <w:bookmarkEnd w:id="562"/>
    <w:bookmarkStart w:id="563"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63"/>
    <w:bookmarkStart w:id="565"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64">
        <w:r>
          <w:rPr>
            <w:rStyle w:val="Hyperlink"/>
          </w:rPr>
          <w:t xml:space="preserve">https://www.omg.org/spec/UML/2.5.1</w:t>
        </w:r>
      </w:hyperlink>
    </w:p>
    <w:bookmarkEnd w:id="565"/>
    <w:bookmarkStart w:id="567"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66">
        <w:r>
          <w:rPr>
            <w:rStyle w:val="Hyperlink"/>
          </w:rPr>
          <w:t xml:space="preserve">https://cheatsheetseries.owasp.org/cheatsheets/Password_Storage_Cheat_Sheet.html</w:t>
        </w:r>
      </w:hyperlink>
    </w:p>
    <w:bookmarkEnd w:id="567"/>
    <w:bookmarkStart w:id="569"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68">
        <w:r>
          <w:rPr>
            <w:rStyle w:val="Hyperlink"/>
          </w:rPr>
          <w:t xml:space="preserve">10.17487/RFC7519</w:t>
        </w:r>
      </w:hyperlink>
      <w:r>
        <w:t xml:space="preserve">.</w:t>
      </w:r>
    </w:p>
    <w:bookmarkEnd w:id="569"/>
    <w:bookmarkStart w:id="571"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70">
        <w:r>
          <w:rPr>
            <w:rStyle w:val="Hyperlink"/>
          </w:rPr>
          <w:t xml:space="preserve">10.1109/TPAMI.2018.2889473</w:t>
        </w:r>
      </w:hyperlink>
      <w:r>
        <w:t xml:space="preserve">.</w:t>
      </w:r>
    </w:p>
    <w:bookmarkEnd w:id="571"/>
    <w:bookmarkStart w:id="573"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72">
        <w:r>
          <w:rPr>
            <w:rStyle w:val="Hyperlink"/>
          </w:rPr>
          <w:t xml:space="preserve">https://www.postgresql.org/docs/16/textsearch.html</w:t>
        </w:r>
      </w:hyperlink>
    </w:p>
    <w:bookmarkEnd w:id="573"/>
    <w:bookmarkStart w:id="575"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74">
        <w:r>
          <w:rPr>
            <w:rStyle w:val="Hyperlink"/>
          </w:rPr>
          <w:t xml:space="preserve">https://docs.docker.com/compose/</w:t>
        </w:r>
      </w:hyperlink>
    </w:p>
    <w:bookmarkEnd w:id="575"/>
    <w:bookmarkStart w:id="577"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76">
        <w:r>
          <w:rPr>
            <w:rStyle w:val="Hyperlink"/>
          </w:rPr>
          <w:t xml:space="preserve">https://playwright.dev/docs/intro</w:t>
        </w:r>
      </w:hyperlink>
    </w:p>
    <w:bookmarkEnd w:id="577"/>
    <w:bookmarkStart w:id="579"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78">
        <w:r>
          <w:rPr>
            <w:rStyle w:val="Hyperlink"/>
          </w:rPr>
          <w:t xml:space="preserve">https://nextjs.org/docs</w:t>
        </w:r>
      </w:hyperlink>
    </w:p>
    <w:bookmarkEnd w:id="579"/>
    <w:bookmarkStart w:id="581"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80">
        <w:r>
          <w:rPr>
            <w:rStyle w:val="Hyperlink"/>
          </w:rPr>
          <w:t xml:space="preserve">https://2024.stateofjs.com/en-US/libraries/</w:t>
        </w:r>
      </w:hyperlink>
    </w:p>
    <w:bookmarkEnd w:id="581"/>
    <w:bookmarkStart w:id="583"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82">
        <w:r>
          <w:rPr>
            <w:rStyle w:val="Hyperlink"/>
          </w:rPr>
          <w:t xml:space="preserve">https://tiptap.dev/docs</w:t>
        </w:r>
      </w:hyperlink>
    </w:p>
    <w:bookmarkEnd w:id="583"/>
    <w:bookmarkStart w:id="585"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84">
        <w:r>
          <w:rPr>
            <w:rStyle w:val="Hyperlink"/>
          </w:rPr>
          <w:t xml:space="preserve">https://ai-sdk.dev/docs</w:t>
        </w:r>
      </w:hyperlink>
    </w:p>
    <w:bookmarkEnd w:id="585"/>
    <w:bookmarkStart w:id="587"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86">
        <w:r>
          <w:rPr>
            <w:rStyle w:val="Hyperlink"/>
          </w:rPr>
          <w:t xml:space="preserve">https://docs.nestjs.com</w:t>
        </w:r>
      </w:hyperlink>
    </w:p>
    <w:bookmarkEnd w:id="587"/>
    <w:bookmarkStart w:id="589"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588">
        <w:r>
          <w:rPr>
            <w:rStyle w:val="Hyperlink"/>
          </w:rPr>
          <w:t xml:space="preserve">https://www.techempower.com/benchmarks/</w:t>
        </w:r>
      </w:hyperlink>
    </w:p>
    <w:bookmarkEnd w:id="589"/>
    <w:bookmarkStart w:id="591"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590">
        <w:r>
          <w:rPr>
            <w:rStyle w:val="Hyperlink"/>
          </w:rPr>
          <w:t xml:space="preserve">https://github.com/pgvector/pgvector</w:t>
        </w:r>
      </w:hyperlink>
    </w:p>
    <w:bookmarkEnd w:id="591"/>
    <w:bookmarkStart w:id="593"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592">
        <w:r>
          <w:rPr>
            <w:rStyle w:val="Hyperlink"/>
          </w:rPr>
          <w:t xml:space="preserve">10.1016/j.is.2019.02.006</w:t>
        </w:r>
      </w:hyperlink>
      <w:r>
        <w:t xml:space="preserve">.</w:t>
      </w:r>
    </w:p>
    <w:bookmarkEnd w:id="593"/>
    <w:bookmarkStart w:id="595"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594">
        <w:r>
          <w:rPr>
            <w:rStyle w:val="Hyperlink"/>
          </w:rPr>
          <w:t xml:space="preserve">https://orm.drizzle.team/docs/overview</w:t>
        </w:r>
      </w:hyperlink>
    </w:p>
    <w:bookmarkEnd w:id="595"/>
    <w:bookmarkStart w:id="597"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596">
        <w:r>
          <w:rPr>
            <w:rStyle w:val="Hyperlink"/>
          </w:rPr>
          <w:t xml:space="preserve">https://docs.bullmq.io</w:t>
        </w:r>
      </w:hyperlink>
    </w:p>
    <w:bookmarkEnd w:id="597"/>
    <w:bookmarkStart w:id="599"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598">
        <w:r>
          <w:rPr>
            <w:rStyle w:val="Hyperlink"/>
          </w:rPr>
          <w:t xml:space="preserve">10.17487/RFC6749</w:t>
        </w:r>
      </w:hyperlink>
      <w:r>
        <w:t xml:space="preserve">.</w:t>
      </w:r>
    </w:p>
    <w:bookmarkEnd w:id="599"/>
    <w:bookmarkStart w:id="601"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00">
        <w:r>
          <w:rPr>
            <w:rStyle w:val="Hyperlink"/>
          </w:rPr>
          <w:t xml:space="preserve">https://console.groq.com/docs/models</w:t>
        </w:r>
      </w:hyperlink>
    </w:p>
    <w:bookmarkEnd w:id="601"/>
    <w:bookmarkStart w:id="603"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02">
        <w:r>
          <w:rPr>
            <w:rStyle w:val="Hyperlink"/>
          </w:rPr>
          <w:t xml:space="preserve">https://ai.google.dev/gemini-api/docs/embeddings</w:t>
        </w:r>
      </w:hyperlink>
    </w:p>
    <w:bookmarkEnd w:id="603"/>
    <w:bookmarkStart w:id="605"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04">
        <w:r>
          <w:rPr>
            <w:rStyle w:val="Hyperlink"/>
          </w:rPr>
          <w:t xml:space="preserve">10.1145/1571941.1572114</w:t>
        </w:r>
      </w:hyperlink>
      <w:r>
        <w:t xml:space="preserve">.</w:t>
      </w:r>
    </w:p>
    <w:bookmarkEnd w:id="605"/>
    <w:bookmarkStart w:id="606"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06"/>
    <w:bookmarkStart w:id="607"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07"/>
    <w:bookmarkStart w:id="608"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08"/>
    <w:bookmarkStart w:id="609"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09"/>
    <w:bookmarkStart w:id="611"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10">
        <w:r>
          <w:rPr>
            <w:rStyle w:val="Hyperlink"/>
          </w:rPr>
          <w:t xml:space="preserve">10.1145/582415.582418</w:t>
        </w:r>
      </w:hyperlink>
      <w:r>
        <w:t xml:space="preserve">.</w:t>
      </w:r>
    </w:p>
    <w:bookmarkEnd w:id="611"/>
    <w:bookmarkStart w:id="613"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12">
        <w:r>
          <w:rPr>
            <w:rStyle w:val="Hyperlink"/>
          </w:rPr>
          <w:t xml:space="preserve">https://developer.chrome.com/docs/lighthouse/overview</w:t>
        </w:r>
      </w:hyperlink>
    </w:p>
    <w:bookmarkEnd w:id="613"/>
    <w:bookmarkStart w:id="615"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14">
        <w:r>
          <w:rPr>
            <w:rStyle w:val="Hyperlink"/>
          </w:rPr>
          <w:t xml:space="preserve">https://github.com/dequelabs/axe-core</w:t>
        </w:r>
      </w:hyperlink>
    </w:p>
    <w:bookmarkEnd w:id="615"/>
    <w:bookmarkStart w:id="617"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16">
        <w:r>
          <w:rPr>
            <w:rStyle w:val="Hyperlink"/>
          </w:rPr>
          <w:t xml:space="preserve">https://www.w3.org/TR/WCAG22/</w:t>
        </w:r>
      </w:hyperlink>
    </w:p>
    <w:bookmarkEnd w:id="617"/>
    <w:bookmarkEnd w:id="618"/>
    <w:bookmarkEnd w:id="619"/>
    <w:bookmarkStart w:id="626"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20" w:name="tbl:fr-visitor"/>
    <w:p>
      <w:pPr>
        <w:pStyle w:val="TableCaption"/>
      </w:pPr>
      <w:r>
        <w:t xml:space="preserve">Table 8.1– Functional requirements — visitor</w:t>
      </w:r>
    </w:p>
    <w:tbl>
      <w:tblPr>
        <w:tblStyle w:val="Table"/>
        <w:tblW w:type="pct" w:w="5000"/>
        <w:tblLayout w:type="fixed"/>
        <w:tblLook w:firstRow="1" w:lastRow="0" w:firstColumn="0" w:lastColumn="0" w:noHBand="0" w:noVBand="0" w:val="0020"/>
        <w:tblCaption w:val="Table 8.1– Functional requirements —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 name, bio, counts and a follow control for a writer; logo, description and founding date for a magazine — without leaving the page</w:t>
            </w:r>
          </w:p>
        </w:tc>
        <w:tc>
          <w:tcPr/>
          <w:p>
            <w:pPr>
              <w:pStyle w:val="Compact"/>
              <w:jc w:val="left"/>
            </w:pPr>
            <w:r>
              <w:t xml:space="preserve">Should</w:t>
            </w:r>
          </w:p>
        </w:tc>
        <w:tc>
          <w:tcPr/>
          <w:p>
            <w:pPr>
              <w:pStyle w:val="Compact"/>
              <w:jc w:val="left"/>
            </w:pPr>
            <w:r>
              <w:t xml:space="preserve">8</w:t>
            </w:r>
          </w:p>
        </w:tc>
      </w:tr>
    </w:tbl>
    <w:bookmarkEnd w:id="620"/>
    <w:bookmarkStart w:id="621" w:name="tbl:fr-readers"/>
    <w:p>
      <w:pPr>
        <w:pStyle w:val="TableCaption"/>
      </w:pPr>
      <w:r>
        <w:t xml:space="preserve">Table 8.2– Functional requirements — reader</w:t>
      </w:r>
    </w:p>
    <w:tbl>
      <w:tblPr>
        <w:tblStyle w:val="Table"/>
        <w:tblW w:type="pct" w:w="5000"/>
        <w:tblLayout w:type="fixed"/>
        <w:tblLook w:firstRow="1" w:lastRow="0" w:firstColumn="0" w:lastColumn="0" w:noHBand="0" w:noVBand="0" w:val="0020"/>
        <w:tblCaption w:val="Table 8.2– Functional requirements —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21"/>
    <w:bookmarkStart w:id="622" w:name="tbl:fr-writers"/>
    <w:p>
      <w:pPr>
        <w:pStyle w:val="TableCaption"/>
      </w:pPr>
      <w:r>
        <w:t xml:space="preserve">Table 8.3– Functional requirements — writer</w:t>
      </w:r>
    </w:p>
    <w:tbl>
      <w:tblPr>
        <w:tblStyle w:val="Table"/>
        <w:tblW w:type="pct" w:w="5000"/>
        <w:tblLayout w:type="fixed"/>
        <w:tblLook w:firstRow="1" w:lastRow="0" w:firstColumn="0" w:lastColumn="0" w:noHBand="0" w:noVBand="0" w:val="0020"/>
        <w:tblCaption w:val="Table 8.3– Functional requirements —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22"/>
    <w:bookmarkStart w:id="623" w:name="tbl:fr-magazines"/>
    <w:p>
      <w:pPr>
        <w:pStyle w:val="TableCaption"/>
      </w:pPr>
      <w:r>
        <w:t xml:space="preserve">Table 8.4– Functional requirements — magazine</w:t>
      </w:r>
    </w:p>
    <w:tbl>
      <w:tblPr>
        <w:tblStyle w:val="Table"/>
        <w:tblW w:type="pct" w:w="5000"/>
        <w:tblLayout w:type="fixed"/>
        <w:tblLook w:firstRow="1" w:lastRow="0" w:firstColumn="0" w:lastColumn="0" w:noHBand="0" w:noVBand="0" w:val="0020"/>
        <w:tblCaption w:val="Table 8.4– Functional requirements —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23"/>
    <w:bookmarkStart w:id="624" w:name="tbl:fr-administrator"/>
    <w:p>
      <w:pPr>
        <w:pStyle w:val="TableCaption"/>
      </w:pPr>
      <w:r>
        <w:t xml:space="preserve">Table 8.5– Functional requirements — administrator</w:t>
      </w:r>
    </w:p>
    <w:tbl>
      <w:tblPr>
        <w:tblStyle w:val="Table"/>
        <w:tblW w:type="pct" w:w="5000"/>
        <w:tblLayout w:type="fixed"/>
        <w:tblLook w:firstRow="1" w:lastRow="0" w:firstColumn="0" w:lastColumn="0" w:noHBand="0" w:noVBand="0" w:val="0020"/>
        <w:tblCaption w:val="Table 8.5– Functional requirements —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24"/>
    <w:bookmarkStart w:id="625" w:name="tbl:fr-cross-cutting"/>
    <w:p>
      <w:pPr>
        <w:pStyle w:val="TableCaption"/>
      </w:pPr>
      <w:r>
        <w:t xml:space="preserve">Table 8.6– Functional requirements — cross-cutting</w:t>
      </w:r>
    </w:p>
    <w:tbl>
      <w:tblPr>
        <w:tblStyle w:val="Table"/>
        <w:tblW w:type="pct" w:w="5000"/>
        <w:tblLayout w:type="fixed"/>
        <w:tblLook w:firstRow="1" w:lastRow="0" w:firstColumn="0" w:lastColumn="0" w:noHBand="0" w:noVBand="0" w:val="0020"/>
        <w:tblCaption w:val="Table 8.6– Functional requirements —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25"/>
    <w:bookmarkEnd w:id="626"/>
    <w:bookmarkStart w:id="627"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 —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image" Id="rId113" Target="media/rId113.png" /><Relationship Type="http://schemas.openxmlformats.org/officeDocument/2006/relationships/image" Id="rId118" Target="media/rId118.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216" Target="media/rId216.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80" Target="media/rId280.png" /><Relationship Type="http://schemas.openxmlformats.org/officeDocument/2006/relationships/image" Id="rId267" Target="media/rId267.png" /><Relationship Type="http://schemas.openxmlformats.org/officeDocument/2006/relationships/image" Id="rId272" Target="media/rId272.png" /><Relationship Type="http://schemas.openxmlformats.org/officeDocument/2006/relationships/image" Id="rId284" Target="media/rId284.png" /><Relationship Type="http://schemas.openxmlformats.org/officeDocument/2006/relationships/image" Id="rId276" Target="media/rId276.png" /><Relationship Type="http://schemas.openxmlformats.org/officeDocument/2006/relationships/image" Id="rId230" Target="media/rId230.png" /><Relationship Type="http://schemas.openxmlformats.org/officeDocument/2006/relationships/image" Id="rId304" Target="media/rId304.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8" Target="media/rId318.png" /><Relationship Type="http://schemas.openxmlformats.org/officeDocument/2006/relationships/image" Id="rId322" Target="media/rId322.png" /><Relationship Type="http://schemas.openxmlformats.org/officeDocument/2006/relationships/image" Id="rId326" Target="media/rId326.png" /><Relationship Type="http://schemas.openxmlformats.org/officeDocument/2006/relationships/image" Id="rId400" Target="media/rId400.png" /><Relationship Type="http://schemas.openxmlformats.org/officeDocument/2006/relationships/image" Id="rId330" Target="media/rId330.png" /><Relationship Type="http://schemas.openxmlformats.org/officeDocument/2006/relationships/image" Id="rId413" Target="media/rId413.png" /><Relationship Type="http://schemas.openxmlformats.org/officeDocument/2006/relationships/image" Id="rId418" Target="media/rId418.png" /><Relationship Type="http://schemas.openxmlformats.org/officeDocument/2006/relationships/image" Id="rId443" Target="media/rId443.png" /><Relationship Type="http://schemas.openxmlformats.org/officeDocument/2006/relationships/image" Id="rId448" Target="media/rId448.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81" Target="media/rId481.png" /><Relationship Type="http://schemas.openxmlformats.org/officeDocument/2006/relationships/image" Id="rId486" Target="media/rId486.png" /><Relationship Type="http://schemas.openxmlformats.org/officeDocument/2006/relationships/image" Id="rId490" Target="media/rId490.png" /><Relationship Type="http://schemas.openxmlformats.org/officeDocument/2006/relationships/image" Id="rId383" Target="media/rId383.png" /><Relationship Type="http://schemas.openxmlformats.org/officeDocument/2006/relationships/image" Id="rId387" Target="media/rId387.png" /><Relationship Type="http://schemas.openxmlformats.org/officeDocument/2006/relationships/image" Id="rId391" Target="media/rId39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335" Target="media/rId335.png" /><Relationship Type="http://schemas.openxmlformats.org/officeDocument/2006/relationships/image" Id="rId255" Target="media/rId255.png" /><Relationship Type="http://schemas.openxmlformats.org/officeDocument/2006/relationships/image" Id="rId371" Target="media/rId371.png" /><Relationship Type="http://schemas.openxmlformats.org/officeDocument/2006/relationships/image" Id="rId289" Target="media/rId289.png" /><Relationship Type="http://schemas.openxmlformats.org/officeDocument/2006/relationships/image" Id="rId367" Target="media/rId367.png" /><Relationship Type="http://schemas.openxmlformats.org/officeDocument/2006/relationships/image" Id="rId347" Target="media/rId347.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43" Target="media/rId343.png" /><Relationship Type="http://schemas.openxmlformats.org/officeDocument/2006/relationships/image" Id="rId259" Target="media/rId259.png" /><Relationship Type="http://schemas.openxmlformats.org/officeDocument/2006/relationships/image" Id="rId293" Target="media/rId293.png" /><Relationship Type="http://schemas.openxmlformats.org/officeDocument/2006/relationships/image" Id="rId363" Target="media/rId363.png" /><Relationship Type="http://schemas.openxmlformats.org/officeDocument/2006/relationships/image" Id="rId235" Target="media/rId235.png" /><Relationship Type="http://schemas.openxmlformats.org/officeDocument/2006/relationships/image" Id="rId339" Target="media/rId339.png" /><Relationship Type="http://schemas.openxmlformats.org/officeDocument/2006/relationships/image" Id="rId163" Target="media/rId163.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61" Target="media/rId461.png" /><Relationship Type="http://schemas.openxmlformats.org/officeDocument/2006/relationships/image" Id="rId243" Target="media/rId243.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375" Target="media/rId375.png" /><Relationship Type="http://schemas.openxmlformats.org/officeDocument/2006/relationships/image" Id="rId251" Target="media/rId251.png" /><Relationship Type="http://schemas.openxmlformats.org/officeDocument/2006/relationships/image" Id="rId379" Target="media/rId379.png"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465" Target="media/rId465.png" /><Relationship Type="http://schemas.openxmlformats.org/officeDocument/2006/relationships/image" Id="rId469" Target="media/rId469.png" /><Relationship Type="http://schemas.openxmlformats.org/officeDocument/2006/relationships/image" Id="rId495" Target="media/rId495.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473" Target="media/rId473.png" /><Relationship Type="http://schemas.openxmlformats.org/officeDocument/2006/relationships/hyperlink" Id="rId580" Target="https://2024.stateofjs.com/en-US/libraries/" TargetMode="External" /><Relationship Type="http://schemas.openxmlformats.org/officeDocument/2006/relationships/hyperlink" Id="rId556" Target="https://agilemanifesto.org" TargetMode="External" /><Relationship Type="http://schemas.openxmlformats.org/officeDocument/2006/relationships/hyperlink" Id="rId584" Target="https://ai-sdk.dev/docs" TargetMode="External" /><Relationship Type="http://schemas.openxmlformats.org/officeDocument/2006/relationships/hyperlink" Id="rId602" Target="https://ai.google.dev/gemini-api/docs/embeddings" TargetMode="External" /><Relationship Type="http://schemas.openxmlformats.org/officeDocument/2006/relationships/hyperlink" Id="rId549" Target="https://blog.google/technology/ai/notebooklm-goes-global-support-for-websites-slides-fact-check/" TargetMode="External" /><Relationship Type="http://schemas.openxmlformats.org/officeDocument/2006/relationships/hyperlink" Id="rId566" Target="https://cheatsheetseries.owasp.org/cheatsheets/Password_Storage_Cheat_Sheet.html" TargetMode="External" /><Relationship Type="http://schemas.openxmlformats.org/officeDocument/2006/relationships/hyperlink" Id="rId600" Target="https://console.groq.com/docs/models" TargetMode="External" /><Relationship Type="http://schemas.openxmlformats.org/officeDocument/2006/relationships/hyperlink" Id="rId545" Target="https://contently.com" TargetMode="External" /><Relationship Type="http://schemas.openxmlformats.org/officeDocument/2006/relationships/hyperlink" Id="rId612" Target="https://developer.chrome.com/docs/lighthouse/overview" TargetMode="External" /><Relationship Type="http://schemas.openxmlformats.org/officeDocument/2006/relationships/hyperlink" Id="rId596" Target="https://docs.bullmq.io" TargetMode="External" /><Relationship Type="http://schemas.openxmlformats.org/officeDocument/2006/relationships/hyperlink" Id="rId574" Target="https://docs.docker.com/compose/" TargetMode="External" /><Relationship Type="http://schemas.openxmlformats.org/officeDocument/2006/relationships/hyperlink" Id="rId586" Target="https://docs.nestjs.com" TargetMode="External" /><Relationship Type="http://schemas.openxmlformats.org/officeDocument/2006/relationships/hyperlink" Id="rId592" Target="https://doi.org/10.1016/j.is.2019.02.006" TargetMode="External" /><Relationship Type="http://schemas.openxmlformats.org/officeDocument/2006/relationships/hyperlink" Id="rId570" Target="https://doi.org/10.1109/TPAMI.2018.2889473" TargetMode="External" /><Relationship Type="http://schemas.openxmlformats.org/officeDocument/2006/relationships/hyperlink" Id="rId604" Target="https://doi.org/10.1145/1571941.1572114" TargetMode="External" /><Relationship Type="http://schemas.openxmlformats.org/officeDocument/2006/relationships/hyperlink" Id="rId610" Target="https://doi.org/10.1145/582415.582418" TargetMode="External" /><Relationship Type="http://schemas.openxmlformats.org/officeDocument/2006/relationships/hyperlink" Id="rId598" Target="https://doi.org/10.17487/RFC6749" TargetMode="External" /><Relationship Type="http://schemas.openxmlformats.org/officeDocument/2006/relationships/hyperlink" Id="rId568" Target="https://doi.org/10.17487/RFC7519" TargetMode="External" /><Relationship Type="http://schemas.openxmlformats.org/officeDocument/2006/relationships/hyperlink" Id="rId543" Target="https://ghost.org/features/" TargetMode="External" /><Relationship Type="http://schemas.openxmlformats.org/officeDocument/2006/relationships/hyperlink" Id="rId614" Target="https://github.com/dequelabs/axe-core" TargetMode="External" /><Relationship Type="http://schemas.openxmlformats.org/officeDocument/2006/relationships/hyperlink" Id="rId590" Target="https://github.com/pgvector/pgvector" TargetMode="External" /><Relationship Type="http://schemas.openxmlformats.org/officeDocument/2006/relationships/hyperlink" Id="rId539" Target="https://help.medium.com/hc/en-us/articles/360036691193" TargetMode="External" /><Relationship Type="http://schemas.openxmlformats.org/officeDocument/2006/relationships/hyperlink" Id="rId551" Target="https://help.openai.com/en/articles/8555545-file-uploads-faq" TargetMode="External" /><Relationship Type="http://schemas.openxmlformats.org/officeDocument/2006/relationships/hyperlink" Id="rId578" Target="https://nextjs.org/docs" TargetMode="External" /><Relationship Type="http://schemas.openxmlformats.org/officeDocument/2006/relationships/hyperlink" Id="rId594" Target="https://orm.drizzle.team/docs/overview" TargetMode="External" /><Relationship Type="http://schemas.openxmlformats.org/officeDocument/2006/relationships/hyperlink" Id="rId576" Target="https://playwright.dev/docs/intro" TargetMode="External" /><Relationship Type="http://schemas.openxmlformats.org/officeDocument/2006/relationships/hyperlink" Id="rId559" Target="https://scrumguides.org/scrum-guide.html" TargetMode="External" /><Relationship Type="http://schemas.openxmlformats.org/officeDocument/2006/relationships/hyperlink" Id="rId541" Target="https://substack.com/about" TargetMode="External" /><Relationship Type="http://schemas.openxmlformats.org/officeDocument/2006/relationships/hyperlink" Id="rId582" Target="https://tiptap.dev/docs" TargetMode="External" /><Relationship Type="http://schemas.openxmlformats.org/officeDocument/2006/relationships/hyperlink" Id="rId561" Target="https://www.agilebusiness.org/dsdm-project-framework/moscow-prioririsation.html" TargetMode="External" /><Relationship Type="http://schemas.openxmlformats.org/officeDocument/2006/relationships/hyperlink" Id="rId537" Target="https://www.beehiiv.com/features/artificial-intelligence" TargetMode="External" /><Relationship Type="http://schemas.openxmlformats.org/officeDocument/2006/relationships/hyperlink" Id="rId531" Target="https://www.goldmansachs.com/insights/articles/the-creator-economy-could-approach-half-a-trillion-dollars-by-2027" TargetMode="External" /><Relationship Type="http://schemas.openxmlformats.org/officeDocument/2006/relationships/hyperlink" Id="rId533" Target="https://www.grammarly.com/ai" TargetMode="External" /><Relationship Type="http://schemas.openxmlformats.org/officeDocument/2006/relationships/hyperlink" Id="rId535" Target="https://www.notion.com/product/ai" TargetMode="External" /><Relationship Type="http://schemas.openxmlformats.org/officeDocument/2006/relationships/hyperlink" Id="rId564" Target="https://www.omg.org/spec/UML/2.5.1" TargetMode="External" /><Relationship Type="http://schemas.openxmlformats.org/officeDocument/2006/relationships/hyperlink" Id="rId553" Target="https://www.perplexity.ai/help-center/en/articles/10352961-what-are-spaces" TargetMode="External" /><Relationship Type="http://schemas.openxmlformats.org/officeDocument/2006/relationships/hyperlink" Id="rId572" Target="https://www.postgresql.org/docs/16/textsearch.html" TargetMode="External" /><Relationship Type="http://schemas.openxmlformats.org/officeDocument/2006/relationships/hyperlink" Id="rId588" Target="https://www.techempower.com/benchmarks/" TargetMode="External" /><Relationship Type="http://schemas.openxmlformats.org/officeDocument/2006/relationships/hyperlink" Id="rId547" Target="https://www.upwork.com/hire/writers/" TargetMode="External" /><Relationship Type="http://schemas.openxmlformats.org/officeDocument/2006/relationships/hyperlink" Id="rId616"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80" Target="https://2024.stateofjs.com/en-US/libraries/" TargetMode="External" /><Relationship Type="http://schemas.openxmlformats.org/officeDocument/2006/relationships/hyperlink" Id="rId556" Target="https://agilemanifesto.org" TargetMode="External" /><Relationship Type="http://schemas.openxmlformats.org/officeDocument/2006/relationships/hyperlink" Id="rId584" Target="https://ai-sdk.dev/docs" TargetMode="External" /><Relationship Type="http://schemas.openxmlformats.org/officeDocument/2006/relationships/hyperlink" Id="rId602" Target="https://ai.google.dev/gemini-api/docs/embeddings" TargetMode="External" /><Relationship Type="http://schemas.openxmlformats.org/officeDocument/2006/relationships/hyperlink" Id="rId549" Target="https://blog.google/technology/ai/notebooklm-goes-global-support-for-websites-slides-fact-check/" TargetMode="External" /><Relationship Type="http://schemas.openxmlformats.org/officeDocument/2006/relationships/hyperlink" Id="rId566" Target="https://cheatsheetseries.owasp.org/cheatsheets/Password_Storage_Cheat_Sheet.html" TargetMode="External" /><Relationship Type="http://schemas.openxmlformats.org/officeDocument/2006/relationships/hyperlink" Id="rId600" Target="https://console.groq.com/docs/models" TargetMode="External" /><Relationship Type="http://schemas.openxmlformats.org/officeDocument/2006/relationships/hyperlink" Id="rId545" Target="https://contently.com" TargetMode="External" /><Relationship Type="http://schemas.openxmlformats.org/officeDocument/2006/relationships/hyperlink" Id="rId612" Target="https://developer.chrome.com/docs/lighthouse/overview" TargetMode="External" /><Relationship Type="http://schemas.openxmlformats.org/officeDocument/2006/relationships/hyperlink" Id="rId596" Target="https://docs.bullmq.io" TargetMode="External" /><Relationship Type="http://schemas.openxmlformats.org/officeDocument/2006/relationships/hyperlink" Id="rId574" Target="https://docs.docker.com/compose/" TargetMode="External" /><Relationship Type="http://schemas.openxmlformats.org/officeDocument/2006/relationships/hyperlink" Id="rId586" Target="https://docs.nestjs.com" TargetMode="External" /><Relationship Type="http://schemas.openxmlformats.org/officeDocument/2006/relationships/hyperlink" Id="rId592" Target="https://doi.org/10.1016/j.is.2019.02.006" TargetMode="External" /><Relationship Type="http://schemas.openxmlformats.org/officeDocument/2006/relationships/hyperlink" Id="rId570" Target="https://doi.org/10.1109/TPAMI.2018.2889473" TargetMode="External" /><Relationship Type="http://schemas.openxmlformats.org/officeDocument/2006/relationships/hyperlink" Id="rId604" Target="https://doi.org/10.1145/1571941.1572114" TargetMode="External" /><Relationship Type="http://schemas.openxmlformats.org/officeDocument/2006/relationships/hyperlink" Id="rId610" Target="https://doi.org/10.1145/582415.582418" TargetMode="External" /><Relationship Type="http://schemas.openxmlformats.org/officeDocument/2006/relationships/hyperlink" Id="rId598" Target="https://doi.org/10.17487/RFC6749" TargetMode="External" /><Relationship Type="http://schemas.openxmlformats.org/officeDocument/2006/relationships/hyperlink" Id="rId568" Target="https://doi.org/10.17487/RFC7519" TargetMode="External" /><Relationship Type="http://schemas.openxmlformats.org/officeDocument/2006/relationships/hyperlink" Id="rId543" Target="https://ghost.org/features/" TargetMode="External" /><Relationship Type="http://schemas.openxmlformats.org/officeDocument/2006/relationships/hyperlink" Id="rId614" Target="https://github.com/dequelabs/axe-core" TargetMode="External" /><Relationship Type="http://schemas.openxmlformats.org/officeDocument/2006/relationships/hyperlink" Id="rId590" Target="https://github.com/pgvector/pgvector" TargetMode="External" /><Relationship Type="http://schemas.openxmlformats.org/officeDocument/2006/relationships/hyperlink" Id="rId539" Target="https://help.medium.com/hc/en-us/articles/360036691193" TargetMode="External" /><Relationship Type="http://schemas.openxmlformats.org/officeDocument/2006/relationships/hyperlink" Id="rId551" Target="https://help.openai.com/en/articles/8555545-file-uploads-faq" TargetMode="External" /><Relationship Type="http://schemas.openxmlformats.org/officeDocument/2006/relationships/hyperlink" Id="rId578" Target="https://nextjs.org/docs" TargetMode="External" /><Relationship Type="http://schemas.openxmlformats.org/officeDocument/2006/relationships/hyperlink" Id="rId594" Target="https://orm.drizzle.team/docs/overview" TargetMode="External" /><Relationship Type="http://schemas.openxmlformats.org/officeDocument/2006/relationships/hyperlink" Id="rId576" Target="https://playwright.dev/docs/intro" TargetMode="External" /><Relationship Type="http://schemas.openxmlformats.org/officeDocument/2006/relationships/hyperlink" Id="rId559" Target="https://scrumguides.org/scrum-guide.html" TargetMode="External" /><Relationship Type="http://schemas.openxmlformats.org/officeDocument/2006/relationships/hyperlink" Id="rId541" Target="https://substack.com/about" TargetMode="External" /><Relationship Type="http://schemas.openxmlformats.org/officeDocument/2006/relationships/hyperlink" Id="rId582" Target="https://tiptap.dev/docs" TargetMode="External" /><Relationship Type="http://schemas.openxmlformats.org/officeDocument/2006/relationships/hyperlink" Id="rId561" Target="https://www.agilebusiness.org/dsdm-project-framework/moscow-prioririsation.html" TargetMode="External" /><Relationship Type="http://schemas.openxmlformats.org/officeDocument/2006/relationships/hyperlink" Id="rId537" Target="https://www.beehiiv.com/features/artificial-intelligence" TargetMode="External" /><Relationship Type="http://schemas.openxmlformats.org/officeDocument/2006/relationships/hyperlink" Id="rId531" Target="https://www.goldmansachs.com/insights/articles/the-creator-economy-could-approach-half-a-trillion-dollars-by-2027" TargetMode="External" /><Relationship Type="http://schemas.openxmlformats.org/officeDocument/2006/relationships/hyperlink" Id="rId533" Target="https://www.grammarly.com/ai" TargetMode="External" /><Relationship Type="http://schemas.openxmlformats.org/officeDocument/2006/relationships/hyperlink" Id="rId535" Target="https://www.notion.com/product/ai" TargetMode="External" /><Relationship Type="http://schemas.openxmlformats.org/officeDocument/2006/relationships/hyperlink" Id="rId564" Target="https://www.omg.org/spec/UML/2.5.1" TargetMode="External" /><Relationship Type="http://schemas.openxmlformats.org/officeDocument/2006/relationships/hyperlink" Id="rId553" Target="https://www.perplexity.ai/help-center/en/articles/10352961-what-are-spaces" TargetMode="External" /><Relationship Type="http://schemas.openxmlformats.org/officeDocument/2006/relationships/hyperlink" Id="rId572" Target="https://www.postgresql.org/docs/16/textsearch.html" TargetMode="External" /><Relationship Type="http://schemas.openxmlformats.org/officeDocument/2006/relationships/hyperlink" Id="rId588" Target="https://www.techempower.com/benchmarks/" TargetMode="External" /><Relationship Type="http://schemas.openxmlformats.org/officeDocument/2006/relationships/hyperlink" Id="rId547" Target="https://www.upwork.com/hire/writers/" TargetMode="External" /><Relationship Type="http://schemas.openxmlformats.org/officeDocument/2006/relationships/hyperlink" Id="rId616"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2026-10-11T22:11:35Z</dcterms:created>
  <dcterms:modified xsi:type="dcterms:W3CDTF">2026-10-11T22:11:35Z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