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7.png" ContentType="image/png"/>
  <Override PartName="/word/media/rId102.png" ContentType="image/png"/>
  <Override PartName="/word/media/rId107.png" ContentType="image/png"/>
  <Override PartName="/word/media/rId113.png" ContentType="image/png"/>
  <Override PartName="/word/media/rId118.png" ContentType="image/png"/>
  <Override PartName="/word/media/rId128.png" ContentType="image/png"/>
  <Override PartName="/word/media/rId134.png" ContentType="image/png"/>
  <Override PartName="/word/media/rId138.png" ContentType="image/png"/>
  <Override PartName="/word/media/rId171.png" ContentType="image/png"/>
  <Override PartName="/word/media/rId176.png" ContentType="image/png"/>
  <Override PartName="/word/media/rId180.png" ContentType="image/png"/>
  <Override PartName="/word/media/rId216.png" ContentType="image/png"/>
  <Override PartName="/word/media/rId221.png" ContentType="image/png"/>
  <Override PartName="/word/media/rId225.png" ContentType="image/png"/>
  <Override PartName="/word/media/rId280.png" ContentType="image/png"/>
  <Override PartName="/word/media/rId267.png" ContentType="image/png"/>
  <Override PartName="/word/media/rId272.png" ContentType="image/png"/>
  <Override PartName="/word/media/rId284.png" ContentType="image/png"/>
  <Override PartName="/word/media/rId276.png" ContentType="image/png"/>
  <Override PartName="/word/media/rId230.png" ContentType="image/png"/>
  <Override PartName="/word/media/rId304.png" ContentType="image/png"/>
  <Override PartName="/word/media/rId310.png" ContentType="image/png"/>
  <Override PartName="/word/media/rId314.png" ContentType="image/png"/>
  <Override PartName="/word/media/rId318.png" ContentType="image/png"/>
  <Override PartName="/word/media/rId322.png" ContentType="image/png"/>
  <Override PartName="/word/media/rId326.png" ContentType="image/png"/>
  <Override PartName="/word/media/rId400.png" ContentType="image/png"/>
  <Override PartName="/word/media/rId330.png" ContentType="image/png"/>
  <Override PartName="/word/media/rId413.png" ContentType="image/png"/>
  <Override PartName="/word/media/rId418.png" ContentType="image/png"/>
  <Override PartName="/word/media/rId443.png" ContentType="image/png"/>
  <Override PartName="/word/media/rId448.png" ContentType="image/png"/>
  <Override PartName="/word/media/rId452.png" ContentType="image/png"/>
  <Override PartName="/word/media/rId456.png" ContentType="image/png"/>
  <Override PartName="/word/media/rId481.png" ContentType="image/png"/>
  <Override PartName="/word/media/rId486.png" ContentType="image/png"/>
  <Override PartName="/word/media/rId490.png" ContentType="image/png"/>
  <Override PartName="/word/media/rId383.png" ContentType="image/png"/>
  <Override PartName="/word/media/rId387.png" ContentType="image/png"/>
  <Override PartName="/word/media/rId391.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335.png" ContentType="image/png"/>
  <Override PartName="/word/media/rId255.png" ContentType="image/png"/>
  <Override PartName="/word/media/rId371.png" ContentType="image/png"/>
  <Override PartName="/word/media/rId289.png" ContentType="image/png"/>
  <Override PartName="/word/media/rId367.png" ContentType="image/png"/>
  <Override PartName="/word/media/rId347.png" ContentType="image/png"/>
  <Override PartName="/word/media/rId351.png" ContentType="image/png"/>
  <Override PartName="/word/media/rId355.png" ContentType="image/png"/>
  <Override PartName="/word/media/rId359.png" ContentType="image/png"/>
  <Override PartName="/word/media/rId343.png" ContentType="image/png"/>
  <Override PartName="/word/media/rId259.png" ContentType="image/png"/>
  <Override PartName="/word/media/rId293.png" ContentType="image/png"/>
  <Override PartName="/word/media/rId363.png" ContentType="image/png"/>
  <Override PartName="/word/media/rId235.png" ContentType="image/png"/>
  <Override PartName="/word/media/rId339.png" ContentType="image/png"/>
  <Override PartName="/word/media/rId163.png" ContentType="image/png"/>
  <Override PartName="/word/media/rId423.png" ContentType="image/png"/>
  <Override PartName="/word/media/rId427.png" ContentType="image/png"/>
  <Override PartName="/word/media/rId431.png" ContentType="image/png"/>
  <Override PartName="/word/media/rId435.png" ContentType="image/png"/>
  <Override PartName="/word/media/rId461.png" ContentType="image/png"/>
  <Override PartName="/word/media/rId243.png" ContentType="image/png"/>
  <Override PartName="/word/media/rId185.png" ContentType="image/png"/>
  <Override PartName="/word/media/rId189.png" ContentType="image/png"/>
  <Override PartName="/word/media/rId193.png" ContentType="image/png"/>
  <Override PartName="/word/media/rId197.png" ContentType="image/png"/>
  <Override PartName="/word/media/rId201.png" ContentType="image/png"/>
  <Override PartName="/word/media/rId205.png" ContentType="image/png"/>
  <Override PartName="/word/media/rId375.png" ContentType="image/png"/>
  <Override PartName="/word/media/rId251.png" ContentType="image/png"/>
  <Override PartName="/word/media/rId379.png" ContentType="image/png"/>
  <Override PartName="/word/media/rId239.png" ContentType="image/png"/>
  <Override PartName="/word/media/rId247.png" ContentType="image/png"/>
  <Override PartName="/word/media/rId465.png" ContentType="image/png"/>
  <Override PartName="/word/media/rId469.png" ContentType="image/png"/>
  <Override PartName="/word/media/rId495.png" ContentType="image/png"/>
  <Override PartName="/word/media/rId499.png" ContentType="image/png"/>
  <Override PartName="/word/media/rId503.png" ContentType="image/png"/>
  <Override PartName="/word/media/rId4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 visitor and reader</w:t>
      </w:r>
      <w:r>
        <w:br/>
      </w:r>
    </w:p>
    <w:p>
      <w:pPr>
        <w:pStyle w:val="BodyText"/>
      </w:pPr>
      <w:r>
        <w:t xml:space="preserve">1.4. Global use case diagram — writer</w:t>
      </w:r>
      <w:r>
        <w:br/>
      </w:r>
    </w:p>
    <w:p>
      <w:pPr>
        <w:pStyle w:val="BodyText"/>
      </w:pPr>
      <w:r>
        <w:t xml:space="preserve">1.5. Global use case diagram — magazine and administrator</w:t>
      </w:r>
      <w:r>
        <w:br/>
      </w:r>
    </w:p>
    <w:p>
      <w:pPr>
        <w:pStyle w:val="BodyText"/>
      </w:pPr>
      <w:r>
        <w:t xml:space="preserve">1.6. Class diagram: core domain</w:t>
      </w:r>
      <w:r>
        <w:br/>
      </w:r>
    </w:p>
    <w:p>
      <w:pPr>
        <w:pStyle w:val="BodyText"/>
      </w:pPr>
      <w:r>
        <w:t xml:space="preserve">1.7. Class diagram: AI, marketplace and analytics</w:t>
      </w:r>
      <w:r>
        <w:br/>
      </w:r>
    </w:p>
    <w:p>
      <w:pPr>
        <w:pStyle w:val="BodyText"/>
      </w:pPr>
      <w:r>
        <w:t xml:space="preserve">1.8.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reader</w:t>
      </w:r>
      <w:r>
        <w:br/>
      </w:r>
    </w:p>
    <w:p>
      <w:pPr>
        <w:pStyle w:val="BodyText"/>
      </w:pPr>
      <w:r>
        <w:t xml:space="preserve">8.3. Functional requirements —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83"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its classic description already warned that testing</w:t>
      </w:r>
      <w:r>
        <w:t xml:space="preserve"> </w:t>
      </w:r>
      <w:r>
        <w:t xml:space="preserve">at the end exposes design errors when they are most expensive to correct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builds the product in short iterations, each</w:t>
      </w:r>
      <w:r>
        <w:t xml:space="preserve"> </w:t>
      </w:r>
      <w:r>
        <w:t xml:space="preserve">delivering working software that is reviewed before the next is planned, and values</w:t>
      </w:r>
      <w:r>
        <w:t xml:space="preserve"> </w:t>
      </w:r>
      <w:r>
        <w:t xml:space="preserve">responding to change over following a plan</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The figure makes the deciding difference visible: in the sequential process the first</w:t>
      </w:r>
      <w:r>
        <w:t xml:space="preserve"> </w:t>
      </w:r>
      <w:r>
        <w:t xml:space="preserve">working software appears in the last phase, while in the agile process it appears at</w:t>
      </w:r>
      <w:r>
        <w:t xml:space="preserve"> </w:t>
      </w:r>
      <w:r>
        <w:t xml:space="preserve">the end of the first iteration. Inkwell.ai is built in layers that each depend on the</w:t>
      </w:r>
      <w:r>
        <w:t xml:space="preserve"> </w:t>
      </w:r>
      <w:r>
        <w:t xml:space="preserve">one below — the marketplace evaluates writers on analytics, analytics need published</w:t>
      </w:r>
      <w:r>
        <w:t xml:space="preserve"> </w:t>
      </w:r>
      <w:r>
        <w:t xml:space="preserve">articles, articles need accounts and an editor — so a defect in a lower layer must be</w:t>
      </w:r>
      <w:r>
        <w:t xml:space="preserve"> </w:t>
      </w:r>
      <w:r>
        <w:t xml:space="preserve">found before the next is built on it. Short iterations that end in working, tested</w:t>
      </w:r>
      <w:r>
        <w:t xml:space="preserve"> </w:t>
      </w:r>
      <w:r>
        <w:t xml:space="preserve">software are what that layering requires.</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figure reads from left to right: the product backlog feeds sprint planning, the</w:t>
      </w:r>
      <w:r>
        <w:t xml:space="preserve"> </w:t>
      </w:r>
      <w:r>
        <w:t xml:space="preserve">sprint backlog is built during a fixed two-week sprint, and every sprint ends with an</w:t>
      </w:r>
      <w:r>
        <w:t xml:space="preserve"> </w:t>
      </w:r>
      <w:r>
        <w:t xml:space="preserve">increment checked against the definition of done, reviewed, and followed by a</w:t>
      </w:r>
      <w:r>
        <w:t xml:space="preserve"> </w:t>
      </w:r>
      <w:r>
        <w:t xml:space="preserve">retrospective whose actions return to the next planning. What it implies for this</w:t>
      </w:r>
      <w:r>
        <w:t xml:space="preserve"> </w:t>
      </w:r>
      <w:r>
        <w:t xml:space="preserve">project is that the unit of progress is the increment, not the document: each sprint</w:t>
      </w:r>
      <w:r>
        <w:t xml:space="preserve"> </w:t>
      </w:r>
      <w:r>
        <w:t xml:space="preserve">must leave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 —</w:t>
      </w:r>
      <w:r>
        <w:t xml:space="preserve"> </w:t>
      </w:r>
      <w:r>
        <w:t xml:space="preserve">the same person moves between them by upgrading, by being read, or by subscribing —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 a database constraint enforces it —</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4198158"/>
            <wp:effectExtent b="0" l="0" r="0" t="0"/>
            <wp:docPr descr="Figure 1.3– Global use case diagram —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4198158"/>
                    </a:xfrm>
                    <a:prstGeom prst="rect">
                      <a:avLst/>
                    </a:prstGeom>
                    <a:noFill/>
                    <a:ln w="9525">
                      <a:noFill/>
                      <a:headEnd/>
                      <a:tailEnd/>
                    </a:ln>
                  </pic:spPr>
                </pic:pic>
              </a:graphicData>
            </a:graphic>
          </wp:inline>
        </w:drawing>
      </w:r>
    </w:p>
    <w:p>
      <w:pPr>
        <w:pStyle w:val="ImageCaption"/>
      </w:pPr>
      <w:r>
        <w:t xml:space="preserve">Figure 1.3– Global use case diagram — visitor and reader</w:t>
      </w:r>
    </w:p>
    <w:bookmarkEnd w:id="55"/>
    <w:p>
      <w:pPr>
        <w:pStyle w:val="BodyText"/>
      </w:pPr>
      <w:r>
        <w:t xml:space="preserve">The visitor browses the feed, reads free articles, searches, views profiles and</w:t>
      </w:r>
      <w:r>
        <w:t xml:space="preserve"> </w:t>
      </w:r>
      <w:r>
        <w:t xml:space="preserve">shares, and reaches registration from</w:t>
      </w:r>
      <w:r>
        <w:t xml:space="preserve"> </w:t>
      </w:r>
      <w:r>
        <w:rPr>
          <w:i/>
          <w:iCs/>
        </w:rPr>
        <w:t xml:space="preserve">Sign in</w:t>
      </w:r>
      <w:r>
        <w:t xml:space="preserve">:</w:t>
      </w:r>
      <w:r>
        <w:t xml:space="preserve"> </w:t>
      </w:r>
      <w:r>
        <w:rPr>
          <w:i/>
          <w:iCs/>
        </w:rPr>
        <w:t xml:space="preserve">Create an account</w:t>
      </w:r>
      <w:r>
        <w:t xml:space="preserve"> </w:t>
      </w:r>
      <w:r>
        <w:t xml:space="preserve">and</w:t>
      </w:r>
      <w:r>
        <w:t xml:space="preserve"> </w:t>
      </w:r>
      <w:r>
        <w:rPr>
          <w:i/>
          <w:iCs/>
        </w:rPr>
        <w:t xml:space="preserve">Sign in with</w:t>
      </w:r>
      <w:r>
        <w:rPr>
          <w:i/>
          <w:iCs/>
        </w:rPr>
        <w:t xml:space="preserve"> </w:t>
      </w:r>
      <w:r>
        <w:rPr>
          <w:i/>
          <w:iCs/>
        </w:rPr>
        <w:t xml:space="preserve">Google</w:t>
      </w:r>
      <w:r>
        <w:t xml:space="preserve"> </w:t>
      </w:r>
      <w:r>
        <w:t xml:space="preserve">both extend it. The reader inherits all of this and adds the social use</w:t>
      </w:r>
      <w:r>
        <w:t xml:space="preserve"> </w:t>
      </w:r>
      <w:r>
        <w:t xml:space="preserve">cases — liking, commenting and replying, liking a comment, reposting, saving,</w:t>
      </w:r>
      <w:r>
        <w:t xml:space="preserve"> </w:t>
      </w:r>
      <w:r>
        <w:t xml:space="preserve">following, blocking, reporting — together with notifications, the profile and the</w:t>
      </w:r>
      <w:r>
        <w:t xml:space="preserve"> </w:t>
      </w:r>
      <w:r>
        <w:t xml:space="preserve">upgrade to premium. The premium plan does not make a new actor:</w:t>
      </w:r>
      <w:r>
        <w:t xml:space="preserve"> </w:t>
      </w:r>
      <w:r>
        <w:rPr>
          <w:i/>
          <w:iCs/>
        </w:rPr>
        <w:t xml:space="preserve">Read a premium</w:t>
      </w:r>
      <w:r>
        <w:rPr>
          <w:i/>
          <w:iCs/>
        </w:rPr>
        <w:t xml:space="preserve"> </w:t>
      </w:r>
      <w:r>
        <w:rPr>
          <w:i/>
          <w:iCs/>
        </w:rPr>
        <w:t xml:space="preserve">article</w:t>
      </w:r>
      <w:r>
        <w:t xml:space="preserve"> </w:t>
      </w:r>
      <w:r>
        <w:t xml:space="preserve">extends</w:t>
      </w:r>
      <w:r>
        <w:t xml:space="preserve"> </w:t>
      </w:r>
      <w:r>
        <w:rPr>
          <w:i/>
          <w:iCs/>
        </w:rPr>
        <w:t xml:space="preserve">Read an article</w:t>
      </w:r>
      <w:r>
        <w:t xml:space="preserve"> </w:t>
      </w:r>
      <w:r>
        <w:t xml:space="preserve">under the condition</w:t>
      </w:r>
      <w:r>
        <w:t xml:space="preserve"> </w:t>
      </w:r>
      <w:r>
        <w:rPr>
          <w:rStyle w:val="VerbatimChar"/>
        </w:rPr>
        <w:t xml:space="preserve">[plan = premium]</w:t>
      </w:r>
      <w:r>
        <w:t xml:space="preserve">. The</w:t>
      </w:r>
      <w:r>
        <w:t xml:space="preserve"> </w:t>
      </w:r>
      <w:r>
        <w:t xml:space="preserve">diagram shows that the reader’s use cases are all small, independent interactions</w:t>
      </w:r>
      <w:r>
        <w:t xml:space="preserve"> </w:t>
      </w:r>
      <w:r>
        <w:t xml:space="preserve">with one article or one account, which is why each is delivered by a short story of</w:t>
      </w:r>
      <w:r>
        <w:t xml:space="preserve"> </w:t>
      </w:r>
      <w:r>
        <w:t xml:space="preserve">the backlog.</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3069482"/>
            <wp:effectExtent b="0" l="0" r="0" t="0"/>
            <wp:docPr descr="Figure 1.4– Global use case diagram —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3069482"/>
                    </a:xfrm>
                    <a:prstGeom prst="rect">
                      <a:avLst/>
                    </a:prstGeom>
                    <a:noFill/>
                    <a:ln w="9525">
                      <a:noFill/>
                      <a:headEnd/>
                      <a:tailEnd/>
                    </a:ln>
                  </pic:spPr>
                </pic:pic>
              </a:graphicData>
            </a:graphic>
          </wp:inline>
        </w:drawing>
      </w:r>
    </w:p>
    <w:p>
      <w:pPr>
        <w:pStyle w:val="ImageCaption"/>
      </w:pPr>
      <w:r>
        <w:t xml:space="preserve">Figure 1.4– Global use case diagram — writer</w:t>
      </w:r>
    </w:p>
    <w:bookmarkEnd w:id="59"/>
    <w:p>
      <w:pPr>
        <w:pStyle w:val="BodyText"/>
      </w:pPr>
      <w:r>
        <w:t xml:space="preserve">The writer inherits the reader’s use cases and adds three groups: writing (drafting</w:t>
      </w:r>
      <w:r>
        <w:t xml:space="preserve"> </w:t>
      </w:r>
      <w:r>
        <w:t xml:space="preserve">with automatic saving, images, publishing with a placement and a visibility,</w:t>
      </w:r>
      <w:r>
        <w:t xml:space="preserve"> </w:t>
      </w:r>
      <w:r>
        <w:t xml:space="preserve">withdrawing a listing, deleting), the assistant (asking, inline actions, a write into</w:t>
      </w:r>
      <w:r>
        <w:t xml:space="preserve"> </w:t>
      </w:r>
      <w:r>
        <w:t xml:space="preserve">the draft that the writer keeps or discards, dictation, replies read aloud, documents</w:t>
      </w:r>
      <w:r>
        <w:t xml:space="preserve"> </w:t>
      </w:r>
      <w:r>
        <w:t xml:space="preserve">uploaded, attached and cited by page), and the writer’s own figures (analytics,</w:t>
      </w:r>
      <w:r>
        <w:t xml:space="preserve"> </w:t>
      </w:r>
      <w:r>
        <w:t xml:space="preserve">eligibility progress, earnings). Eligibility appears as a condition, not an actor:</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Every use of the assistant includes</w:t>
      </w:r>
      <w:r>
        <w:t xml:space="preserve"> </w:t>
      </w:r>
      <w:r>
        <w:rPr>
          <w:i/>
          <w:iCs/>
        </w:rPr>
        <w:t xml:space="preserve">Consume the AI</w:t>
      </w:r>
      <w:r>
        <w:rPr>
          <w:i/>
          <w:iCs/>
        </w:rPr>
        <w:t xml:space="preserve"> </w:t>
      </w:r>
      <w:r>
        <w:rPr>
          <w:i/>
          <w:iCs/>
        </w:rPr>
        <w:t xml:space="preserve">allowance</w:t>
      </w:r>
      <w:r>
        <w:t xml:space="preserve">, which only the premium plan grants. The diagram shows where the</w:t>
      </w:r>
      <w:r>
        <w:t xml:space="preserve"> </w:t>
      </w:r>
      <w:r>
        <w:t xml:space="preserve">complexity of the platform lies: the writer has the most use cases, and most of the</w:t>
      </w:r>
      <w:r>
        <w:t xml:space="preserve"> </w:t>
      </w:r>
      <w:r>
        <w:t xml:space="preserve">inclusions and extensions sit around</w:t>
      </w:r>
      <w:r>
        <w:t xml:space="preserve"> </w:t>
      </w:r>
      <w:r>
        <w:rPr>
          <w:i/>
          <w:iCs/>
        </w:rPr>
        <w:t xml:space="preserve">Publish an article</w:t>
      </w:r>
      <w:r>
        <w:t xml:space="preserve"> </w:t>
      </w:r>
      <w:r>
        <w:t xml:space="preserve">and</w:t>
      </w:r>
      <w:r>
        <w:t xml:space="preserve"> </w:t>
      </w:r>
      <w:r>
        <w:rPr>
          <w:i/>
          <w:iCs/>
        </w:rPr>
        <w:t xml:space="preserve">Ask the assistant</w:t>
      </w:r>
      <w:r>
        <w:t xml:space="preserve">.</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3905864"/>
            <wp:effectExtent b="0" l="0" r="0" t="0"/>
            <wp:docPr descr="Figure 1.5– Global use case diagram —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3905864"/>
                    </a:xfrm>
                    <a:prstGeom prst="rect">
                      <a:avLst/>
                    </a:prstGeom>
                    <a:noFill/>
                    <a:ln w="9525">
                      <a:noFill/>
                      <a:headEnd/>
                      <a:tailEnd/>
                    </a:ln>
                  </pic:spPr>
                </pic:pic>
              </a:graphicData>
            </a:graphic>
          </wp:inline>
        </w:drawing>
      </w:r>
    </w:p>
    <w:p>
      <w:pPr>
        <w:pStyle w:val="ImageCaption"/>
      </w:pPr>
      <w:r>
        <w:t xml:space="preserve">Figure 1.5– Global use case diagram — magazine and administrator</w:t>
      </w:r>
    </w:p>
    <w:bookmarkEnd w:id="63"/>
    <w:p>
      <w:pPr>
        <w:pStyle w:val="BodyText"/>
      </w:pPr>
      <w:r>
        <w:t xml:space="preserve">A magazine subscribes, tops up credits, cancels and follows its balance; with an</w:t>
      </w:r>
      <w:r>
        <w:t xml:space="preserve"> </w:t>
      </w:r>
      <w:r>
        <w:t xml:space="preserve">active subscription it browses writers, reads their evaluation (extended by the</w:t>
      </w:r>
      <w:r>
        <w:t xml:space="preserve"> </w:t>
      </w:r>
      <w:r>
        <w:t xml:space="preserve">generation of portfolio insights), browses the marketplace, purchases an article</w:t>
      </w:r>
      <w:r>
        <w:t xml:space="preserve"> </w:t>
      </w:r>
      <w:r>
        <w:t xml:space="preserve">(extended by a preview unlock), keeps it in its library and publishes it. The four</w:t>
      </w:r>
      <w:r>
        <w:t xml:space="preserve"> </w:t>
      </w:r>
      <w:r>
        <w:t xml:space="preserve">marketplace use cases include</w:t>
      </w:r>
      <w:r>
        <w:t xml:space="preserve"> </w:t>
      </w:r>
      <w:r>
        <w:rPr>
          <w:i/>
          <w:iCs/>
        </w:rPr>
        <w:t xml:space="preserve">Check the active subscription</w:t>
      </w:r>
      <w:r>
        <w:t xml:space="preserve">: the subscription is</w:t>
      </w:r>
      <w:r>
        <w:t xml:space="preserve"> </w:t>
      </w:r>
      <w:r>
        <w:t xml:space="preserve">the gate, not a different actor. The administrator works the report queue — dismissing</w:t>
      </w:r>
      <w:r>
        <w:t xml:space="preserve"> </w:t>
      </w:r>
      <w:r>
        <w:t xml:space="preserve">a report, removing an article or banning its author — searches users, changes a plan</w:t>
      </w:r>
      <w:r>
        <w:t xml:space="preserve"> </w:t>
      </w:r>
      <w:r>
        <w:t xml:space="preserve">and grants eligibility. Drawing the two actors side by side without a generalisation</w:t>
      </w:r>
      <w:r>
        <w:t xml:space="preserve"> </w:t>
      </w:r>
      <w:r>
        <w:t xml:space="preserve">shows the answer to a question the single diagram left open: neither the magazine nor</w:t>
      </w:r>
      <w:r>
        <w:t xml:space="preserve"> </w:t>
      </w:r>
      <w:r>
        <w:t xml:space="preserve">the administrator is a kind of reader or writer.</w:t>
      </w:r>
    </w:p>
    <w:bookmarkEnd w:id="64"/>
    <w:bookmarkStart w:id="73"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two figures. Attributes are shown with domain types</w:t>
      </w:r>
      <w:r>
        <w:t xml:space="preserve"> </w:t>
      </w:r>
      <w:r>
        <w:t xml:space="preserve">(</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Each class shows the main</w:t>
      </w:r>
      <w:r>
        <w:t xml:space="preserve"> </w:t>
      </w:r>
      <w:r>
        <w:rPr>
          <w:b/>
          <w:bCs/>
        </w:rPr>
        <w:t xml:space="preserve">operations</w:t>
      </w:r>
      <w:r>
        <w:t xml:space="preserve"> </w:t>
      </w:r>
      <w:r>
        <w:t xml:space="preserve">it supports; they are implemented by the service of the same domain</w:t>
      </w:r>
      <w:r>
        <w:t xml:space="preserve"> </w:t>
      </w:r>
      <w:r>
        <w:t xml:space="preserve">(for instance</w:t>
      </w:r>
      <w:r>
        <w:t xml:space="preserve"> </w:t>
      </w:r>
      <w:r>
        <w:rPr>
          <w:rStyle w:val="VerbatimChar"/>
        </w:rPr>
        <w:t xml:space="preserve">Article.publish()</w:t>
      </w:r>
      <w:r>
        <w:t xml:space="preserve"> </w:t>
      </w:r>
      <w:r>
        <w:t xml:space="preserve">by the articles service), because the classes are</w:t>
      </w:r>
      <w:r>
        <w:t xml:space="preserve"> </w:t>
      </w:r>
      <w:r>
        <w:t xml:space="preserve">persisted records and the behaviour lives in the service layer. Relationships that</w:t>
      </w:r>
      <w:r>
        <w:t xml:space="preserve"> </w:t>
      </w:r>
      <w:r>
        <w:t xml:space="preserve">carry nothing but a pair and a date — likes, comment likes, reposts, saves, follows,</w:t>
      </w:r>
      <w:r>
        <w:t xml:space="preserve"> </w:t>
      </w:r>
      <w:r>
        <w:t xml:space="preserve">blocks, tags — are drawn as many-to-many associations; each is stored as a join table</w:t>
      </w:r>
      <w:r>
        <w:t xml:space="preserve"> </w:t>
      </w:r>
      <w:r>
        <w:t xml:space="preserve">with a unique constraint on its pair. The operations that create them —</w:t>
      </w:r>
      <w:r>
        <w:t xml:space="preserve">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save()</w:t>
      </w:r>
      <w:r>
        <w:t xml:space="preserve">,</w:t>
      </w:r>
      <w:r>
        <w:t xml:space="preserve"> </w:t>
      </w:r>
      <w:r>
        <w:rPr>
          <w:rStyle w:val="VerbatimChar"/>
        </w:rPr>
        <w:t xml:space="preserve">follow()</w:t>
      </w:r>
      <w:r>
        <w:t xml:space="preserve">,</w:t>
      </w:r>
      <w:r>
        <w:t xml:space="preserve"> </w:t>
      </w:r>
      <w:r>
        <w:rPr>
          <w:rStyle w:val="VerbatimChar"/>
        </w:rPr>
        <w:t xml:space="preserve">block()</w:t>
      </w:r>
      <w:r>
        <w:t xml:space="preserve">,</w:t>
      </w:r>
      <w:r>
        <w:t xml:space="preserve"> </w:t>
      </w:r>
      <w:r>
        <w:rPr>
          <w:rStyle w:val="VerbatimChar"/>
        </w:rPr>
        <w:t xml:space="preserve">likeComment()</w:t>
      </w:r>
      <w:r>
        <w:t xml:space="preserve"> </w:t>
      </w:r>
      <w:r>
        <w:t xml:space="preserve">— belong to</w:t>
      </w:r>
      <w:r>
        <w:t xml:space="preserve"> </w:t>
      </w:r>
      <w:r>
        <w:rPr>
          <w:rStyle w:val="VerbatimChar"/>
        </w:rPr>
        <w:t xml:space="preserve">User</w:t>
      </w:r>
      <w:r>
        <w:t xml:space="preserve">, the class that acts.</w:t>
      </w:r>
    </w:p>
    <w:p>
      <w:pPr>
        <w:pStyle w:val="BodyText"/>
      </w:pPr>
      <w:r>
        <w:rPr>
          <w:b/>
          <w:bCs/>
        </w:rPr>
        <w:t xml:space="preserve">Core domain.</w:t>
      </w:r>
      <w:r>
        <w:t xml:space="preserve"> </w:t>
      </w:r>
      <w:hyperlink w:anchor="fig:classes-core">
        <w:r>
          <w:rPr>
            <w:rStyle w:val="Hyperlink"/>
          </w:rPr>
          <w:t xml:space="preserve">Figure 1.6</w:t>
        </w:r>
      </w:hyperlink>
      <w:r>
        <w:t xml:space="preserve"> </w:t>
      </w:r>
      <w:r>
        <w:t xml:space="preserve">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w:t>
      </w:r>
      <w:r>
        <w:t xml:space="preserve"> </w:t>
      </w:r>
      <w:r>
        <w:t xml:space="preserve">visibility and price, tags, threaded comments, notifications and reports.</w:t>
      </w:r>
    </w:p>
    <w:bookmarkStart w:id="68" w:name="fig:classes-core"/>
    <w:p>
      <w:pPr>
        <w:pStyle w:val="CaptionedFigure"/>
      </w:pPr>
      <w:r>
        <w:drawing>
          <wp:inline>
            <wp:extent cx="5334000" cy="2338074"/>
            <wp:effectExtent b="0" l="0" r="0" t="0"/>
            <wp:docPr descr="Figure 1.6– Class diagram: core domain" title="" id="66" name="Picture"/>
            <a:graphic>
              <a:graphicData uri="http://schemas.openxmlformats.org/drawingml/2006/picture">
                <pic:pic>
                  <pic:nvPicPr>
                    <pic:cNvPr descr="../diagrams/fig-2-2-classes-core-domain/fig-2-2-classes-core-domain.png" id="67" name="Picture"/>
                    <pic:cNvPicPr>
                      <a:picLocks noChangeArrowheads="1" noChangeAspect="1"/>
                    </pic:cNvPicPr>
                  </pic:nvPicPr>
                  <pic:blipFill>
                    <a:blip r:embed="rId65"/>
                    <a:stretch>
                      <a:fillRect/>
                    </a:stretch>
                  </pic:blipFill>
                  <pic:spPr bwMode="auto">
                    <a:xfrm>
                      <a:off x="0" y="0"/>
                      <a:ext cx="5334000" cy="2338074"/>
                    </a:xfrm>
                    <a:prstGeom prst="rect">
                      <a:avLst/>
                    </a:prstGeom>
                    <a:noFill/>
                    <a:ln w="9525">
                      <a:noFill/>
                      <a:headEnd/>
                      <a:tailEnd/>
                    </a:ln>
                  </pic:spPr>
                </pic:pic>
              </a:graphicData>
            </a:graphic>
          </wp:inline>
        </w:drawing>
      </w:r>
    </w:p>
    <w:p>
      <w:pPr>
        <w:pStyle w:val="ImageCaption"/>
      </w:pPr>
      <w:r>
        <w:t xml:space="preserve">Figure 1.6– Class diagram: core domain</w:t>
      </w:r>
    </w:p>
    <w:bookmarkEnd w:id="68"/>
    <w:p>
      <w:pPr>
        <w:pStyle w:val="BodyText"/>
      </w:pPr>
      <w:r>
        <w:t xml:space="preserve">The diagram shows that the social layer adds no entity of its own: every interaction</w:t>
      </w:r>
      <w:r>
        <w:t xml:space="preserve"> </w:t>
      </w:r>
      <w:r>
        <w:t xml:space="preserve">is an association between a user and an article, a comment or another user. That is</w:t>
      </w:r>
      <w:r>
        <w:t xml:space="preserve"> </w:t>
      </w:r>
      <w:r>
        <w:t xml:space="preserve">what makes interactions cheap to count for analytics and impossible to duplicate,</w:t>
      </w:r>
      <w:r>
        <w:t xml:space="preserve"> </w:t>
      </w:r>
      <w:r>
        <w:t xml:space="preserve">since the unique pair constraint turns a repeated like into a no-op.</w:t>
      </w:r>
      <w:r>
        <w:t xml:space="preserve"> </w:t>
      </w:r>
      <w:r>
        <w:rPr>
          <w:rStyle w:val="VerbatimChar"/>
        </w:rPr>
        <w:t xml:space="preserve">Article.publisherId</w:t>
      </w:r>
      <w:r>
        <w:t xml:space="preserve"> </w:t>
      </w:r>
      <w:r>
        <w:t xml:space="preserve">names the magazine that published a licensed article and is</w:t>
      </w:r>
      <w:r>
        <w:t xml:space="preserve"> </w:t>
      </w:r>
      <w:r>
        <w:t xml:space="preserve">empty for every other article; it is the single attribute through which the</w:t>
      </w:r>
      <w:r>
        <w:t xml:space="preserve"> </w:t>
      </w:r>
      <w:r>
        <w:t xml:space="preserve">marketplace changes the core model.</w:t>
      </w:r>
    </w:p>
    <w:p>
      <w:pPr>
        <w:pStyle w:val="BodyText"/>
      </w:pPr>
      <w:r>
        <w:rPr>
          <w:b/>
          <w:bCs/>
        </w:rPr>
        <w:t xml:space="preserve">AI, marketplace and analytics.</w:t>
      </w:r>
      <w:r>
        <w:t xml:space="preserve"> </w:t>
      </w:r>
      <w:hyperlink w:anchor="fig:classes-ai">
        <w:r>
          <w:rPr>
            <w:rStyle w:val="Hyperlink"/>
          </w:rPr>
          <w:t xml:space="preserve">Figure 1.7</w:t>
        </w:r>
      </w:hyperlink>
      <w:r>
        <w:t xml:space="preserve"> </w:t>
      </w:r>
      <w:r>
        <w:t xml:space="preserve">shows the remaining tables: the</w:t>
      </w:r>
      <w:r>
        <w:t xml:space="preserve"> </w:t>
      </w:r>
      <w:r>
        <w:t xml:space="preserve">article chunks embedded for retrieval, the writer memory, the cached portfolio</w:t>
      </w:r>
      <w:r>
        <w:t xml:space="preserve"> </w:t>
      </w:r>
      <w:r>
        <w:t xml:space="preserve">insights and the AI interaction log; the private document library and its chunks;</w:t>
      </w:r>
      <w:r>
        <w:t xml:space="preserve"> </w:t>
      </w:r>
      <w:r>
        <w:t xml:space="preserve">purchases, ledger transactions, magazine subscriptions and the eligibility audit log;</w:t>
      </w:r>
      <w:r>
        <w:t xml:space="preserve"> </w:t>
      </w:r>
      <w:r>
        <w:t xml:space="preserve">and the raw analytics events with the four metric rollups.</w:t>
      </w:r>
    </w:p>
    <w:bookmarkStart w:id="72" w:name="fig:classes-ai"/>
    <w:p>
      <w:pPr>
        <w:pStyle w:val="CaptionedFigure"/>
      </w:pPr>
      <w:r>
        <w:drawing>
          <wp:inline>
            <wp:extent cx="5334000" cy="3356847"/>
            <wp:effectExtent b="0" l="0" r="0" t="0"/>
            <wp:docPr descr="Figure 1.7– Class diagram: AI, marketplace and analytics" title="" id="70" name="Picture"/>
            <a:graphic>
              <a:graphicData uri="http://schemas.openxmlformats.org/drawingml/2006/picture">
                <pic:pic>
                  <pic:nvPicPr>
                    <pic:cNvPr descr="../diagrams/fig-2-3-classes-ai-marketplace-analytics/fig-2-3-classes-ai-marketplace-analytics.png" id="71" name="Picture"/>
                    <pic:cNvPicPr>
                      <a:picLocks noChangeArrowheads="1" noChangeAspect="1"/>
                    </pic:cNvPicPr>
                  </pic:nvPicPr>
                  <pic:blipFill>
                    <a:blip r:embed="rId69"/>
                    <a:stretch>
                      <a:fillRect/>
                    </a:stretch>
                  </pic:blipFill>
                  <pic:spPr bwMode="auto">
                    <a:xfrm>
                      <a:off x="0" y="0"/>
                      <a:ext cx="5334000" cy="3356847"/>
                    </a:xfrm>
                    <a:prstGeom prst="rect">
                      <a:avLst/>
                    </a:prstGeom>
                    <a:noFill/>
                    <a:ln w="9525">
                      <a:noFill/>
                      <a:headEnd/>
                      <a:tailEnd/>
                    </a:ln>
                  </pic:spPr>
                </pic:pic>
              </a:graphicData>
            </a:graphic>
          </wp:inline>
        </w:drawing>
      </w:r>
    </w:p>
    <w:p>
      <w:pPr>
        <w:pStyle w:val="ImageCaption"/>
      </w:pPr>
      <w:r>
        <w:t xml:space="preserve">Figure 1.7– Class diagram: AI, marketplace and analytics</w:t>
      </w:r>
    </w:p>
    <w:bookmarkEnd w:id="72"/>
    <w:p>
      <w:pPr>
        <w:pStyle w:val="BodyText"/>
      </w:pPr>
      <w:r>
        <w:t xml:space="preserve">Two properties follow from this diagram. Money is never a single number: a</w:t>
      </w:r>
      <w:r>
        <w:t xml:space="preserve"> </w:t>
      </w:r>
      <w:r>
        <w:rPr>
          <w:rStyle w:val="VerbatimChar"/>
        </w:rPr>
        <w:t xml:space="preserve">Purchase</w:t>
      </w:r>
      <w:r>
        <w:t xml:space="preserve"> </w:t>
      </w:r>
      <w:r>
        <w:t xml:space="preserve">records two to three</w:t>
      </w:r>
      <w:r>
        <w:t xml:space="preserve"> </w:t>
      </w:r>
      <w:r>
        <w:rPr>
          <w:rStyle w:val="VerbatimChar"/>
        </w:rPr>
        <w:t xml:space="preserve">Transaction</w:t>
      </w:r>
      <w:r>
        <w:t xml:space="preserve"> </w:t>
      </w:r>
      <w:r>
        <w:t xml:space="preserve">rows, and every balance can be</w:t>
      </w:r>
      <w:r>
        <w:t xml:space="preserve"> </w:t>
      </w:r>
      <w:r>
        <w:t xml:space="preserve">recomputed from them, which is what the ledger invariants of NFR-19 check. And the</w:t>
      </w:r>
      <w:r>
        <w:t xml:space="preserve"> </w:t>
      </w:r>
      <w:r>
        <w:t xml:space="preserve">analytics are layered: raw</w:t>
      </w:r>
      <w:r>
        <w:t xml:space="preserve"> </w:t>
      </w:r>
      <w:r>
        <w:rPr>
          <w:rStyle w:val="VerbatimChar"/>
        </w:rPr>
        <w:t xml:space="preserve">AnalyticsEvent</w:t>
      </w:r>
      <w:r>
        <w:t xml:space="preserve"> </w:t>
      </w:r>
      <w:r>
        <w:t xml:space="preserve">rows are written once and never read by a</w:t>
      </w:r>
      <w:r>
        <w:t xml:space="preserve"> </w:t>
      </w:r>
      <w:r>
        <w:t xml:space="preserve">dashboard, which reads only the rollups, so a dashboard’s cost does not grow with the</w:t>
      </w:r>
      <w:r>
        <w:t xml:space="preserve"> </w:t>
      </w:r>
      <w:r>
        <w:t xml:space="preserve">event log (NFR-15).</w:t>
      </w:r>
    </w:p>
    <w:bookmarkEnd w:id="73"/>
    <w:bookmarkStart w:id="7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74"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74"/>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75"/>
    <w:bookmarkStart w:id="8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76"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7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1.8</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80" w:name="fig:gantt"/>
    <w:p>
      <w:pPr>
        <w:pStyle w:val="CaptionedFigure"/>
      </w:pPr>
      <w:r>
        <w:drawing>
          <wp:inline>
            <wp:extent cx="5334000" cy="2764335"/>
            <wp:effectExtent b="0" l="0" r="0" t="0"/>
            <wp:docPr descr="Figure 1.8–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1.8– Gantt chart of the project</w:t>
      </w:r>
    </w:p>
    <w:bookmarkEnd w:id="80"/>
    <w:p>
      <w:pPr>
        <w:pStyle w:val="BodyText"/>
      </w:pPr>
      <w:r>
        <w:t xml:space="preserve">The chart shows the one break in the rhythm of the sprints: the six weeks of the design</w:t>
      </w:r>
      <w:r>
        <w:t xml:space="preserve"> </w:t>
      </w:r>
      <w:r>
        <w:t xml:space="preserve">track between Sprint 1 and Sprint 2. Placing them there was deliberate — the editor</w:t>
      </w:r>
      <w:r>
        <w:t xml:space="preserve"> </w:t>
      </w:r>
      <w:r>
        <w:t xml:space="preserve">and the social features of Sprint 2 onwards were built from finished screens rather</w:t>
      </w:r>
      <w:r>
        <w:t xml:space="preserve"> </w:t>
      </w:r>
      <w:r>
        <w:t xml:space="preserve">than designed while being coded — and it is the reason the first release spans two</w:t>
      </w:r>
      <w:r>
        <w:t xml:space="preserve"> </w:t>
      </w:r>
      <w:r>
        <w:t xml:space="preserve">months instead of one.</w:t>
      </w:r>
    </w:p>
    <w:bookmarkEnd w:id="81"/>
    <w:bookmarkStart w:id="82"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82"/>
    <w:bookmarkEnd w:id="83"/>
    <w:bookmarkStart w:id="124"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84"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84"/>
    <w:bookmarkStart w:id="91" w:name="working-environment"/>
    <w:p>
      <w:pPr>
        <w:pStyle w:val="Heading2"/>
      </w:pPr>
      <w:r>
        <w:rPr>
          <w:rStyle w:val="SectionNumber"/>
        </w:rPr>
        <w:t xml:space="preserve">2.1</w:t>
      </w:r>
      <w:r>
        <w:tab/>
      </w:r>
      <w:r>
        <w:t xml:space="preserve">Working environment</w:t>
      </w:r>
    </w:p>
    <w:bookmarkStart w:id="86"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85"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85"/>
    <w:bookmarkEnd w:id="86"/>
    <w:bookmarkStart w:id="88"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87"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87"/>
    <w:bookmarkEnd w:id="88"/>
    <w:bookmarkStart w:id="89"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9"/>
    <w:bookmarkStart w:id="90"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0"/>
    <w:bookmarkEnd w:id="91"/>
    <w:bookmarkStart w:id="99"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93"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92"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92"/>
    <w:bookmarkEnd w:id="93"/>
    <w:bookmarkStart w:id="95"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94"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94"/>
    <w:bookmarkEnd w:id="95"/>
    <w:bookmarkStart w:id="97"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96"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96"/>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97"/>
    <w:bookmarkStart w:id="98"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98"/>
    <w:bookmarkEnd w:id="99"/>
    <w:bookmarkStart w:id="101"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100"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00"/>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01"/>
    <w:bookmarkStart w:id="112" w:name="logical-architecture"/>
    <w:p>
      <w:pPr>
        <w:pStyle w:val="Heading2"/>
      </w:pPr>
      <w:r>
        <w:rPr>
          <w:rStyle w:val="SectionNumber"/>
        </w:rPr>
        <w:t xml:space="preserve">2.4</w:t>
      </w:r>
      <w:r>
        <w:tab/>
      </w:r>
      <w:r>
        <w:t xml:space="preserve">Logical architecture</w:t>
      </w:r>
    </w:p>
    <w:bookmarkStart w:id="106"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05" w:name="fig:arch-frontend"/>
    <w:p>
      <w:pPr>
        <w:pStyle w:val="CaptionedFigure"/>
      </w:pPr>
      <w:r>
        <w:drawing>
          <wp:inline>
            <wp:extent cx="5334000" cy="2814734"/>
            <wp:effectExtent b="0" l="0" r="0" t="0"/>
            <wp:docPr descr="Figure 2.1– Logical frontend architecture" title="" id="103" name="Picture"/>
            <a:graphic>
              <a:graphicData uri="http://schemas.openxmlformats.org/drawingml/2006/picture">
                <pic:pic>
                  <pic:nvPicPr>
                    <pic:cNvPr descr="../diagrams/fig-3-1-architecture-frontend/fig-3-1-architecture-frontend.png" id="104" name="Picture"/>
                    <pic:cNvPicPr>
                      <a:picLocks noChangeArrowheads="1" noChangeAspect="1"/>
                    </pic:cNvPicPr>
                  </pic:nvPicPr>
                  <pic:blipFill>
                    <a:blip r:embed="rId102"/>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05"/>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among them the editor, the</w:t>
      </w:r>
      <w:r>
        <w:t xml:space="preserve"> </w:t>
      </w:r>
      <w:r>
        <w:t xml:space="preserve">assistant, documents, the marketplace and the evaluation report). A</w:t>
      </w:r>
      <w:r>
        <w:t xml:space="preserve"> </w:t>
      </w:r>
      <w:r>
        <w:rPr>
          <w:b/>
          <w:bCs/>
        </w:rPr>
        <w:t xml:space="preserve">state and data</w:t>
      </w:r>
      <w:r>
        <w:t xml:space="preserve"> </w:t>
      </w:r>
      <w:r>
        <w:t xml:space="preserve">layer holds the query cache, the client stores, the HTTP interceptors that refresh an</w:t>
      </w:r>
      <w:r>
        <w:t xml:space="preserve"> </w:t>
      </w:r>
      <w:r>
        <w:t xml:space="preserve">expired access token and retry the request, and the analytics tracker. A</w:t>
      </w:r>
      <w:r>
        <w:t xml:space="preserve"> </w:t>
      </w:r>
      <w:r>
        <w:rPr>
          <w:b/>
          <w:bCs/>
        </w:rPr>
        <w:t xml:space="preserve">request</w:t>
      </w:r>
      <w:r>
        <w:rPr>
          <w:b/>
          <w:bCs/>
        </w:rPr>
        <w:t xml:space="preserve"> </w:t>
      </w:r>
      <w:r>
        <w:rPr>
          <w:b/>
          <w:bCs/>
        </w:rPr>
        <w:t xml:space="preserve">proxy</w:t>
      </w:r>
      <w:r>
        <w:t xml:space="preserve"> </w:t>
      </w:r>
      <w:r>
        <w:t xml:space="preserve">protects private routes before a page renders. Two channels bypass the REST</w:t>
      </w:r>
      <w:r>
        <w:t xml:space="preserve"> </w:t>
      </w:r>
      <w:r>
        <w:t xml:space="preserve">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w:t>
      </w:r>
      <w:r>
        <w:t xml:space="preserve"> </w:t>
      </w:r>
      <w:r>
        <w:t xml:space="preserve">to object storage. The figure shows that no feature module talks to the network</w:t>
      </w:r>
      <w:r>
        <w:t xml:space="preserve"> </w:t>
      </w:r>
      <w:r>
        <w:t xml:space="preserve">directly: they go through the data layer, which is why token refresh and error</w:t>
      </w:r>
      <w:r>
        <w:t xml:space="preserve"> </w:t>
      </w:r>
      <w:r>
        <w:t xml:space="preserve">handling are written once.</w:t>
      </w:r>
    </w:p>
    <w:bookmarkEnd w:id="106"/>
    <w:bookmarkStart w:id="111"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10" w:name="fig:arch-backend"/>
    <w:p>
      <w:pPr>
        <w:pStyle w:val="CaptionedFigure"/>
      </w:pPr>
      <w:r>
        <w:drawing>
          <wp:inline>
            <wp:extent cx="5334000" cy="3720719"/>
            <wp:effectExtent b="0" l="0" r="0" t="0"/>
            <wp:docPr descr="Figure 2.2– Logical backend architecture" title="" id="108" name="Picture"/>
            <a:graphic>
              <a:graphicData uri="http://schemas.openxmlformats.org/drawingml/2006/picture">
                <pic:pic>
                  <pic:nvPicPr>
                    <pic:cNvPr descr="../diagrams/fig-3-2-architecture-backend/fig-3-2-architecture-backend.png" id="109" name="Picture"/>
                    <pic:cNvPicPr>
                      <a:picLocks noChangeArrowheads="1" noChangeAspect="1"/>
                    </pic:cNvPicPr>
                  </pic:nvPicPr>
                  <pic:blipFill>
                    <a:blip r:embed="rId107"/>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10"/>
    <w:p>
      <w:pPr>
        <w:pStyle w:val="BodyText"/>
      </w:pPr>
      <w:r>
        <w:t xml:space="preserve">The</w:t>
      </w:r>
      <w:r>
        <w:t xml:space="preserve"> </w:t>
      </w:r>
      <w:r>
        <w:rPr>
          <w:b/>
          <w:bCs/>
        </w:rPr>
        <w:t xml:space="preserve">API</w:t>
      </w:r>
      <w:r>
        <w:t xml:space="preserve"> </w:t>
      </w:r>
      <w:r>
        <w:t xml:space="preserve">is a modular NestJS application: a global rate-limiting guard runs on every</w:t>
      </w:r>
      <w:r>
        <w:t xml:space="preserve"> </w:t>
      </w:r>
      <w:r>
        <w:t xml:space="preserve">route, then the guards composed once by the</w:t>
      </w:r>
      <w:r>
        <w:t xml:space="preserve"> </w:t>
      </w:r>
      <w:r>
        <w:rPr>
          <w:rStyle w:val="VerbatimChar"/>
        </w:rPr>
        <w:t xml:space="preserve">@Auth()</w:t>
      </w:r>
      <w:r>
        <w:t xml:space="preserve"> </w:t>
      </w:r>
      <w:r>
        <w:t xml:space="preserve">decorator — authentication, role,</w:t>
      </w:r>
      <w:r>
        <w:t xml:space="preserve"> </w:t>
      </w:r>
      <w:r>
        <w:t xml:space="preserve">plan, account type, subscription and AI quota. The feature modules cover</w:t>
      </w:r>
      <w:r>
        <w:t xml:space="preserve"> </w:t>
      </w:r>
      <w:r>
        <w:t xml:space="preserve">authentication and users, articles, social interactions, AI, analytics, the</w:t>
      </w:r>
      <w:r>
        <w:t xml:space="preserve"> </w:t>
      </w:r>
      <w:r>
        <w:t xml:space="preserve">marketplace, search, moderation and uploads, and documents. The</w:t>
      </w:r>
      <w:r>
        <w:t xml:space="preserve"> </w:t>
      </w:r>
      <w:r>
        <w:rPr>
          <w:b/>
          <w:bCs/>
        </w:rPr>
        <w:t xml:space="preserve">worker</w:t>
      </w:r>
      <w:r>
        <w:t xml:space="preserve"> </w:t>
      </w:r>
      <w:r>
        <w:t xml:space="preserve">consumes six</w:t>
      </w:r>
      <w:r>
        <w:t xml:space="preserve"> </w:t>
      </w:r>
      <w:r>
        <w:t xml:space="preserve">queues:</w:t>
      </w:r>
      <w:r>
        <w:t xml:space="preserve"> </w:t>
      </w:r>
      <w:r>
        <w:rPr>
          <w:rStyle w:val="VerbatimChar"/>
        </w:rPr>
        <w:t xml:space="preserve">embeddings</w:t>
      </w:r>
      <w:r>
        <w:t xml:space="preserve"> </w:t>
      </w:r>
      <w:r>
        <w:t xml:space="preserve">(chunking and embedding articles, extracting writer 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 subscription</w:t>
      </w:r>
      <w:r>
        <w:t xml:space="preserve"> </w:t>
      </w:r>
      <w:r>
        <w:t xml:space="preserve">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(ingesting uploaded</w:t>
      </w:r>
      <w:r>
        <w:t xml:space="preserve"> </w:t>
      </w:r>
      <w:r>
        <w:t xml:space="preserve">documents) and</w:t>
      </w:r>
      <w:r>
        <w:t xml:space="preserve"> </w:t>
      </w:r>
      <w:r>
        <w:rPr>
          <w:rStyle w:val="VerbatimChar"/>
        </w:rPr>
        <w:t xml:space="preserve">ai-models</w:t>
      </w:r>
      <w:r>
        <w:t xml:space="preserve"> </w:t>
      </w:r>
      <w:r>
        <w:t xml:space="preserve">(a daily check that every model still answers). The figure</w:t>
      </w:r>
      <w:r>
        <w:t xml:space="preserve"> </w:t>
      </w:r>
      <w:r>
        <w:t xml:space="preserve">makes the split visible: everything slow or scheduled lives in the worker, so the API’s</w:t>
      </w:r>
      <w:r>
        <w:t xml:space="preserve"> </w:t>
      </w:r>
      <w:r>
        <w:t xml:space="preserve">response time never includes a model call made on behalf of a background task</w:t>
      </w:r>
      <w:r>
        <w:t xml:space="preserve"> </w:t>
      </w:r>
      <w:r>
        <w:t xml:space="preserve">(NFR-27).</w:t>
      </w:r>
    </w:p>
    <w:bookmarkEnd w:id="111"/>
    <w:bookmarkEnd w:id="112"/>
    <w:bookmarkStart w:id="117"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16" w:name="fig:arch-physical"/>
    <w:p>
      <w:pPr>
        <w:pStyle w:val="CaptionedFigure"/>
      </w:pPr>
      <w:r>
        <w:drawing>
          <wp:inline>
            <wp:extent cx="5334000" cy="3066686"/>
            <wp:effectExtent b="0" l="0" r="0" t="0"/>
            <wp:docPr descr="Figure 2.3– Physical architecture" title="" id="114" name="Picture"/>
            <a:graphic>
              <a:graphicData uri="http://schemas.openxmlformats.org/drawingml/2006/picture">
                <pic:pic>
                  <pic:nvPicPr>
                    <pic:cNvPr descr="../diagrams/fig-3-3-architecture-physical/fig-3-3-architecture-physical.png" id="115" name="Picture"/>
                    <pic:cNvPicPr>
                      <a:picLocks noChangeArrowheads="1" noChangeAspect="1"/>
                    </pic:cNvPicPr>
                  </pic:nvPicPr>
                  <pic:blipFill>
                    <a:blip r:embed="rId11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16"/>
    <w:p>
      <w:pPr>
        <w:pStyle w:val="BodyText"/>
      </w:pP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serves the public image bucket at</w:t>
      </w:r>
      <w:r>
        <w:t xml:space="preserve"> </w:t>
      </w:r>
      <w:r>
        <w:rPr>
          <w:rStyle w:val="VerbatimChar"/>
        </w:rPr>
        <w:t xml:space="preserve">/storage</w:t>
      </w:r>
      <w:r>
        <w:t xml:space="preserve">. Private documents</w:t>
      </w:r>
      <w:r>
        <w:t xml:space="preserve"> </w:t>
      </w:r>
      <w:r>
        <w:t xml:space="preserve">never take that path; they are read through the API, which checks ownership. The</w:t>
      </w:r>
      <w:r>
        <w:t xml:space="preserve"> </w:t>
      </w:r>
      <w:r>
        <w:t xml:space="preserve">datastores are reachable only from inside the Compose network. The figure therefore</w:t>
      </w:r>
      <w:r>
        <w:t xml:space="preserve"> </w:t>
      </w:r>
      <w:r>
        <w:t xml:space="preserve">shows a single attack surface — one proxy — and a single place where TLS, buffering</w:t>
      </w:r>
      <w:r>
        <w:t xml:space="preserve"> </w:t>
      </w:r>
      <w:r>
        <w:t xml:space="preserve">and timeouts are configured.</w:t>
      </w:r>
    </w:p>
    <w:bookmarkEnd w:id="117"/>
    <w:bookmarkStart w:id="122"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21" w:name="fig:arch-cicd"/>
    <w:p>
      <w:pPr>
        <w:pStyle w:val="CaptionedFigure"/>
      </w:pPr>
      <w:r>
        <w:drawing>
          <wp:inline>
            <wp:extent cx="5334000" cy="2888654"/>
            <wp:effectExtent b="0" l="0" r="0" t="0"/>
            <wp:docPr descr="Figure 2.4– CI/CD pipeline" title="" id="119" name="Picture"/>
            <a:graphic>
              <a:graphicData uri="http://schemas.openxmlformats.org/drawingml/2006/picture">
                <pic:pic>
                  <pic:nvPicPr>
                    <pic:cNvPr descr="../diagrams/fig-3-4-architecture-cicd/fig-3-4-architecture-cicd.png" id="120" name="Picture"/>
                    <pic:cNvPicPr>
                      <a:picLocks noChangeArrowheads="1" noChangeAspect="1"/>
                    </pic:cNvPicPr>
                  </pic:nvPicPr>
                  <pic:blipFill>
                    <a:blip r:embed="rId118"/>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21"/>
    <w:p>
      <w:pPr>
        <w:pStyle w:val="BodyText"/>
      </w:pPr>
      <w:r>
        <w:t xml:space="preserve">A push to</w:t>
      </w:r>
      <w:r>
        <w:t xml:space="preserve"> </w:t>
      </w:r>
      <w:r>
        <w:rPr>
          <w:rStyle w:val="VerbatimChar"/>
        </w:rPr>
        <w:t xml:space="preserve">main</w:t>
      </w:r>
      <w:r>
        <w:t xml:space="preserve"> </w:t>
      </w:r>
      <w:r>
        <w:t xml:space="preserve">on either application repository runs the quality gates — install,</w:t>
      </w:r>
      <w:r>
        <w:t xml:space="preserve"> </w:t>
      </w:r>
      <w:r>
        <w:t xml:space="preserve">lint with zero warnings, type-check, the backend tests, a schema-drift check — then</w:t>
      </w:r>
      <w:r>
        <w:t xml:space="preserve"> </w:t>
      </w:r>
      <w:r>
        <w:t xml:space="preserve">builds a multi-stage image and pushes it to GHCR, tagged both</w:t>
      </w:r>
      <w:r>
        <w:t xml:space="preserve"> </w:t>
      </w:r>
      <w:r>
        <w:rPr>
          <w:rStyle w:val="VerbatimChar"/>
        </w:rPr>
        <w:t xml:space="preserve">latest</w:t>
      </w:r>
      <w:r>
        <w:t xml:space="preserve"> </w:t>
      </w:r>
      <w:r>
        <w:t xml:space="preserve">and with the</w:t>
      </w:r>
      <w:r>
        <w:t xml:space="preserve"> </w:t>
      </w:r>
      <w:r>
        <w:t xml:space="preserve">commit hash. A repository dispatch then triggers the deployment workflow of the</w:t>
      </w:r>
      <w:r>
        <w:t xml:space="preserve"> </w:t>
      </w:r>
      <w:r>
        <w:t xml:space="preserve">superproject, which pulls the images on the server, runs the migrations (which must</w:t>
      </w:r>
      <w:r>
        <w:t xml:space="preserve"> </w:t>
      </w:r>
      <w:r>
        <w:t xml:space="preserve">succeed before the API and worker start), restarts the services, verifies the health</w:t>
      </w:r>
      <w:r>
        <w:t xml:space="preserve"> </w:t>
      </w:r>
      <w:r>
        <w:t xml:space="preserve">and readiness endpoints and reloads nginx. The pipeline guarantees that no image</w:t>
      </w:r>
      <w:r>
        <w:t xml:space="preserve"> </w:t>
      </w:r>
      <w:r>
        <w:t xml:space="preserve">reaches the registry without passing the gates, and the commit-hash tag means any</w:t>
      </w:r>
      <w:r>
        <w:t xml:space="preserve"> </w:t>
      </w:r>
      <w:r>
        <w:t xml:space="preserve">deployed version can be traced to its source and redeployed.</w:t>
      </w:r>
    </w:p>
    <w:bookmarkEnd w:id="122"/>
    <w:bookmarkStart w:id="123"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23"/>
    <w:bookmarkEnd w:id="124"/>
    <w:bookmarkStart w:id="212"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25"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25"/>
    <w:bookmarkStart w:id="168" w:name="sec:sprint1"/>
    <w:p>
      <w:pPr>
        <w:pStyle w:val="Heading2"/>
      </w:pPr>
      <w:r>
        <w:rPr>
          <w:rStyle w:val="SectionNumber"/>
        </w:rPr>
        <w:t xml:space="preserve">3.1</w:t>
      </w:r>
      <w:r>
        <w:tab/>
      </w:r>
      <w:r>
        <w:t xml:space="preserve">Sprint 1 — Schema, authentication and article core</w:t>
      </w:r>
    </w:p>
    <w:bookmarkStart w:id="127"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26"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26"/>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27"/>
    <w:bookmarkStart w:id="133"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31" w:name="fig:uc-s1"/>
    <w:p>
      <w:pPr>
        <w:pStyle w:val="CaptionedFigure"/>
      </w:pPr>
      <w:r>
        <w:drawing>
          <wp:inline>
            <wp:extent cx="5334000" cy="2446451"/>
            <wp:effectExtent b="0" l="0" r="0" t="0"/>
            <wp:docPr descr="Figure 3.1– Use case diagram, Sprint 1" title="" id="129" name="Picture"/>
            <a:graphic>
              <a:graphicData uri="http://schemas.openxmlformats.org/drawingml/2006/picture">
                <pic:pic>
                  <pic:nvPicPr>
                    <pic:cNvPr descr="../diagrams/fig-4-1-use-case-sprint-1/fig-4-1-use-case-sprint-1.png" id="130" name="Picture"/>
                    <pic:cNvPicPr>
                      <a:picLocks noChangeArrowheads="1" noChangeAspect="1"/>
                    </pic:cNvPicPr>
                  </pic:nvPicPr>
                  <pic:blipFill>
                    <a:blip r:embed="rId128"/>
                    <a:stretch>
                      <a:fillRect/>
                    </a:stretch>
                  </pic:blipFill>
                  <pic:spPr bwMode="auto">
                    <a:xfrm>
                      <a:off x="0" y="0"/>
                      <a:ext cx="5334000" cy="2446451"/>
                    </a:xfrm>
                    <a:prstGeom prst="rect">
                      <a:avLst/>
                    </a:prstGeom>
                    <a:noFill/>
                    <a:ln w="9525">
                      <a:noFill/>
                      <a:headEnd/>
                      <a:tailEnd/>
                    </a:ln>
                  </pic:spPr>
                </pic:pic>
              </a:graphicData>
            </a:graphic>
          </wp:inline>
        </w:drawing>
      </w:r>
    </w:p>
    <w:p>
      <w:pPr>
        <w:pStyle w:val="ImageCaption"/>
      </w:pPr>
      <w:r>
        <w:t xml:space="preserve">Figure 3.1– Use case diagram, Sprint 1</w:t>
      </w:r>
    </w:p>
    <w:bookmarkEnd w:id="131"/>
    <w:p>
      <w:pPr>
        <w:pStyle w:val="BodyText"/>
      </w:pPr>
      <w:r>
        <w:t xml:space="preserve">Registering specialises into registering as a reader or as a magazine; managing one’s</w:t>
      </w:r>
      <w:r>
        <w:t xml:space="preserve"> </w:t>
      </w:r>
      <w:r>
        <w:t xml:space="preserve">own articles specialises into creating a draft, editing, publishing and deleting;</w:t>
      </w:r>
      <w:r>
        <w:t xml:space="preserve"> </w:t>
      </w:r>
      <w:r>
        <w:t xml:space="preserve">publishing includes choosing a placement and a visibility. The diagram shows that from</w:t>
      </w:r>
      <w:r>
        <w:t xml:space="preserve"> </w:t>
      </w:r>
      <w:r>
        <w:t xml:space="preserve">the first sprint every account is one of two types and every article has a placement:</w:t>
      </w:r>
      <w:r>
        <w:t xml:space="preserve"> </w:t>
      </w:r>
      <w:r>
        <w:t xml:space="preserve">the two properties on which the marketplace of Release 3 rests are in place before the</w:t>
      </w:r>
      <w:r>
        <w:t xml:space="preserve"> </w:t>
      </w:r>
      <w:r>
        <w:t xml:space="preserve">marketplace itself.</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32"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32"/>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33"/>
    <w:bookmarkStart w:id="142"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37" w:name="fig:classes-s1"/>
    <w:p>
      <w:pPr>
        <w:pStyle w:val="CaptionedFigure"/>
      </w:pPr>
      <w:r>
        <w:drawing>
          <wp:inline>
            <wp:extent cx="5334000" cy="4426818"/>
            <wp:effectExtent b="0" l="0" r="0" t="0"/>
            <wp:docPr descr="Figure 3.2– Class diagram, Sprint 1" title="" id="135" name="Picture"/>
            <a:graphic>
              <a:graphicData uri="http://schemas.openxmlformats.org/drawingml/2006/picture">
                <pic:pic>
                  <pic:nvPicPr>
                    <pic:cNvPr descr="../diagrams/fig-4-2-classes-sprint-1/fig-4-2-classes-sprint-1.png" id="136" name="Picture"/>
                    <pic:cNvPicPr>
                      <a:picLocks noChangeArrowheads="1" noChangeAspect="1"/>
                    </pic:cNvPicPr>
                  </pic:nvPicPr>
                  <pic:blipFill>
                    <a:blip r:embed="rId134"/>
                    <a:stretch>
                      <a:fillRect/>
                    </a:stretch>
                  </pic:blipFill>
                  <pic:spPr bwMode="auto">
                    <a:xfrm>
                      <a:off x="0" y="0"/>
                      <a:ext cx="5334000" cy="4426818"/>
                    </a:xfrm>
                    <a:prstGeom prst="rect">
                      <a:avLst/>
                    </a:prstGeom>
                    <a:noFill/>
                    <a:ln w="9525">
                      <a:noFill/>
                      <a:headEnd/>
                      <a:tailEnd/>
                    </a:ln>
                  </pic:spPr>
                </pic:pic>
              </a:graphicData>
            </a:graphic>
          </wp:inline>
        </w:drawing>
      </w:r>
    </w:p>
    <w:p>
      <w:pPr>
        <w:pStyle w:val="ImageCaption"/>
      </w:pPr>
      <w:r>
        <w:t xml:space="preserve">Figure 3.2– Class diagram, Sprint 1</w:t>
      </w:r>
    </w:p>
    <w:bookmarkEnd w:id="137"/>
    <w:p>
      <w:pPr>
        <w:pStyle w:val="BodyText"/>
      </w:pPr>
      <w:r>
        <w:t xml:space="preserve">The</w:t>
      </w:r>
      <w:r>
        <w:t xml:space="preserve"> </w:t>
      </w:r>
      <w:r>
        <w:rPr>
          <w:rStyle w:val="VerbatimChar"/>
        </w:rPr>
        <w:t xml:space="preserve">User</w:t>
      </w:r>
      <w:r>
        <w:t xml:space="preserve"> </w:t>
      </w:r>
      <w:r>
        <w:t xml:space="preserve">carries its account type, authentication provider, role and plan; the</w:t>
      </w:r>
      <w:r>
        <w:t xml:space="preserve"> </w:t>
      </w:r>
      <w:r>
        <w:rPr>
          <w:rStyle w:val="VerbatimChar"/>
        </w:rPr>
        <w:t xml:space="preserve">MagazineProfile</w:t>
      </w:r>
      <w:r>
        <w:t xml:space="preserve"> </w:t>
      </w:r>
      <w:r>
        <w:t xml:space="preserve">extends a magazine account with its name, slug and branding; the</w:t>
      </w:r>
      <w:r>
        <w:t xml:space="preserve"> </w:t>
      </w:r>
      <w:r>
        <w:rPr>
          <w:rStyle w:val="VerbatimChar"/>
        </w:rPr>
        <w:t xml:space="preserve">Article</w:t>
      </w:r>
      <w:r>
        <w:t xml:space="preserve"> </w:t>
      </w:r>
      <w:r>
        <w:t xml:space="preserve">carries its status, placement, visibility and generated search vector; tags</w:t>
      </w:r>
      <w:r>
        <w:t xml:space="preserve"> </w:t>
      </w:r>
      <w:r>
        <w:t xml:space="preserve">are a many-to-many association and comments form a thread. The diagram shows the</w:t>
      </w:r>
      <w:r>
        <w:t xml:space="preserve"> </w:t>
      </w:r>
      <w:r>
        <w:t xml:space="preserve">single-table design of accounts: one</w:t>
      </w:r>
      <w:r>
        <w:t xml:space="preserve"> </w:t>
      </w:r>
      <w:r>
        <w:rPr>
          <w:rStyle w:val="VerbatimChar"/>
        </w:rPr>
        <w:t xml:space="preserve">User</w:t>
      </w:r>
      <w:r>
        <w:t xml:space="preserve"> </w:t>
      </w:r>
      <w:r>
        <w:t xml:space="preserve">class for every kind of account, the</w:t>
      </w:r>
      <w:r>
        <w:t xml:space="preserve"> </w:t>
      </w:r>
      <w:r>
        <w:t xml:space="preserve">differences carried by attributes, and a database constraint that keeps role and plan</w:t>
      </w:r>
      <w:r>
        <w:t xml:space="preserve"> </w:t>
      </w:r>
      <w:r>
        <w:t xml:space="preserve">empty for a magazine. That is what lets one authentication 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41" w:name="fig:seq-auth"/>
    <w:p>
      <w:pPr>
        <w:pStyle w:val="CaptionedFigure"/>
      </w:pPr>
      <w:r>
        <w:drawing>
          <wp:inline>
            <wp:extent cx="5334000" cy="5485504"/>
            <wp:effectExtent b="0" l="0" r="0" t="0"/>
            <wp:docPr descr="Figure 3.3– Sequence diagram: sign in and silent refresh" title="" id="139" name="Picture"/>
            <a:graphic>
              <a:graphicData uri="http://schemas.openxmlformats.org/drawingml/2006/picture">
                <pic:pic>
                  <pic:nvPicPr>
                    <pic:cNvPr descr="../diagrams/fig-4-3-sequence-authentication/fig-4-3-sequence-authentication.png" id="140" name="Picture"/>
                    <pic:cNvPicPr>
                      <a:picLocks noChangeArrowheads="1" noChangeAspect="1"/>
                    </pic:cNvPicPr>
                  </pic:nvPicPr>
                  <pic:blipFill>
                    <a:blip r:embed="rId138"/>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41"/>
    <w:p>
      <w:pPr>
        <w:pStyle w:val="BodyText"/>
      </w:pPr>
      <w:r>
        <w:t xml:space="preserve">Sign-in is rate-limited per address — ten attempts a minute, five for registration,</w:t>
      </w:r>
      <w:r>
        <w:t xml:space="preserve"> </w:t>
      </w:r>
      <w:r>
        <w:t xml:space="preserve">against sixty for other routes — and answers 429 before the account is even read. On</w:t>
      </w:r>
      <w:r>
        <w:t xml:space="preserve"> </w:t>
      </w:r>
      <w:r>
        <w:t xml:space="preserve">success the system issues a 15-minute access token and a 7-day refresh token; when a</w:t>
      </w:r>
      <w:r>
        <w:t xml:space="preserve"> </w:t>
      </w:r>
      <w:r>
        <w:t xml:space="preserve">later request meets an expired access token, the client refreshes it, rewrites both</w:t>
      </w:r>
      <w:r>
        <w:t xml:space="preserve"> </w:t>
      </w:r>
      <w:r>
        <w:t xml:space="preserve">the client store and the cookie the route proxy reads, and retries the original</w:t>
      </w:r>
      <w:r>
        <w:t xml:space="preserve"> </w:t>
      </w:r>
      <w:r>
        <w:t xml:space="preserve">request transparently. The diagram shows why a long writing session is never</w:t>
      </w:r>
      <w:r>
        <w:t xml:space="preserve"> </w:t>
      </w:r>
      <w:r>
        <w:t xml:space="preserve">interrupted (US-04) while a stolen or revoked access token is useful for at most</w:t>
      </w:r>
      <w:r>
        <w:t xml:space="preserve"> </w:t>
      </w:r>
      <w:r>
        <w:t xml:space="preserve">fifteen minutes (NFR-02, NFR-09).</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itself tested by sabotage: fixtures build a coherent purchase, then corrupt one column</w:t>
      </w:r>
      <w:r>
        <w:t xml:space="preserve"> </w:t>
      </w:r>
      <w:r>
        <w:t xml:space="preserve">at a time and check that the right invariant fails. Writing the check before the</w:t>
      </w:r>
      <w:r>
        <w:t xml:space="preserve"> </w:t>
      </w:r>
      <w:r>
        <w:t xml:space="preserve">feature means that no purchase code was ever written without it.</w:t>
      </w:r>
    </w:p>
    <w:bookmarkEnd w:id="142"/>
    <w:bookmarkStart w:id="167"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46" w:name="fig:home"/>
    <w:p>
      <w:pPr>
        <w:pStyle w:val="CaptionedFigure"/>
      </w:pPr>
      <w:r>
        <w:drawing>
          <wp:inline>
            <wp:extent cx="4267200" cy="2667000"/>
            <wp:effectExtent b="0" l="0" r="0" t="0"/>
            <wp:docPr descr="Figure 3.4– The public feed, as seen by a visitor" title="" id="144" name="Picture"/>
            <a:graphic>
              <a:graphicData uri="http://schemas.openxmlformats.org/drawingml/2006/picture">
                <pic:pic>
                  <pic:nvPicPr>
                    <pic:cNvPr descr="../figures/screens/guest-01-hom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46"/>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50" w:name="fig:login"/>
    <w:p>
      <w:pPr>
        <w:pStyle w:val="CaptionedFigure"/>
      </w:pPr>
      <w:r>
        <w:drawing>
          <wp:inline>
            <wp:extent cx="4267200" cy="2667000"/>
            <wp:effectExtent b="0" l="0" r="0" t="0"/>
            <wp:docPr descr="Figure 3.5– Sign-in, with Google sign-in" title="" id="148" name="Picture"/>
            <a:graphic>
              <a:graphicData uri="http://schemas.openxmlformats.org/drawingml/2006/picture">
                <pic:pic>
                  <pic:nvPicPr>
                    <pic:cNvPr descr="../figures/screens/guest-02-login.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50"/>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54" w:name="fig:register"/>
    <w:p>
      <w:pPr>
        <w:pStyle w:val="CaptionedFigure"/>
      </w:pPr>
      <w:r>
        <w:drawing>
          <wp:inline>
            <wp:extent cx="4267200" cy="2667000"/>
            <wp:effectExtent b="0" l="0" r="0" t="0"/>
            <wp:docPr descr="Figure 3.6– Registering a personal account" title="" id="152" name="Picture"/>
            <a:graphic>
              <a:graphicData uri="http://schemas.openxmlformats.org/drawingml/2006/picture">
                <pic:pic>
                  <pic:nvPicPr>
                    <pic:cNvPr descr="../figures/screens/guest-03-register.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54"/>
    <w:bookmarkStart w:id="158" w:name="fig:register-magazine"/>
    <w:p>
      <w:pPr>
        <w:pStyle w:val="CaptionedFigure"/>
      </w:pPr>
      <w:r>
        <w:drawing>
          <wp:inline>
            <wp:extent cx="4267200" cy="2667000"/>
            <wp:effectExtent b="0" l="0" r="0" t="0"/>
            <wp:docPr descr="Figure 3.7– Registering a magazine account" title="" id="156" name="Picture"/>
            <a:graphic>
              <a:graphicData uri="http://schemas.openxmlformats.org/drawingml/2006/picture">
                <pic:pic>
                  <pic:nvPicPr>
                    <pic:cNvPr descr="../figures/screens/guest-04-register-magazin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58"/>
    <w:p>
      <w:pPr>
        <w:pStyle w:val="BodyText"/>
      </w:pPr>
      <w:r>
        <w:t xml:space="preserve">The magazine form asks for what a writer will see of the buyer — the slug that becomes</w:t>
      </w:r>
      <w:r>
        <w:t xml:space="preserve"> </w:t>
      </w:r>
      <w:r>
        <w:t xml:space="preserve">the magazine’s public address, its name, website, description and logo — and none of</w:t>
      </w:r>
      <w:r>
        <w:t xml:space="preserve"> </w:t>
      </w:r>
      <w:r>
        <w:t xml:space="preserve">the personal fields. The two forms are FR-04 and FR-39: one platform,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62" w:name="fig:article-free"/>
    <w:p>
      <w:pPr>
        <w:pStyle w:val="CaptionedFigure"/>
      </w:pPr>
      <w:r>
        <w:drawing>
          <wp:inline>
            <wp:extent cx="4267200" cy="2667000"/>
            <wp:effectExtent b="0" l="0" r="0" t="0"/>
            <wp:docPr descr="Figure 3.8– A free article, readable without an account" title="" id="160" name="Picture"/>
            <a:graphic>
              <a:graphicData uri="http://schemas.openxmlformats.org/drawingml/2006/picture">
                <pic:pic>
                  <pic:nvPicPr>
                    <pic:cNvPr descr="../figures/screens/guest-05-article-free.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62"/>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66" w:name="fig:settings"/>
    <w:p>
      <w:pPr>
        <w:pStyle w:val="CaptionedFigure"/>
      </w:pPr>
      <w:r>
        <w:drawing>
          <wp:inline>
            <wp:extent cx="4267200" cy="2667000"/>
            <wp:effectExtent b="0" l="0" r="0" t="0"/>
            <wp:docPr descr="Figure 3.9– Profile settings" title="" id="164" name="Picture"/>
            <a:graphic>
              <a:graphicData uri="http://schemas.openxmlformats.org/drawingml/2006/picture">
                <pic:pic>
                  <pic:nvPicPr>
                    <pic:cNvPr descr="../figures/screens/reader-04-settings.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66"/>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67"/>
    <w:bookmarkEnd w:id="168"/>
    <w:bookmarkStart w:id="210" w:name="sec:sprint2"/>
    <w:p>
      <w:pPr>
        <w:pStyle w:val="Heading2"/>
      </w:pPr>
      <w:r>
        <w:rPr>
          <w:rStyle w:val="SectionNumber"/>
        </w:rPr>
        <w:t xml:space="preserve">3.2</w:t>
      </w:r>
      <w:r>
        <w:tab/>
      </w:r>
      <w:r>
        <w:t xml:space="preserve">Sprint 2 — Editor, AI assistance and event capture</w:t>
      </w:r>
    </w:p>
    <w:bookmarkStart w:id="170"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69"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69"/>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70"/>
    <w:bookmarkStart w:id="175"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74" w:name="fig:uc-s2"/>
    <w:p>
      <w:pPr>
        <w:pStyle w:val="CaptionedFigure"/>
      </w:pPr>
      <w:r>
        <w:drawing>
          <wp:inline>
            <wp:extent cx="5334000" cy="2385607"/>
            <wp:effectExtent b="0" l="0" r="0" t="0"/>
            <wp:docPr descr="Figure 3.10– Use case diagram, Sprint 2" title="" id="172" name="Picture"/>
            <a:graphic>
              <a:graphicData uri="http://schemas.openxmlformats.org/drawingml/2006/picture">
                <pic:pic>
                  <pic:nvPicPr>
                    <pic:cNvPr descr="../diagrams/fig-4-4-use-case-sprint-2/fig-4-4-use-case-sprint-2.png" id="173" name="Picture"/>
                    <pic:cNvPicPr>
                      <a:picLocks noChangeArrowheads="1" noChangeAspect="1"/>
                    </pic:cNvPicPr>
                  </pic:nvPicPr>
                  <pic:blipFill>
                    <a:blip r:embed="rId171"/>
                    <a:stretch>
                      <a:fillRect/>
                    </a:stretch>
                  </pic:blipFill>
                  <pic:spPr bwMode="auto">
                    <a:xfrm>
                      <a:off x="0" y="0"/>
                      <a:ext cx="5334000" cy="2385607"/>
                    </a:xfrm>
                    <a:prstGeom prst="rect">
                      <a:avLst/>
                    </a:prstGeom>
                    <a:noFill/>
                    <a:ln w="9525">
                      <a:noFill/>
                      <a:headEnd/>
                      <a:tailEnd/>
                    </a:ln>
                  </pic:spPr>
                </pic:pic>
              </a:graphicData>
            </a:graphic>
          </wp:inline>
        </w:drawing>
      </w:r>
    </w:p>
    <w:p>
      <w:pPr>
        <w:pStyle w:val="ImageCaption"/>
      </w:pPr>
      <w:r>
        <w:t xml:space="preserve">Figure 3.10– Use case diagram, Sprint 2</w:t>
      </w:r>
    </w:p>
    <w:bookmarkEnd w:id="174"/>
    <w:p>
      <w:pPr>
        <w:pStyle w:val="BodyText"/>
      </w:pPr>
      <w:r>
        <w:t xml:space="preserve">Writing in the editor specialises into formatting, inserting an image and setting a</w:t>
      </w:r>
      <w:r>
        <w:t xml:space="preserve"> </w:t>
      </w:r>
      <w:r>
        <w:t xml:space="preserve">cover image, and includes saving the draft automatically. Using the assistant</w:t>
      </w:r>
      <w:r>
        <w:t xml:space="preserve"> </w:t>
      </w:r>
      <w:r>
        <w:t xml:space="preserve">specialises into chatting and applying an inline action, and includes consuming the</w:t>
      </w:r>
      <w:r>
        <w:t xml:space="preserve"> </w:t>
      </w:r>
      <w:r>
        <w:t xml:space="preserve">daily allowance; inserting the answer into the document extends the chat. Reading an</w:t>
      </w:r>
      <w:r>
        <w:t xml:space="preserve"> </w:t>
      </w:r>
      <w:r>
        <w:t xml:space="preserve">article includes recording reading events. The diagram shows that every AI use case</w:t>
      </w:r>
      <w:r>
        <w:t xml:space="preserve"> </w:t>
      </w:r>
      <w:r>
        <w:t xml:space="preserve">passes through the allowance: there is no path to a model that is not counted.</w:t>
      </w:r>
      <w:r>
        <w:t xml:space="preserve"> </w:t>
      </w:r>
      <w:r>
        <w:t xml:space="preserve">The allowance belongs to the premium plan (FR-17); in this sprint premium accounts</w:t>
      </w:r>
      <w:r>
        <w:t xml:space="preserve"> </w:t>
      </w:r>
      <w:r>
        <w:t xml:space="preserve">are created by the seed, and upgrading from the interface arrives with the plans of</w:t>
      </w:r>
      <w:r>
        <w:t xml:space="preserve"> </w:t>
      </w:r>
      <w:r>
        <w:t xml:space="preserve">Sprint 5.</w:t>
      </w:r>
    </w:p>
    <w:bookmarkEnd w:id="175"/>
    <w:bookmarkStart w:id="184"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79" w:name="fig:classes-s2"/>
    <w:p>
      <w:pPr>
        <w:pStyle w:val="CaptionedFigure"/>
      </w:pPr>
      <w:r>
        <w:drawing>
          <wp:inline>
            <wp:extent cx="5334000" cy="3307711"/>
            <wp:effectExtent b="0" l="0" r="0" t="0"/>
            <wp:docPr descr="Figure 3.11– Class diagram, Sprint 2" title="" id="177" name="Picture"/>
            <a:graphic>
              <a:graphicData uri="http://schemas.openxmlformats.org/drawingml/2006/picture">
                <pic:pic>
                  <pic:nvPicPr>
                    <pic:cNvPr descr="../diagrams/fig-4-5-classes-sprint-2/fig-4-5-classes-sprint-2.png" id="178" name="Picture"/>
                    <pic:cNvPicPr>
                      <a:picLocks noChangeArrowheads="1" noChangeAspect="1"/>
                    </pic:cNvPicPr>
                  </pic:nvPicPr>
                  <pic:blipFill>
                    <a:blip r:embed="rId176"/>
                    <a:stretch>
                      <a:fillRect/>
                    </a:stretch>
                  </pic:blipFill>
                  <pic:spPr bwMode="auto">
                    <a:xfrm>
                      <a:off x="0" y="0"/>
                      <a:ext cx="5334000" cy="3307711"/>
                    </a:xfrm>
                    <a:prstGeom prst="rect">
                      <a:avLst/>
                    </a:prstGeom>
                    <a:noFill/>
                    <a:ln w="9525">
                      <a:noFill/>
                      <a:headEnd/>
                      <a:tailEnd/>
                    </a:ln>
                  </pic:spPr>
                </pic:pic>
              </a:graphicData>
            </a:graphic>
          </wp:inline>
        </w:drawing>
      </w:r>
    </w:p>
    <w:p>
      <w:pPr>
        <w:pStyle w:val="ImageCaption"/>
      </w:pPr>
      <w:r>
        <w:t xml:space="preserve">Figure 3.11– Class diagram, Sprint 2</w:t>
      </w:r>
    </w:p>
    <w:bookmarkEnd w:id="179"/>
    <w:p>
      <w:pPr>
        <w:pStyle w:val="BodyText"/>
      </w:pPr>
      <w:r>
        <w:t xml:space="preserve">Each AI call is logged as an</w:t>
      </w:r>
      <w:r>
        <w:t xml:space="preserve"> </w:t>
      </w:r>
      <w:r>
        <w:rPr>
          <w:rStyle w:val="VerbatimChar"/>
        </w:rPr>
        <w:t xml:space="preserve">AiInteraction</w:t>
      </w:r>
      <w:r>
        <w:t xml:space="preserve"> </w:t>
      </w:r>
      <w:r>
        <w:t xml:space="preserve">with its action type, tokens used and</w:t>
      </w:r>
      <w:r>
        <w:t xml:space="preserve"> </w:t>
      </w:r>
      <w:r>
        <w:t xml:space="preserve">model; reading is recorded as</w:t>
      </w:r>
      <w:r>
        <w:t xml:space="preserve"> </w:t>
      </w:r>
      <w:r>
        <w:rPr>
          <w:rStyle w:val="VerbatimChar"/>
        </w:rPr>
        <w:t xml:space="preserve">AnalyticsEvent</w:t>
      </w:r>
      <w:r>
        <w:t xml:space="preserve"> </w:t>
      </w:r>
      <w:r>
        <w:t xml:space="preserve">rows (view, scroll, time on page, like,</w:t>
      </w:r>
      <w:r>
        <w:t xml:space="preserve"> </w:t>
      </w:r>
      <w:r>
        <w:t xml:space="preserve">comment, repost); and the user carries the remaining daily token allowance and the time</w:t>
      </w:r>
      <w:r>
        <w:t xml:space="preserve"> </w:t>
      </w:r>
      <w:r>
        <w:t xml:space="preserve">of its last reset. The diagram shows that cost and reading are both recorded as</w:t>
      </w:r>
      <w:r>
        <w:t xml:space="preserve"> </w:t>
      </w:r>
      <w:r>
        <w:t xml:space="preserve">append-only rows: the allowance can be audited from the interaction log, and every</w:t>
      </w:r>
      <w:r>
        <w:t xml:space="preserve"> </w:t>
      </w:r>
      <w:r>
        <w:t xml:space="preserve">metric of Release 2 is computed from events written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83" w:name="fig:seq-inline"/>
    <w:p>
      <w:pPr>
        <w:pStyle w:val="CaptionedFigure"/>
      </w:pPr>
      <w:r>
        <w:drawing>
          <wp:inline>
            <wp:extent cx="5334000" cy="4540250"/>
            <wp:effectExtent b="0" l="0" r="0" t="0"/>
            <wp:docPr descr="Figure 3.12– Sequence diagram: inline AI action" title="" id="181" name="Picture"/>
            <a:graphic>
              <a:graphicData uri="http://schemas.openxmlformats.org/drawingml/2006/picture">
                <pic:pic>
                  <pic:nvPicPr>
                    <pic:cNvPr descr="../diagrams/fig-4-6-sequence-inline-ai-edit/fig-4-6-sequence-inline-ai-edit.png" id="182" name="Picture"/>
                    <pic:cNvPicPr>
                      <a:picLocks noChangeArrowheads="1" noChangeAspect="1"/>
                    </pic:cNvPicPr>
                  </pic:nvPicPr>
                  <pic:blipFill>
                    <a:blip r:embed="rId180"/>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83"/>
    <w:p>
      <w:pPr>
        <w:pStyle w:val="BodyText"/>
      </w:pPr>
      <w:r>
        <w:t xml:space="preserve">The editor captures the selected range once, before anything is streamed, so that a</w:t>
      </w:r>
      <w:r>
        <w:t xml:space="preserve"> </w:t>
      </w:r>
      <w:r>
        <w:t xml:space="preserve">click elsewhere cannot move it. The system checks the daily allowance and refuses with</w:t>
      </w:r>
      <w:r>
        <w:t xml:space="preserve"> </w:t>
      </w:r>
      <w:r>
        <w:t xml:space="preserve">403 and a plan-aware notice when it is exhausted; otherwise it builds the prompt from</w:t>
      </w:r>
      <w:r>
        <w:t xml:space="preserve"> </w:t>
      </w:r>
      <w:r>
        <w:t xml:space="preserve">the action, the selection and the surrounding article, streams the suggestion to the</w:t>
      </w:r>
      <w:r>
        <w:t xml:space="preserve"> </w:t>
      </w:r>
      <w:r>
        <w:t xml:space="preserve">editor as it is generated, and records the interaction and its cost. The allowance is</w:t>
      </w:r>
      <w:r>
        <w:t xml:space="preserve"> </w:t>
      </w:r>
      <w:r>
        <w:t xml:space="preserve">checked once, before the call: a reply may cost more than what remained, and the</w:t>
      </w:r>
      <w:r>
        <w:t xml:space="preserve"> </w:t>
      </w:r>
      <w:r>
        <w:t xml:space="preserve">balance then stops at zero. The diagram shows the trade-off chosen — the writer is</w:t>
      </w:r>
      <w:r>
        <w:t xml:space="preserve"> </w:t>
      </w:r>
      <w:r>
        <w:t xml:space="preserve">never cut off in the middle of a reply, at the price of a small overrun on the last</w:t>
      </w:r>
      <w:r>
        <w:t xml:space="preserve"> </w:t>
      </w:r>
      <w:r>
        <w:t xml:space="preserve">call of the day.</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so a reader cannot forge another</w:t>
      </w:r>
      <w:r>
        <w:t xml:space="preserve"> </w:t>
      </w:r>
      <w:r>
        <w:t xml:space="preserve">reader’s events. Capture starts in this sprint so that real reading data accumulates</w:t>
      </w:r>
      <w:r>
        <w:t xml:space="preserve"> </w:t>
      </w:r>
      <w:r>
        <w:t xml:space="preserve">before the dashboards of Release 2 aggregate it.</w:t>
      </w:r>
    </w:p>
    <w:bookmarkEnd w:id="184"/>
    <w:bookmarkStart w:id="209"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88" w:name="fig:editor"/>
    <w:p>
      <w:pPr>
        <w:pStyle w:val="CaptionedFigure"/>
      </w:pPr>
      <w:r>
        <w:drawing>
          <wp:inline>
            <wp:extent cx="4267200" cy="2667000"/>
            <wp:effectExtent b="0" l="0" r="0" t="0"/>
            <wp:docPr descr="Figure 3.13– The rich-text editor with the assistant panel" title="" id="186" name="Picture"/>
            <a:graphic>
              <a:graphicData uri="http://schemas.openxmlformats.org/drawingml/2006/picture">
                <pic:pic>
                  <pic:nvPicPr>
                    <pic:cNvPr descr="../figures/screens/writer-03-edito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88"/>
    <w:p>
      <w:pPr>
        <w:pStyle w:val="BodyText"/>
      </w:pPr>
      <w:r>
        <w:t xml:space="preserve">The draft is edited as rich text, with a toolbar for emphasis, three heading levels,</w:t>
      </w:r>
      <w:r>
        <w:t xml:space="preserve"> </w:t>
      </w:r>
      <w:r>
        <w:t xml:space="preserve">lists, quotes, code and images (FR-18, FR-20); the</w:t>
      </w:r>
      <w:r>
        <w:t xml:space="preserve"> </w:t>
      </w:r>
      <w:r>
        <w:rPr>
          <w:i/>
          <w:iCs/>
        </w:rPr>
        <w:t xml:space="preserve">Saved</w:t>
      </w:r>
      <w:r>
        <w:t xml:space="preserve"> </w:t>
      </w:r>
      <w:r>
        <w:t xml:space="preserve">label beside the title</w:t>
      </w:r>
      <w:r>
        <w:t xml:space="preserve"> </w:t>
      </w:r>
      <w:r>
        <w:t xml:space="preserve">reports the automatic save that replaces a save button (FR-19). The assistant sits beside the text rather than in another page,</w:t>
      </w:r>
      <w:r>
        <w:t xml:space="preserve"> </w:t>
      </w:r>
      <w:r>
        <w:t xml:space="preserve">which is the premise of the whole product: help arrives where the writing 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92" w:name="fig:publish-dialog"/>
    <w:p>
      <w:pPr>
        <w:pStyle w:val="CaptionedFigure"/>
      </w:pPr>
      <w:r>
        <w:drawing>
          <wp:inline>
            <wp:extent cx="4267200" cy="2667000"/>
            <wp:effectExtent b="0" l="0" r="0" t="0"/>
            <wp:docPr descr="Figure 3.14– The publish dialog: placement, visibility, tags and excerpt" title="" id="190" name="Picture"/>
            <a:graphic>
              <a:graphicData uri="http://schemas.openxmlformats.org/drawingml/2006/picture">
                <pic:pic>
                  <pic:nvPicPr>
                    <pic:cNvPr descr="../figures/screens/writer-04-publish-dialog.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92"/>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96" w:name="fig:ai-panel"/>
    <w:p>
      <w:pPr>
        <w:pStyle w:val="CaptionedFigure"/>
      </w:pPr>
      <w:r>
        <w:drawing>
          <wp:inline>
            <wp:extent cx="4267200" cy="2667000"/>
            <wp:effectExtent b="0" l="0" r="0" t="0"/>
            <wp:docPr descr="Figure 3.15– The AI assistant panel" title="" id="194" name="Picture"/>
            <a:graphic>
              <a:graphicData uri="http://schemas.openxmlformats.org/drawingml/2006/picture">
                <pic:pic>
                  <pic:nvPicPr>
                    <pic:cNvPr descr="../figures/screens/writer-05-ai-panel.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96"/>
    <w:bookmarkStart w:id="200" w:name="fig:ai-answer"/>
    <w:p>
      <w:pPr>
        <w:pStyle w:val="CaptionedFigure"/>
      </w:pPr>
      <w:r>
        <w:drawing>
          <wp:inline>
            <wp:extent cx="4267200" cy="2667000"/>
            <wp:effectExtent b="0" l="0" r="0" t="0"/>
            <wp:docPr descr="Figure 3.16– An answer from the assistant" title="" id="198" name="Picture"/>
            <a:graphic>
              <a:graphicData uri="http://schemas.openxmlformats.org/drawingml/2006/picture">
                <pic:pic>
                  <pic:nvPicPr>
                    <pic:cNvPr descr="../figures/screens/writer-06-ai-answe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00"/>
    <w:p>
      <w:pPr>
        <w:pStyle w:val="BodyText"/>
      </w:pPr>
      <w:r>
        <w:t xml:space="preserve">The panel shows the remaining allowance — 20,000 tokens at the start of the day —</w:t>
      </w:r>
      <w:r>
        <w:t xml:space="preserve"> </w:t>
      </w:r>
      <w:r>
        <w:t xml:space="preserve">before the writer asks anything (FR-31), so the cost of a question is never a</w:t>
      </w:r>
      <w:r>
        <w:t xml:space="preserve"> </w:t>
      </w:r>
      <w:r>
        <w:t xml:space="preserve">surprise. The answer is streamed as it is generated</w:t>
      </w:r>
      <w:r>
        <w:t xml:space="preserve"> </w:t>
      </w:r>
      <w:r>
        <w:t xml:space="preserve">and can be inserted into the document at the cursor (FR-27, FR-30); Sprint 8 later</w:t>
      </w:r>
      <w:r>
        <w:t xml:space="preserve"> </w:t>
      </w:r>
      <w:r>
        <w:t xml:space="preserve">replaces this manual insertion by an assistant that writes into the document itself.</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04" w:name="fig:inline-menu"/>
    <w:p>
      <w:pPr>
        <w:pStyle w:val="CaptionedFigure"/>
      </w:pPr>
      <w:r>
        <w:drawing>
          <wp:inline>
            <wp:extent cx="4267200" cy="2667000"/>
            <wp:effectExtent b="0" l="0" r="0" t="0"/>
            <wp:docPr descr="Figure 3.17– The inline actions on a selection" title="" id="202" name="Picture"/>
            <a:graphic>
              <a:graphicData uri="http://schemas.openxmlformats.org/drawingml/2006/picture">
                <pic:pic>
                  <pic:nvPicPr>
                    <pic:cNvPr descr="../figures/screens/writer-07-inline-menu.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04"/>
    <w:bookmarkStart w:id="208" w:name="fig:inline-suggestion"/>
    <w:p>
      <w:pPr>
        <w:pStyle w:val="CaptionedFigure"/>
      </w:pPr>
      <w:r>
        <w:drawing>
          <wp:inline>
            <wp:extent cx="4267200" cy="2667000"/>
            <wp:effectExtent b="0" l="0" r="0" t="0"/>
            <wp:docPr descr="Figure 3.18– An inline suggestion, ready to replace the selection" title="" id="206" name="Picture"/>
            <a:graphic>
              <a:graphicData uri="http://schemas.openxmlformats.org/drawingml/2006/picture">
                <pic:pic>
                  <pic:nvPicPr>
                    <pic:cNvPr descr="../figures/screens/writer-08-inline-suggestion.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08"/>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09"/>
    <w:bookmarkEnd w:id="210"/>
    <w:bookmarkStart w:id="211"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11"/>
    <w:bookmarkEnd w:id="212"/>
    <w:bookmarkStart w:id="300"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13"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13"/>
    <w:bookmarkStart w:id="264" w:name="sec:sprint3"/>
    <w:p>
      <w:pPr>
        <w:pStyle w:val="Heading2"/>
      </w:pPr>
      <w:r>
        <w:rPr>
          <w:rStyle w:val="SectionNumber"/>
        </w:rPr>
        <w:t xml:space="preserve">4.1</w:t>
      </w:r>
      <w:r>
        <w:tab/>
      </w:r>
      <w:r>
        <w:t xml:space="preserve">Sprint 3 — Social interactions, notifications and analytics</w:t>
      </w:r>
    </w:p>
    <w:bookmarkStart w:id="215"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14"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14"/>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15"/>
    <w:bookmarkStart w:id="220"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19" w:name="fig:uc-s3"/>
    <w:p>
      <w:pPr>
        <w:pStyle w:val="CaptionedFigure"/>
      </w:pPr>
      <w:r>
        <w:drawing>
          <wp:inline>
            <wp:extent cx="5334000" cy="1789446"/>
            <wp:effectExtent b="0" l="0" r="0" t="0"/>
            <wp:docPr descr="Figure 4.1– Use case diagram, Sprint 3" title="" id="217" name="Picture"/>
            <a:graphic>
              <a:graphicData uri="http://schemas.openxmlformats.org/drawingml/2006/picture">
                <pic:pic>
                  <pic:nvPicPr>
                    <pic:cNvPr descr="../diagrams/fig-5-1-use-case-sprint-3/fig-5-1-use-case-sprint-3.png" id="218" name="Picture"/>
                    <pic:cNvPicPr>
                      <a:picLocks noChangeArrowheads="1" noChangeAspect="1"/>
                    </pic:cNvPicPr>
                  </pic:nvPicPr>
                  <pic:blipFill>
                    <a:blip r:embed="rId216"/>
                    <a:stretch>
                      <a:fillRect/>
                    </a:stretch>
                  </pic:blipFill>
                  <pic:spPr bwMode="auto">
                    <a:xfrm>
                      <a:off x="0" y="0"/>
                      <a:ext cx="5334000" cy="1789446"/>
                    </a:xfrm>
                    <a:prstGeom prst="rect">
                      <a:avLst/>
                    </a:prstGeom>
                    <a:noFill/>
                    <a:ln w="9525">
                      <a:noFill/>
                      <a:headEnd/>
                      <a:tailEnd/>
                    </a:ln>
                  </pic:spPr>
                </pic:pic>
              </a:graphicData>
            </a:graphic>
          </wp:inline>
        </w:drawing>
      </w:r>
    </w:p>
    <w:p>
      <w:pPr>
        <w:pStyle w:val="ImageCaption"/>
      </w:pPr>
      <w:r>
        <w:t xml:space="preserve">Figure 4.1– Use case diagram, Sprint 3</w:t>
      </w:r>
    </w:p>
    <w:bookmarkEnd w:id="219"/>
    <w:p>
      <w:pPr>
        <w:pStyle w:val="BodyText"/>
      </w:pPr>
      <w:r>
        <w:t xml:space="preserve">Interacting with an article specialises into liking, commenting, replying, reposting,</w:t>
      </w:r>
      <w:r>
        <w:t xml:space="preserve"> </w:t>
      </w:r>
      <w:r>
        <w:t xml:space="preserve">following and reporting, and includes notifying the recipient. On a marketplace</w:t>
      </w:r>
      <w:r>
        <w:t xml:space="preserve"> </w:t>
      </w:r>
      <w:r>
        <w:t xml:space="preserve">listing, liking, commenting and reposting are refused while saving stays available,</w:t>
      </w:r>
      <w:r>
        <w:t xml:space="preserve"> </w:t>
      </w:r>
      <w:r>
        <w:t xml:space="preserve">because a listing is a private commercial offer rather than a publication (FR-70).</w:t>
      </w:r>
      <w:r>
        <w:t xml:space="preserve"> </w:t>
      </w:r>
      <w:r>
        <w:t xml:space="preserve">Viewing article analytics and reading a writer evaluation both include the aggregation</w:t>
      </w:r>
      <w:r>
        <w:t xml:space="preserve"> </w:t>
      </w:r>
      <w:r>
        <w:t xml:space="preserve">of raw events into metrics — a scheduled job rather than a user action, drawn because</w:t>
      </w:r>
      <w:r>
        <w:t xml:space="preserve"> </w:t>
      </w:r>
      <w:r>
        <w:t xml:space="preserve">no metric exists without it. The diagram therefore shows the two halves of the sprint</w:t>
      </w:r>
      <w:r>
        <w:t xml:space="preserve"> </w:t>
      </w:r>
      <w:r>
        <w:t xml:space="preserve">joined at one point: interactions produce events, and the aggregation turns events</w:t>
      </w:r>
      <w:r>
        <w:t xml:space="preserve"> </w:t>
      </w:r>
      <w:r>
        <w:t xml:space="preserve">into the numbers both the writer and the magazine read.</w:t>
      </w:r>
    </w:p>
    <w:bookmarkEnd w:id="220"/>
    <w:bookmarkStart w:id="234"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24" w:name="fig:classes-s3"/>
    <w:p>
      <w:pPr>
        <w:pStyle w:val="CaptionedFigure"/>
      </w:pPr>
      <w:r>
        <w:drawing>
          <wp:inline>
            <wp:extent cx="5334000" cy="3286842"/>
            <wp:effectExtent b="0" l="0" r="0" t="0"/>
            <wp:docPr descr="Figure 4.2– Class diagram, Sprint 3" title="" id="222" name="Picture"/>
            <a:graphic>
              <a:graphicData uri="http://schemas.openxmlformats.org/drawingml/2006/picture">
                <pic:pic>
                  <pic:nvPicPr>
                    <pic:cNvPr descr="../diagrams/fig-5-2-classes-sprint-3/fig-5-2-classes-sprint-3.png" id="223" name="Picture"/>
                    <pic:cNvPicPr>
                      <a:picLocks noChangeArrowheads="1" noChangeAspect="1"/>
                    </pic:cNvPicPr>
                  </pic:nvPicPr>
                  <pic:blipFill>
                    <a:blip r:embed="rId221"/>
                    <a:stretch>
                      <a:fillRect/>
                    </a:stretch>
                  </pic:blipFill>
                  <pic:spPr bwMode="auto">
                    <a:xfrm>
                      <a:off x="0" y="0"/>
                      <a:ext cx="5334000" cy="3286842"/>
                    </a:xfrm>
                    <a:prstGeom prst="rect">
                      <a:avLst/>
                    </a:prstGeom>
                    <a:noFill/>
                    <a:ln w="9525">
                      <a:noFill/>
                      <a:headEnd/>
                      <a:tailEnd/>
                    </a:ln>
                  </pic:spPr>
                </pic:pic>
              </a:graphicData>
            </a:graphic>
          </wp:inline>
        </w:drawing>
      </w:r>
    </w:p>
    <w:p>
      <w:pPr>
        <w:pStyle w:val="ImageCaption"/>
      </w:pPr>
      <w:r>
        <w:t xml:space="preserve">Figure 4.2– Class diagram, Sprint 3</w:t>
      </w:r>
    </w:p>
    <w:bookmarkEnd w:id="224"/>
    <w:p>
      <w:pPr>
        <w:pStyle w:val="BodyText"/>
      </w:pPr>
      <w:r>
        <w:t xml:space="preserve">Likes, reposts and follows are many-to-many associations; comments and notifications</w:t>
      </w:r>
      <w:r>
        <w:t xml:space="preserve"> </w:t>
      </w:r>
      <w:r>
        <w:t xml:space="preserve">are classes because they carry content and state. The four rollup tables are</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 The diagram shows that the metrics are stored</w:t>
      </w:r>
      <w:r>
        <w:t xml:space="preserve"> </w:t>
      </w:r>
      <w:r>
        <w:t xml:space="preserve">separately from the events they summarise: each rollup has one row per article or per</w:t>
      </w:r>
      <w:r>
        <w:t xml:space="preserve"> </w:t>
      </w:r>
      <w:r>
        <w:t xml:space="preserve">writer, rewritten by the aggregation, so reading a dashboard costs the same whatever</w:t>
      </w:r>
      <w:r>
        <w:t xml:space="preserve"> </w:t>
      </w:r>
      <w:r>
        <w:t xml:space="preserve">the 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28" w:name="fig:seq-aggregation"/>
    <w:p>
      <w:pPr>
        <w:pStyle w:val="CaptionedFigure"/>
      </w:pPr>
      <w:r>
        <w:drawing>
          <wp:inline>
            <wp:extent cx="5334000" cy="4114438"/>
            <wp:effectExtent b="0" l="0" r="0" t="0"/>
            <wp:docPr descr="Figure 4.3– Sequence diagram: analytics aggregation" title="" id="226" name="Picture"/>
            <a:graphic>
              <a:graphicData uri="http://schemas.openxmlformats.org/drawingml/2006/picture">
                <pic:pic>
                  <pic:nvPicPr>
                    <pic:cNvPr descr="../diagrams/fig-5-3-sequence-analytics-aggregation/fig-5-3-sequence-analytics-aggregation.png" id="227" name="Picture"/>
                    <pic:cNvPicPr>
                      <a:picLocks noChangeArrowheads="1" noChangeAspect="1"/>
                    </pic:cNvPicPr>
                  </pic:nvPicPr>
                  <pic:blipFill>
                    <a:blip r:embed="rId225"/>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28"/>
    <w:p>
      <w:pPr>
        <w:pStyle w:val="BodyText"/>
      </w:pPr>
      <w:r>
        <w:t xml:space="preserve">The browser batches events; the API takes the reader’s identity from the access token</w:t>
      </w:r>
      <w:r>
        <w:t xml:space="preserve"> </w:t>
      </w:r>
      <w:r>
        <w:t xml:space="preserve">when one is sent — never from the request body — and attaches the time and device</w:t>
      </w:r>
      <w:r>
        <w:t xml:space="preserve"> </w:t>
      </w:r>
      <w:r>
        <w:t xml:space="preserve">server-side before appending the event. Every five minutes the worker reads only the</w:t>
      </w:r>
      <w:r>
        <w:t xml:space="preserve"> </w:t>
      </w:r>
      <w:r>
        <w:t xml:space="preserve">events since the last run and upserts the per-article metrics; just after, it computes</w:t>
      </w:r>
      <w:r>
        <w:t xml:space="preserve"> </w:t>
      </w:r>
      <w:r>
        <w:t xml:space="preserve">the three per-writer rollups and rechecks marketplace eligibility. Dashboards read the</w:t>
      </w:r>
      <w:r>
        <w:t xml:space="preserve"> </w:t>
      </w:r>
      <w:r>
        <w:t xml:space="preserve">rollups, never the raw events, so they stay fast as the event log grows (NFR-15,</w:t>
      </w:r>
      <w:r>
        <w:t xml:space="preserve"> </w:t>
      </w:r>
      <w:r>
        <w:t xml:space="preserve">NFR-16). The diagram shows the one place where freshness is traded for speed: a metric</w:t>
      </w:r>
      <w:r>
        <w:t xml:space="preserve"> </w:t>
      </w:r>
      <w:r>
        <w:t xml:space="preserve">can be up to five minutes behind the events.</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29"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29"/>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33" w:name="fig:seq-notify"/>
    <w:p>
      <w:pPr>
        <w:pStyle w:val="CaptionedFigure"/>
      </w:pPr>
      <w:r>
        <w:drawing>
          <wp:inline>
            <wp:extent cx="5334000" cy="5801006"/>
            <wp:effectExtent b="0" l="0" r="0" t="0"/>
            <wp:docPr descr="Figure 4.4– Sequence diagram: live notification delivery" title="" id="231" name="Picture"/>
            <a:graphic>
              <a:graphicData uri="http://schemas.openxmlformats.org/drawingml/2006/picture">
                <pic:pic>
                  <pic:nvPicPr>
                    <pic:cNvPr descr="../diagrams/fig-5-9-sequence-notification-delivery/fig-5-9-sequence-notification-delivery.png" id="232" name="Picture"/>
                    <pic:cNvPicPr>
                      <a:picLocks noChangeArrowheads="1" noChangeAspect="1"/>
                    </pic:cNvPicPr>
                  </pic:nvPicPr>
                  <pic:blipFill>
                    <a:blip r:embed="rId230"/>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33"/>
    <w:p>
      <w:pPr>
        <w:pStyle w:val="BodyText"/>
      </w:pPr>
      <w:r>
        <w:t xml:space="preserve">The client keeps a server-sent-events stream open; when a reader likes an article, the</w:t>
      </w:r>
      <w:r>
        <w:t xml:space="preserve"> </w:t>
      </w:r>
      <w:r>
        <w:t xml:space="preserve">like and the notification row are written first, and only after the commit is the</w:t>
      </w:r>
      <w:r>
        <w:t xml:space="preserve"> </w:t>
      </w:r>
      <w:r>
        <w:t xml:space="preserve">event pushed to the recipient’s open streams. If the connection drops, the client</w:t>
      </w:r>
      <w:r>
        <w:t xml:space="preserve"> </w:t>
      </w:r>
      <w:r>
        <w:t xml:space="preserve">reconnects with the identifier of the last event received and the server replays what</w:t>
      </w:r>
      <w:r>
        <w:t xml:space="preserve"> </w:t>
      </w:r>
      <w:r>
        <w:t xml:space="preserve">was missed. The diagram shows why a notification is never lost and never announces</w:t>
      </w:r>
      <w:r>
        <w:t xml:space="preserve"> </w:t>
      </w:r>
      <w:r>
        <w:t xml:space="preserve">something that did not happen: the database is the record, and the live push is only a</w:t>
      </w:r>
      <w:r>
        <w:t xml:space="preserve"> </w:t>
      </w:r>
      <w:r>
        <w:t xml:space="preserve">faster way to read it.</w:t>
      </w:r>
    </w:p>
    <w:bookmarkEnd w:id="234"/>
    <w:bookmarkStart w:id="263"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38" w:name="fig:feed-reader"/>
    <w:p>
      <w:pPr>
        <w:pStyle w:val="CaptionedFigure"/>
      </w:pPr>
      <w:r>
        <w:drawing>
          <wp:inline>
            <wp:extent cx="4267200" cy="2667000"/>
            <wp:effectExtent b="0" l="0" r="0" t="0"/>
            <wp:docPr descr="Figure 4.5– The feed of a signed-in reader, with live card controls" title="" id="236" name="Picture"/>
            <a:graphic>
              <a:graphicData uri="http://schemas.openxmlformats.org/drawingml/2006/picture">
                <pic:pic>
                  <pic:nvPicPr>
                    <pic:cNvPr descr="../figures/screens/reader-01-feed.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38"/>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42" w:name="fig:notifications"/>
    <w:p>
      <w:pPr>
        <w:pStyle w:val="CaptionedFigure"/>
      </w:pPr>
      <w:r>
        <w:drawing>
          <wp:inline>
            <wp:extent cx="4267200" cy="2667000"/>
            <wp:effectExtent b="0" l="0" r="0" t="0"/>
            <wp:docPr descr="Figure 4.6– Notifications, filtered and grouped by day" title="" id="240" name="Picture"/>
            <a:graphic>
              <a:graphicData uri="http://schemas.openxmlformats.org/drawingml/2006/picture">
                <pic:pic>
                  <pic:nvPicPr>
                    <pic:cNvPr descr="../figures/screens/writer-12-notification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42"/>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46" w:name="fig:dashboard"/>
    <w:p>
      <w:pPr>
        <w:pStyle w:val="CaptionedFigure"/>
      </w:pPr>
      <w:r>
        <w:drawing>
          <wp:inline>
            <wp:extent cx="4267200" cy="2667000"/>
            <wp:effectExtent b="0" l="0" r="0" t="0"/>
            <wp:docPr descr="Figure 4.7– The writer’s dashboard" title="" id="244" name="Picture"/>
            <a:graphic>
              <a:graphicData uri="http://schemas.openxmlformats.org/drawingml/2006/picture">
                <pic:pic>
                  <pic:nvPicPr>
                    <pic:cNvPr descr="../figures/screens/writer-01-dashboard.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46"/>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50" w:name="fig:my-articles"/>
    <w:p>
      <w:pPr>
        <w:pStyle w:val="CaptionedFigure"/>
      </w:pPr>
      <w:r>
        <w:drawing>
          <wp:inline>
            <wp:extent cx="4267200" cy="2667000"/>
            <wp:effectExtent b="0" l="0" r="0" t="0"/>
            <wp:docPr descr="Figure 4.8– “My articles”: every article, sortable by performance" title="" id="248" name="Picture"/>
            <a:graphic>
              <a:graphicData uri="http://schemas.openxmlformats.org/drawingml/2006/picture">
                <pic:pic>
                  <pic:nvPicPr>
                    <pic:cNvPr descr="../figures/screens/writer-13-my-article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50"/>
    <w:p>
      <w:pPr>
        <w:pStyle w:val="BodyText"/>
      </w:pPr>
      <w:r>
        <w:t xml:space="preserve">“My articles”</w:t>
      </w:r>
      <w:r>
        <w:t xml:space="preserve"> </w:t>
      </w:r>
      <w:r>
        <w:t xml:space="preserve">lists every article, drafts and marketplace listings included, searchable</w:t>
      </w:r>
      <w:r>
        <w:t xml:space="preserve"> </w:t>
      </w:r>
      <w:r>
        <w:t xml:space="preserve">by content and filterable by date, with its views and engagement (FR-33). The</w:t>
      </w:r>
      <w:r>
        <w:t xml:space="preserve"> </w:t>
      </w:r>
      <w:r>
        <w:t xml:space="preserve">engagement column is the per-view rate of</w:t>
      </w:r>
      <w:r>
        <w:t xml:space="preserve"> </w:t>
      </w:r>
      <w:hyperlink w:anchor="tbl:metrics">
        <w:r>
          <w:rPr>
            <w:rStyle w:val="Hyperlink"/>
          </w:rPr>
          <w:t xml:space="preserve">Table 4.2</w:t>
        </w:r>
      </w:hyperlink>
      <w:r>
        <w:t xml:space="preserve">, which is why values above 100%</w:t>
      </w:r>
      <w:r>
        <w:t xml:space="preserve"> </w:t>
      </w:r>
      <w:r>
        <w:t xml:space="preserve">appear on articles whose seeded reactions outnumber their recorded views. Sorting</w:t>
      </w:r>
      <w:r>
        <w:t xml:space="preserve"> </w:t>
      </w:r>
      <w:r>
        <w:t xml:space="preserve">happens on the server across the whole body of work, not on the page shown.</w:t>
      </w:r>
    </w:p>
    <w:bookmarkStart w:id="254" w:name="fig:writer-analytics"/>
    <w:p>
      <w:pPr>
        <w:pStyle w:val="CaptionedFigure"/>
      </w:pPr>
      <w:r>
        <w:drawing>
          <wp:inline>
            <wp:extent cx="4267200" cy="2667000"/>
            <wp:effectExtent b="0" l="0" r="0" t="0"/>
            <wp:docPr descr="Figure 4.9– The writer’s analytics: views over the last 30 days" title="" id="252" name="Picture"/>
            <a:graphic>
              <a:graphicData uri="http://schemas.openxmlformats.org/drawingml/2006/picture">
                <pic:pic>
                  <pic:nvPicPr>
                    <pic:cNvPr descr="../figures/screens/writer-10-dashboard-analytic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54"/>
    <w:p>
      <w:pPr>
        <w:pStyle w:val="BodyText"/>
      </w:pPr>
      <w:r>
        <w:t xml:space="preserve">The analytics page gives the totals — views, average read time, engagement rate,</w:t>
      </w:r>
      <w:r>
        <w:t xml:space="preserve"> </w:t>
      </w:r>
      <w:r>
        <w:t xml:space="preserve">likes — and the daily views of the last 30 days (FR-32). The note under the chart says</w:t>
      </w:r>
      <w:r>
        <w:t xml:space="preserve"> </w:t>
      </w:r>
      <w:r>
        <w:t xml:space="preserve">that it is counted from the events, not from a rollup: a daily series is the one panel</w:t>
      </w:r>
      <w:r>
        <w:t xml:space="preserve"> </w:t>
      </w:r>
      <w:r>
        <w:t xml:space="preserve">that may read the event log directly, bounded to thirty days, as NFR-15 allows.</w:t>
      </w:r>
    </w:p>
    <w:p>
      <w:pPr>
        <w:pStyle w:val="BodyText"/>
      </w:pPr>
      <w:hyperlink w:anchor="fig:writer-profile">
        <w:r>
          <w:rPr>
            <w:rStyle w:val="Hyperlink"/>
          </w:rPr>
          <w:t xml:space="preserve">Figure 4.10</w:t>
        </w:r>
      </w:hyperlink>
      <w:r>
        <w:t xml:space="preserve"> </w:t>
      </w:r>
      <w:r>
        <w:t xml:space="preserve">shows a writer’s public profile.</w:t>
      </w:r>
    </w:p>
    <w:bookmarkStart w:id="258" w:name="fig:writer-profile"/>
    <w:p>
      <w:pPr>
        <w:pStyle w:val="CaptionedFigure"/>
      </w:pPr>
      <w:r>
        <w:drawing>
          <wp:inline>
            <wp:extent cx="4267200" cy="2667000"/>
            <wp:effectExtent b="0" l="0" r="0" t="0"/>
            <wp:docPr descr="Figure 4.10– A writer’s public profile" title="" id="256" name="Picture"/>
            <a:graphic>
              <a:graphicData uri="http://schemas.openxmlformats.org/drawingml/2006/picture">
                <pic:pic>
                  <pic:nvPicPr>
                    <pic:cNvPr descr="../figures/screens/guest-07-writer-profile.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58"/>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62" w:name="fig:find-writers"/>
    <w:p>
      <w:pPr>
        <w:pStyle w:val="CaptionedFigure"/>
      </w:pPr>
      <w:r>
        <w:drawing>
          <wp:inline>
            <wp:extent cx="4267200" cy="2667000"/>
            <wp:effectExtent b="0" l="0" r="0" t="0"/>
            <wp:docPr descr="Figure 4.11– A magazine browsing eligible writers" title="" id="260" name="Picture"/>
            <a:graphic>
              <a:graphicData uri="http://schemas.openxmlformats.org/drawingml/2006/picture">
                <pic:pic>
                  <pic:nvPicPr>
                    <pic:cNvPr descr="../figures/screens/magazine-07-discover-writer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62"/>
    <w:p>
      <w:pPr>
        <w:pStyle w:val="BodyText"/>
      </w:pPr>
      <w:r>
        <w:t xml:space="preserve">A magazine browses writers filtered to the eligible ones and by topic, searches them by</w:t>
      </w:r>
      <w:r>
        <w:t xml:space="preserve"> </w:t>
      </w:r>
      <w:r>
        <w:t xml:space="preserve">name or bio, and sorts them — here by engagement (FR-44). Each card already gives</w:t>
      </w:r>
      <w:r>
        <w:t xml:space="preserve"> </w:t>
      </w:r>
      <w:r>
        <w:t xml:space="preserve">readers, engagement and article count, and</w:t>
      </w:r>
      <w:r>
        <w:t xml:space="preserve"> </w:t>
      </w:r>
      <w:r>
        <w:rPr>
          <w:i/>
          <w:iCs/>
        </w:rPr>
        <w:t xml:space="preserve">View evaluation</w:t>
      </w:r>
      <w:r>
        <w:t xml:space="preserve"> </w:t>
      </w:r>
      <w:r>
        <w:t xml:space="preserve">opens the full report. In</w:t>
      </w:r>
      <w:r>
        <w:t xml:space="preserve"> </w:t>
      </w:r>
      <w:r>
        <w:t xml:space="preserve">this sprint the page is reachable by any magazine account; from Sprint 5 it sits behind</w:t>
      </w:r>
      <w:r>
        <w:t xml:space="preserve"> </w:t>
      </w:r>
      <w:r>
        <w:t xml:space="preserve">the subscription wall, which is why FR-44 is attributed to both sprints.</w:t>
      </w:r>
    </w:p>
    <w:bookmarkEnd w:id="263"/>
    <w:bookmarkEnd w:id="264"/>
    <w:bookmarkStart w:id="298" w:name="sec:sprint4"/>
    <w:p>
      <w:pPr>
        <w:pStyle w:val="Heading2"/>
      </w:pPr>
      <w:r>
        <w:rPr>
          <w:rStyle w:val="SectionNumber"/>
        </w:rPr>
        <w:t xml:space="preserve">4.2</w:t>
      </w:r>
      <w:r>
        <w:tab/>
      </w:r>
      <w:r>
        <w:t xml:space="preserve">Sprint 4 — Retrieval, portfolio insights and hybrid search</w:t>
      </w:r>
    </w:p>
    <w:bookmarkStart w:id="266"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65"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65"/>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66"/>
    <w:bookmarkStart w:id="271"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70" w:name="fig:uc-s4"/>
    <w:p>
      <w:pPr>
        <w:pStyle w:val="CaptionedFigure"/>
      </w:pPr>
      <w:r>
        <w:drawing>
          <wp:inline>
            <wp:extent cx="5334000" cy="2571370"/>
            <wp:effectExtent b="0" l="0" r="0" t="0"/>
            <wp:docPr descr="Figure 4.12– Use case diagram, Sprint 4" title="" id="268" name="Picture"/>
            <a:graphic>
              <a:graphicData uri="http://schemas.openxmlformats.org/drawingml/2006/picture">
                <pic:pic>
                  <pic:nvPicPr>
                    <pic:cNvPr descr="../diagrams/fig-5-5-use-case-sprint-4/fig-5-5-use-case-sprint-4.png" id="269" name="Picture"/>
                    <pic:cNvPicPr>
                      <a:picLocks noChangeArrowheads="1" noChangeAspect="1"/>
                    </pic:cNvPicPr>
                  </pic:nvPicPr>
                  <pic:blipFill>
                    <a:blip r:embed="rId267"/>
                    <a:stretch>
                      <a:fillRect/>
                    </a:stretch>
                  </pic:blipFill>
                  <pic:spPr bwMode="auto">
                    <a:xfrm>
                      <a:off x="0" y="0"/>
                      <a:ext cx="5334000" cy="2571370"/>
                    </a:xfrm>
                    <a:prstGeom prst="rect">
                      <a:avLst/>
                    </a:prstGeom>
                    <a:noFill/>
                    <a:ln w="9525">
                      <a:noFill/>
                      <a:headEnd/>
                      <a:tailEnd/>
                    </a:ln>
                  </pic:spPr>
                </pic:pic>
              </a:graphicData>
            </a:graphic>
          </wp:inline>
        </w:drawing>
      </w:r>
    </w:p>
    <w:p>
      <w:pPr>
        <w:pStyle w:val="ImageCaption"/>
      </w:pPr>
      <w:r>
        <w:t xml:space="preserve">Figure 4.12– Use case diagram, Sprint 4</w:t>
      </w:r>
    </w:p>
    <w:bookmarkEnd w:id="270"/>
    <w:p>
      <w:pPr>
        <w:pStyle w:val="BodyText"/>
      </w:pPr>
      <w:r>
        <w:t xml:space="preserve">Searching specialises into searching by keyword and by meaning and includes merging the</w:t>
      </w:r>
      <w:r>
        <w:t xml:space="preserve"> </w:t>
      </w:r>
      <w:r>
        <w:t xml:space="preserve">two result sets; using the assistant includes retrieving passages from the writer’s own</w:t>
      </w:r>
      <w:r>
        <w:t xml:space="preserve"> </w:t>
      </w:r>
      <w:r>
        <w:t xml:space="preserve">corpus and showing the sources used; publishing includes embedding the article,</w:t>
      </w:r>
      <w:r>
        <w:t xml:space="preserve"> </w:t>
      </w:r>
      <w:r>
        <w:t xml:space="preserve">extracting the writer’s voice profile and invalidating the insights cache; reading a</w:t>
      </w:r>
      <w:r>
        <w:t xml:space="preserve"> </w:t>
      </w:r>
      <w:r>
        <w:t xml:space="preserve">writer evaluation is extended by generating portfolio insights. The diagram shows that</w:t>
      </w:r>
      <w:r>
        <w:t xml:space="preserve"> </w:t>
      </w:r>
      <w:r>
        <w:t xml:space="preserve">publishing has become the trigger of the whole AI layer: every capability of the sprint</w:t>
      </w:r>
      <w:r>
        <w:t xml:space="preserve"> </w:t>
      </w:r>
      <w:r>
        <w:t xml:space="preserve">depends on what happens after a writer clicks</w:t>
      </w:r>
      <w:r>
        <w:t xml:space="preserve"> </w:t>
      </w:r>
      <w:r>
        <w:rPr>
          <w:i/>
          <w:iCs/>
        </w:rPr>
        <w:t xml:space="preserve">Publish</w:t>
      </w:r>
      <w:r>
        <w:t xml:space="preserve">.</w:t>
      </w:r>
    </w:p>
    <w:bookmarkEnd w:id="271"/>
    <w:bookmarkStart w:id="288"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75" w:name="fig:classes-s4"/>
    <w:p>
      <w:pPr>
        <w:pStyle w:val="CaptionedFigure"/>
      </w:pPr>
      <w:r>
        <w:drawing>
          <wp:inline>
            <wp:extent cx="5334000" cy="1922628"/>
            <wp:effectExtent b="0" l="0" r="0" t="0"/>
            <wp:docPr descr="Figure 4.13– Class diagram, Sprint 4" title="" id="273" name="Picture"/>
            <a:graphic>
              <a:graphicData uri="http://schemas.openxmlformats.org/drawingml/2006/picture">
                <pic:pic>
                  <pic:nvPicPr>
                    <pic:cNvPr descr="../diagrams/fig-5-6-classes-sprint-4/fig-5-6-classes-sprint-4.png" id="274" name="Picture"/>
                    <pic:cNvPicPr>
                      <a:picLocks noChangeArrowheads="1" noChangeAspect="1"/>
                    </pic:cNvPicPr>
                  </pic:nvPicPr>
                  <pic:blipFill>
                    <a:blip r:embed="rId272"/>
                    <a:stretch>
                      <a:fillRect/>
                    </a:stretch>
                  </pic:blipFill>
                  <pic:spPr bwMode="auto">
                    <a:xfrm>
                      <a:off x="0" y="0"/>
                      <a:ext cx="5334000" cy="1922628"/>
                    </a:xfrm>
                    <a:prstGeom prst="rect">
                      <a:avLst/>
                    </a:prstGeom>
                    <a:noFill/>
                    <a:ln w="9525">
                      <a:noFill/>
                      <a:headEnd/>
                      <a:tailEnd/>
                    </a:ln>
                  </pic:spPr>
                </pic:pic>
              </a:graphicData>
            </a:graphic>
          </wp:inline>
        </w:drawing>
      </w:r>
    </w:p>
    <w:p>
      <w:pPr>
        <w:pStyle w:val="ImageCaption"/>
      </w:pPr>
      <w:r>
        <w:t xml:space="preserve">Figure 4.13– Class diagram, Sprint 4</w:t>
      </w:r>
    </w:p>
    <w:bookmarkEnd w:id="275"/>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extracted voice profile (tone, style examples,</w:t>
      </w:r>
      <w:r>
        <w:t xml:space="preserve"> </w:t>
      </w:r>
      <w:r>
        <w:t xml:space="preserve">vocabulary, topics); the</w:t>
      </w:r>
      <w:r>
        <w:t xml:space="preserve"> </w:t>
      </w:r>
      <w:r>
        <w:rPr>
          <w:rStyle w:val="VerbatimChar"/>
        </w:rPr>
        <w:t xml:space="preserve">PortfolioInsight</w:t>
      </w:r>
      <w:r>
        <w:t xml:space="preserve"> </w:t>
      </w:r>
      <w:r>
        <w:t xml:space="preserve">caches the AI assessment of a writer; the</w:t>
      </w:r>
      <w:r>
        <w:t xml:space="preserve"> </w:t>
      </w:r>
      <w:r>
        <w:rPr>
          <w:rStyle w:val="VerbatimChar"/>
        </w:rPr>
        <w:t xml:space="preserve">AiInteraction</w:t>
      </w:r>
      <w:r>
        <w:t xml:space="preserve"> </w:t>
      </w:r>
      <w:r>
        <w:t xml:space="preserve">log records every call. The diagram shows that the AI layer adds data</w:t>
      </w:r>
      <w:r>
        <w:t xml:space="preserve"> </w:t>
      </w:r>
      <w:r>
        <w:t xml:space="preserve">derived from articles and never modifies them: every chunk, profile and insight can be</w:t>
      </w:r>
      <w:r>
        <w:t xml:space="preserve"> </w:t>
      </w:r>
      <w:r>
        <w:t xml:space="preserve">deleted and rebuilt from the published articles, which is what the re-embedding on</w:t>
      </w:r>
      <w:r>
        <w:t xml:space="preserve"> </w:t>
      </w:r>
      <w:r>
        <w:t xml:space="preserve">every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79" w:name="fig:seq-publish"/>
    <w:p>
      <w:pPr>
        <w:pStyle w:val="CaptionedFigure"/>
      </w:pPr>
      <w:r>
        <w:drawing>
          <wp:inline>
            <wp:extent cx="5334000" cy="4182776"/>
            <wp:effectExtent b="0" l="0" r="0" t="0"/>
            <wp:docPr descr="Figure 4.14– Sequence diagram: the publishing pipeline" title="" id="277" name="Picture"/>
            <a:graphic>
              <a:graphicData uri="http://schemas.openxmlformats.org/drawingml/2006/picture">
                <pic:pic>
                  <pic:nvPicPr>
                    <pic:cNvPr descr="../diagrams/fig-5-8-sequence-publish-pipeline/fig-5-8-sequence-publish-pipeline.png" id="278" name="Picture"/>
                    <pic:cNvPicPr>
                      <a:picLocks noChangeArrowheads="1" noChangeAspect="1"/>
                    </pic:cNvPicPr>
                  </pic:nvPicPr>
                  <pic:blipFill>
                    <a:blip r:embed="rId276"/>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79"/>
    <w:p>
      <w:pPr>
        <w:pStyle w:val="BodyText"/>
      </w:pPr>
      <w:r>
        <w:t xml:space="preserve">The API writes the article and enqueues an embedding job. The worker deletes the</w:t>
      </w:r>
      <w:r>
        <w:t xml:space="preserve"> </w:t>
      </w:r>
      <w:r>
        <w:t xml:space="preserve">article’s previous chunks, splits it into passages of 120 to 1,200 characters — each</w:t>
      </w:r>
      <w:r>
        <w:t xml:space="preserve"> </w:t>
      </w:r>
      <w:r>
        <w:t xml:space="preserve">prefixed with its nearest heading, so that a short paragraph embeds near its</w:t>
      </w:r>
      <w:r>
        <w:t xml:space="preserve"> </w:t>
      </w:r>
      <w:r>
        <w:t xml:space="preserve">subject — embeds them, stores the vectors and drops the writer’s cached insights. It</w:t>
      </w:r>
      <w:r>
        <w:t xml:space="preserve"> </w:t>
      </w:r>
      <w:r>
        <w:t xml:space="preserve">then chains the extraction of the voice profile from the most recent articles, which</w:t>
      </w:r>
      <w:r>
        <w:t xml:space="preserve"> </w:t>
      </w:r>
      <w:r>
        <w:t xml:space="preserve">the model returns as a schema‑validated object. The diagram shows that publishing</w:t>
      </w:r>
      <w:r>
        <w:t xml:space="preserve"> </w:t>
      </w:r>
      <w:r>
        <w:t xml:space="preserve">returns immediately: the writer never waits for an embedding, and a failure of the</w:t>
      </w:r>
      <w:r>
        <w:t xml:space="preserve"> </w:t>
      </w:r>
      <w:r>
        <w:t xml:space="preserve">provider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83" w:name="fig:seq-rag"/>
    <w:p>
      <w:pPr>
        <w:pStyle w:val="CaptionedFigure"/>
      </w:pPr>
      <w:r>
        <w:drawing>
          <wp:inline>
            <wp:extent cx="5334000" cy="4254984"/>
            <wp:effectExtent b="0" l="0" r="0" t="0"/>
            <wp:docPr descr="Figure 4.15– Sequence diagram: AI chat with retrieval" title="" id="281" name="Picture"/>
            <a:graphic>
              <a:graphicData uri="http://schemas.openxmlformats.org/drawingml/2006/picture">
                <pic:pic>
                  <pic:nvPicPr>
                    <pic:cNvPr descr="../diagrams/fig-5-4-sequence-ai-chat-rag/fig-5-4-sequence-ai-chat-rag.png" id="282" name="Picture"/>
                    <pic:cNvPicPr>
                      <a:picLocks noChangeArrowheads="1" noChangeAspect="1"/>
                    </pic:cNvPicPr>
                  </pic:nvPicPr>
                  <pic:blipFill>
                    <a:blip r:embed="rId280"/>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83"/>
    <w:p>
      <w:pPr>
        <w:pStyle w:val="BodyText"/>
      </w:pPr>
      <w:r>
        <w:t xml:space="preserve">The question is embedded; the five passages of the writer’s own work closest to it by</w:t>
      </w:r>
      <w:r>
        <w:t xml:space="preserve"> </w:t>
      </w:r>
      <w:r>
        <w:t xml:space="preserve">cosine similarity are retrieved, provided they score above 0.60; the voice profile is</w:t>
      </w:r>
      <w:r>
        <w:t xml:space="preserve"> </w:t>
      </w:r>
      <w:r>
        <w:t xml:space="preserve">read; the prompt is assembled from role, memory, passages and question; the answer is</w:t>
      </w:r>
      <w:r>
        <w:t xml:space="preserve"> </w:t>
      </w:r>
      <w:r>
        <w:t xml:space="preserve">streamed, and the passages used are shown as sources. The similarity floor lets</w:t>
      </w:r>
      <w:r>
        <w:t xml:space="preserve"> </w:t>
      </w:r>
      <w:r>
        <w:t xml:space="preserve">retrieval return</w:t>
      </w:r>
      <w:r>
        <w:t xml:space="preserve"> </w:t>
      </w:r>
      <w:r>
        <w:rPr>
          <w:i/>
          <w:iCs/>
        </w:rPr>
        <w:t xml:space="preserve">nothing</w:t>
      </w:r>
      <w:r>
        <w:t xml:space="preserve"> </w:t>
      </w:r>
      <w:r>
        <w:t xml:space="preserve">rather than five irrelevant passages, and the voice profile</w:t>
      </w:r>
      <w:r>
        <w:t xml:space="preserve"> </w:t>
      </w:r>
      <w:r>
        <w:t xml:space="preserve">keeps the answer in the writer’s style even then.</w:t>
      </w:r>
      <w:r>
        <w:t xml:space="preserve"> </w:t>
      </w:r>
      <w:hyperlink w:anchor="sec:eval-rag">
        <w:r>
          <w:rPr>
            <w:rStyle w:val="Hyperlink"/>
          </w:rPr>
          <w:t xml:space="preserve">Section 7.2</w:t>
        </w:r>
      </w:hyperlink>
      <w:r>
        <w:t xml:space="preserve"> </w:t>
      </w:r>
      <w:r>
        <w:t xml:space="preserve">measures how well</w:t>
      </w:r>
      <w:r>
        <w:t xml:space="preserve"> </w:t>
      </w:r>
      <w:r>
        <w:t xml:space="preserve">this retrieval finds the right passage and how often the floor correctly returns</w:t>
      </w:r>
      <w:r>
        <w:t xml:space="preserve"> </w:t>
      </w:r>
      <w:r>
        <w:t xml:space="preserve">nothing.</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87" w:name="fig:seq-search"/>
    <w:p>
      <w:pPr>
        <w:pStyle w:val="CaptionedFigure"/>
      </w:pPr>
      <w:r>
        <w:drawing>
          <wp:inline>
            <wp:extent cx="5334000" cy="4274721"/>
            <wp:effectExtent b="0" l="0" r="0" t="0"/>
            <wp:docPr descr="Figure 4.16– Sequence diagram: hybrid search with reciprocal rank fusion" title="" id="285" name="Picture"/>
            <a:graphic>
              <a:graphicData uri="http://schemas.openxmlformats.org/drawingml/2006/picture">
                <pic:pic>
                  <pic:nvPicPr>
                    <pic:cNvPr descr="../diagrams/fig-5-7-sequence-hybrid-search/fig-5-7-sequence-hybrid-search.png" id="286" name="Picture"/>
                    <pic:cNvPicPr>
                      <a:picLocks noChangeArrowheads="1" noChangeAspect="1"/>
                    </pic:cNvPicPr>
                  </pic:nvPicPr>
                  <pic:blipFill>
                    <a:blip r:embed="rId284"/>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87"/>
    <w:p>
      <w:pPr>
        <w:pStyle w:val="BodyText"/>
      </w:pPr>
      <w:r>
        <w:t xml:space="preserve">The query is ranked lexically with</w:t>
      </w:r>
      <w:r>
        <w:t xml:space="preserve"> </w:t>
      </w:r>
      <w:r>
        <w:rPr>
          <w:rStyle w:val="VerbatimChar"/>
        </w:rPr>
        <w:t xml:space="preserve">ts_rank</w:t>
      </w:r>
      <w:r>
        <w:t xml:space="preserve"> </w:t>
      </w:r>
      <w:r>
        <w:t xml:space="preserve">over the article’s weighted search vector</w:t>
      </w:r>
      <w:r>
        <w:t xml:space="preserve"> </w:t>
      </w:r>
      <w:hyperlink w:anchor="ref-postgres16fts">
        <w:r>
          <w:rPr>
            <w:rStyle w:val="Hyperlink"/>
          </w:rPr>
          <w:t xml:space="preserve">[23]</w:t>
        </w:r>
      </w:hyperlink>
      <w:r>
        <w:t xml:space="preserve">, and semantically by cosine similarity, keeping the best passage per</w:t>
      </w:r>
      <w:r>
        <w:t xml:space="preserve"> </w:t>
      </w:r>
      <w:r>
        <w:t xml:space="preserve">article. Because the two scores are on unrelated scales, the rankings are fused by</w:t>
      </w:r>
      <w:r>
        <w:t xml:space="preserve"> </w:t>
      </w:r>
      <w:r>
        <w:t xml:space="preserve">position with reciprocal rank fusion — each article scores Σ 1/(60 + rank) over the two</w:t>
      </w:r>
      <w:r>
        <w:t xml:space="preserve"> </w:t>
      </w:r>
      <w:r>
        <w:t xml:space="preserve">lists</w:t>
      </w:r>
      <w:r>
        <w:t xml:space="preserve"> </w:t>
      </w:r>
      <w:hyperlink w:anchor="ref-cormack2009rrf">
        <w:r>
          <w:rPr>
            <w:rStyle w:val="Hyperlink"/>
          </w:rPr>
          <w:t xml:space="preserve">[39]</w:t>
        </w:r>
      </w:hyperlink>
      <w:r>
        <w:t xml:space="preserve"> </w:t>
      </w:r>
      <w:r>
        <w:t xml:space="preserve">— so an article that never uses the searcher’s words can still</w:t>
      </w:r>
      <w:r>
        <w:t xml:space="preserve"> </w:t>
      </w:r>
      <w:r>
        <w:t xml:space="preserve">be found by meaning. The diagram shows that the two rankings are independent and run in</w:t>
      </w:r>
      <w:r>
        <w:t xml:space="preserve"> </w:t>
      </w:r>
      <w:r>
        <w:t xml:space="preserve">parallel: if the embedding provider fails, search degrades to keyword search instead</w:t>
      </w:r>
      <w:r>
        <w:t xml:space="preserve"> </w:t>
      </w:r>
      <w:r>
        <w:t xml:space="preserve">of failing.</w:t>
      </w:r>
      <w:r>
        <w:t xml:space="preserve"> </w:t>
      </w:r>
      <w:hyperlink w:anchor="sec:eval-search">
        <w:r>
          <w:rPr>
            <w:rStyle w:val="Hyperlink"/>
          </w:rPr>
          <w:t xml:space="preserve">Section 7.3</w:t>
        </w:r>
      </w:hyperlink>
      <w:r>
        <w:t xml:space="preserve"> </w:t>
      </w:r>
      <w:r>
        <w:t xml:space="preserve">compares the three rankings on the same queries.</w:t>
      </w:r>
    </w:p>
    <w:bookmarkEnd w:id="288"/>
    <w:bookmarkStart w:id="297"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92" w:name="fig:search"/>
    <w:p>
      <w:pPr>
        <w:pStyle w:val="CaptionedFigure"/>
      </w:pPr>
      <w:r>
        <w:drawing>
          <wp:inline>
            <wp:extent cx="4267200" cy="2667000"/>
            <wp:effectExtent b="0" l="0" r="0" t="0"/>
            <wp:docPr descr="Figure 4.17– Search results" title="" id="290" name="Picture"/>
            <a:graphic>
              <a:graphicData uri="http://schemas.openxmlformats.org/drawingml/2006/picture">
                <pic:pic>
                  <pic:nvPicPr>
                    <pic:cNvPr descr="../figures/screens/guest-09-search-results.png" id="291" name="Picture"/>
                    <pic:cNvPicPr>
                      <a:picLocks noChangeArrowheads="1" noChangeAspect="1"/>
                    </pic:cNvPicPr>
                  </pic:nvPicPr>
                  <pic:blipFill>
                    <a:blip r:embed="rId2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92"/>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96" w:name="fig:evaluation"/>
    <w:p>
      <w:pPr>
        <w:pStyle w:val="CaptionedFigure"/>
      </w:pPr>
      <w:r>
        <w:drawing>
          <wp:inline>
            <wp:extent cx="4267200" cy="2667000"/>
            <wp:effectExtent b="0" l="0" r="0" t="0"/>
            <wp:docPr descr="Figure 4.18– A writer evaluation report with portfolio insights" title="" id="294" name="Picture"/>
            <a:graphic>
              <a:graphicData uri="http://schemas.openxmlformats.org/drawingml/2006/picture">
                <pic:pic>
                  <pic:nvPicPr>
                    <pic:cNvPr descr="../figures/screens/magazine-08-writer-evaluation.png" id="295" name="Picture"/>
                    <pic:cNvPicPr>
                      <a:picLocks noChangeArrowheads="1" noChangeAspect="1"/>
                    </pic:cNvPicPr>
                  </pic:nvPicPr>
                  <pic:blipFill>
                    <a:blip r:embed="rId2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96"/>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 audience, quality with its</w:t>
      </w:r>
      <w:r>
        <w:t xml:space="preserve"> </w:t>
      </w:r>
      <w:r>
        <w:t xml:space="preserve">retention curve, and content with its topics — and the portfolio insights generated by</w:t>
      </w:r>
      <w:r>
        <w:t xml:space="preserve"> </w:t>
      </w:r>
      <w:r>
        <w:t xml:space="preserve">the model, here a description of the writer’s voice, with</w:t>
      </w:r>
      <w:r>
        <w:t xml:space="preserve"> </w:t>
      </w:r>
      <w:r>
        <w:rPr>
          <w:i/>
          <w:iCs/>
        </w:rPr>
        <w:t xml:space="preserve">Regenerate</w:t>
      </w:r>
      <w:r>
        <w:t xml:space="preserve"> </w:t>
      </w:r>
      <w:r>
        <w:t xml:space="preserve">as the explicit</w:t>
      </w:r>
      <w:r>
        <w:t xml:space="preserve"> </w:t>
      </w:r>
      <w:r>
        <w:t xml:space="preserve">action of FR-46 (FR-45, FR-46). Two fields the capture cannot measure, geographic</w:t>
      </w:r>
      <w:r>
        <w:t xml:space="preserve"> </w:t>
      </w:r>
      <w:r>
        <w:t xml:space="preserve">distribution and device split, are stated as not collected rather than shown as zero.</w:t>
      </w:r>
      <w:r>
        <w:t xml:space="preserve"> </w:t>
      </w:r>
      <w:r>
        <w:t xml:space="preserve">The screen is the reason the analytics exist: it turns reading into evidence a buyer</w:t>
      </w:r>
      <w:r>
        <w:t xml:space="preserve"> </w:t>
      </w:r>
      <w:r>
        <w:t xml:space="preserve">can weigh.</w:t>
      </w:r>
    </w:p>
    <w:bookmarkEnd w:id="297"/>
    <w:bookmarkEnd w:id="298"/>
    <w:bookmarkStart w:id="299"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99"/>
    <w:bookmarkEnd w:id="300"/>
    <w:bookmarkStart w:id="409"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01"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01"/>
    <w:bookmarkStart w:id="396" w:name="sec:sprint5"/>
    <w:p>
      <w:pPr>
        <w:pStyle w:val="Heading2"/>
      </w:pPr>
      <w:r>
        <w:rPr>
          <w:rStyle w:val="SectionNumber"/>
        </w:rPr>
        <w:t xml:space="preserve">5.1</w:t>
      </w:r>
      <w:r>
        <w:tab/>
      </w:r>
      <w:r>
        <w:t xml:space="preserve">Sprint 5 — Marketplace, subscriptions, premium and moderation</w:t>
      </w:r>
    </w:p>
    <w:bookmarkStart w:id="303"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02"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02"/>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03"/>
    <w:bookmarkStart w:id="309"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07" w:name="fig:uc-s5"/>
    <w:p>
      <w:pPr>
        <w:pStyle w:val="CaptionedFigure"/>
      </w:pPr>
      <w:r>
        <w:drawing>
          <wp:inline>
            <wp:extent cx="5334000" cy="2067768"/>
            <wp:effectExtent b="0" l="0" r="0" t="0"/>
            <wp:docPr descr="Figure 5.1– Use case diagram, Sprint 5" title="" id="305" name="Picture"/>
            <a:graphic>
              <a:graphicData uri="http://schemas.openxmlformats.org/drawingml/2006/picture">
                <pic:pic>
                  <pic:nvPicPr>
                    <pic:cNvPr descr="../diagrams/fig-6-1-use-case-sprint-5/fig-6-1-use-case-sprint-5.png" id="306" name="Picture"/>
                    <pic:cNvPicPr>
                      <a:picLocks noChangeArrowheads="1" noChangeAspect="1"/>
                    </pic:cNvPicPr>
                  </pic:nvPicPr>
                  <pic:blipFill>
                    <a:blip r:embed="rId304"/>
                    <a:stretch>
                      <a:fillRect/>
                    </a:stretch>
                  </pic:blipFill>
                  <pic:spPr bwMode="auto">
                    <a:xfrm>
                      <a:off x="0" y="0"/>
                      <a:ext cx="5334000" cy="2067768"/>
                    </a:xfrm>
                    <a:prstGeom prst="rect">
                      <a:avLst/>
                    </a:prstGeom>
                    <a:noFill/>
                    <a:ln w="9525">
                      <a:noFill/>
                      <a:headEnd/>
                      <a:tailEnd/>
                    </a:ln>
                  </pic:spPr>
                </pic:pic>
              </a:graphicData>
            </a:graphic>
          </wp:inline>
        </w:drawing>
      </w:r>
    </w:p>
    <w:p>
      <w:pPr>
        <w:pStyle w:val="ImageCaption"/>
      </w:pPr>
      <w:r>
        <w:t xml:space="preserve">Figure 5.1– Use case diagram, Sprint 5</w:t>
      </w:r>
    </w:p>
    <w:bookmarkEnd w:id="307"/>
    <w:p>
      <w:pPr>
        <w:pStyle w:val="BodyText"/>
      </w:pPr>
      <w:r>
        <w:t xml:space="preserve">A magazine without an active subscription can only subscribe; with one, it browses</w:t>
      </w:r>
      <w:r>
        <w:t xml:space="preserve"> </w:t>
      </w:r>
      <w:r>
        <w:t xml:space="preserve">the marketplace, purchases an article exclusively — unlocking a preview extends the</w:t>
      </w:r>
      <w:r>
        <w:t xml:space="preserve"> </w:t>
      </w:r>
      <w:r>
        <w:t xml:space="preserve">purchase — tops up credits, views its library and publishes a purchased article from</w:t>
      </w:r>
      <w:r>
        <w:t xml:space="preserve"> </w:t>
      </w:r>
      <w:r>
        <w:t xml:space="preserve">it. Every credit movement includes moving credits in one transaction. A writer lists</w:t>
      </w:r>
      <w:r>
        <w:t xml:space="preserve"> </w:t>
      </w:r>
      <w:r>
        <w:t xml:space="preserve">an article when the condition</w:t>
      </w:r>
      <w:r>
        <w:t xml:space="preserve"> </w:t>
      </w:r>
      <w:r>
        <w:rPr>
          <w:rStyle w:val="VerbatimChar"/>
        </w:rPr>
        <w:t xml:space="preserve">[writer is eligible]</w:t>
      </w:r>
      <w:r>
        <w:t xml:space="preserve"> </w:t>
      </w:r>
      <w:r>
        <w:t xml:space="preserve">holds, which includes setting a price and classifying the content at</w:t>
      </w:r>
      <w:r>
        <w:t xml:space="preserve"> </w:t>
      </w:r>
      <w:r>
        <w:t xml:space="preserve">publish time; the administrator reviews the report queue, grants eligibility and</w:t>
      </w:r>
      <w:r>
        <w:t xml:space="preserve"> </w:t>
      </w:r>
      <w:r>
        <w:t xml:space="preserve">manages users. The diagram shows that the subscription is the gate of every magazine</w:t>
      </w:r>
      <w:r>
        <w:t xml:space="preserve"> </w:t>
      </w:r>
      <w:r>
        <w:t xml:space="preserve">use case but one: it is the condition</w:t>
      </w:r>
      <w:r>
        <w:t xml:space="preserve"> </w:t>
      </w:r>
      <w:r>
        <w:rPr>
          <w:rStyle w:val="VerbatimChar"/>
        </w:rPr>
        <w:t xml:space="preserve">[subscription active]</w:t>
      </w:r>
      <w:r>
        <w:t xml:space="preserve"> </w:t>
      </w:r>
      <w:r>
        <w:t xml:space="preserve">of</w:t>
      </w:r>
      <w:r>
        <w:t xml:space="preserve"> </w:t>
      </w:r>
      <w:hyperlink w:anchor="sec:actors">
        <w:r>
          <w:rPr>
            <w:rStyle w:val="Hyperlink"/>
          </w:rPr>
          <w:t xml:space="preserve">Section 1.3</w:t>
        </w:r>
      </w:hyperlink>
      <w:r>
        <w:t xml:space="preserve">, drawn here as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08"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08"/>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09"/>
    <w:bookmarkStart w:id="334"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13" w:name="fig:classes-s5"/>
    <w:p>
      <w:pPr>
        <w:pStyle w:val="CaptionedFigure"/>
      </w:pPr>
      <w:r>
        <w:drawing>
          <wp:inline>
            <wp:extent cx="5334000" cy="2414302"/>
            <wp:effectExtent b="0" l="0" r="0" t="0"/>
            <wp:docPr descr="Figure 5.2– Class diagram, Sprint 5" title="" id="311" name="Picture"/>
            <a:graphic>
              <a:graphicData uri="http://schemas.openxmlformats.org/drawingml/2006/picture">
                <pic:pic>
                  <pic:nvPicPr>
                    <pic:cNvPr descr="../diagrams/fig-6-2-classes-sprint-5/fig-6-2-classes-sprint-5.png" id="312" name="Picture"/>
                    <pic:cNvPicPr>
                      <a:picLocks noChangeArrowheads="1" noChangeAspect="1"/>
                    </pic:cNvPicPr>
                  </pic:nvPicPr>
                  <pic:blipFill>
                    <a:blip r:embed="rId310"/>
                    <a:stretch>
                      <a:fillRect/>
                    </a:stretch>
                  </pic:blipFill>
                  <pic:spPr bwMode="auto">
                    <a:xfrm>
                      <a:off x="0" y="0"/>
                      <a:ext cx="5334000" cy="2414302"/>
                    </a:xfrm>
                    <a:prstGeom prst="rect">
                      <a:avLst/>
                    </a:prstGeom>
                    <a:noFill/>
                    <a:ln w="9525">
                      <a:noFill/>
                      <a:headEnd/>
                      <a:tailEnd/>
                    </a:ln>
                  </pic:spPr>
                </pic:pic>
              </a:graphicData>
            </a:graphic>
          </wp:inline>
        </w:drawing>
      </w:r>
    </w:p>
    <w:p>
      <w:pPr>
        <w:pStyle w:val="ImageCaption"/>
      </w:pPr>
      <w:r>
        <w:t xml:space="preserve">Figure 5.2– Class diagram, Sprint 5</w:t>
      </w:r>
    </w:p>
    <w:bookmarkEnd w:id="313"/>
    <w:p>
      <w:pPr>
        <w:pStyle w:val="BodyText"/>
      </w:pPr>
      <w:r>
        <w:t xml:space="preserve">A</w:t>
      </w:r>
      <w:r>
        <w:t xml:space="preserve"> </w:t>
      </w:r>
      <w:r>
        <w:rPr>
          <w:rStyle w:val="VerbatimChar"/>
        </w:rPr>
        <w:t xml:space="preserve">Purchase</w:t>
      </w:r>
      <w:r>
        <w:t xml:space="preserve"> </w:t>
      </w:r>
      <w:r>
        <w:t xml:space="preserve">records a stage — preview unlock or full purchase — with the credits paid,</w:t>
      </w:r>
      <w:r>
        <w:t xml:space="preserve"> </w:t>
      </w:r>
      <w:r>
        <w:t xml:space="preserve">the platform fee and the writer’s payout, and a full purchase links to the preview that</w:t>
      </w:r>
      <w:r>
        <w:t xml:space="preserve"> </w:t>
      </w:r>
      <w:r>
        <w:t xml:space="preserve">preceded it. Each stage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amounts are always positive and their direction</w:t>
      </w:r>
      <w:r>
        <w:t xml:space="preserve"> </w:t>
      </w:r>
      <w:r>
        <w:t xml:space="preserve">comes from the type, enforced by a constraint. The diagram shows that no balance is</w:t>
      </w:r>
      <w:r>
        <w:t xml:space="preserve"> </w:t>
      </w:r>
      <w:r>
        <w:t xml:space="preserve">stored without its explanation: the magazine’s credit balance and the writer’s earnings</w:t>
      </w:r>
      <w:r>
        <w:t xml:space="preserve"> </w:t>
      </w:r>
      <w:r>
        <w:t xml:space="preserve">are caches of the transaction rows, which is exactly what the ledger invariants check</w:t>
      </w:r>
      <w:r>
        <w:t xml:space="preserve"> </w:t>
      </w:r>
      <w:r>
        <w:t xml:space="preserve">(NFR-19).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17" w:name="fig:seq-purchase"/>
    <w:p>
      <w:pPr>
        <w:pStyle w:val="CaptionedFigure"/>
      </w:pPr>
      <w:r>
        <w:drawing>
          <wp:inline>
            <wp:extent cx="5334000" cy="8528664"/>
            <wp:effectExtent b="0" l="0" r="0" t="0"/>
            <wp:docPr descr="Figure 5.3– Sequence diagram: preview, purchase and publication" title="" id="315" name="Picture"/>
            <a:graphic>
              <a:graphicData uri="http://schemas.openxmlformats.org/drawingml/2006/picture">
                <pic:pic>
                  <pic:nvPicPr>
                    <pic:cNvPr descr="../diagrams/fig-6-3-sequence-two-stage-purchase/fig-6-3-sequence-two-stage-purchase.png" id="316" name="Picture"/>
                    <pic:cNvPicPr>
                      <a:picLocks noChangeArrowheads="1" noChangeAspect="1"/>
                    </pic:cNvPicPr>
                  </pic:nvPicPr>
                  <pic:blipFill>
                    <a:blip r:embed="rId314"/>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17"/>
    <w:p>
      <w:pPr>
        <w:pStyle w:val="BodyText"/>
      </w:pPr>
      <w:r>
        <w:t xml:space="preserve">Each purchase stage opens one database transaction: it locks the article row and reads</w:t>
      </w:r>
      <w:r>
        <w:t xml:space="preserve"> </w:t>
      </w:r>
      <w:r>
        <w:t xml:space="preserve">its owner, refusing with 409 if another magazine already owns it, then locks the</w:t>
      </w:r>
      <w:r>
        <w:t xml:space="preserve"> </w:t>
      </w:r>
      <w:r>
        <w:t xml:space="preserve">magazine’s credit balance, refuses with 402 when it is insufficient, debits the</w:t>
      </w:r>
      <w:r>
        <w:t xml:space="preserve"> </w:t>
      </w:r>
      <w:r>
        <w:t xml:space="preserve">magazine, credits the writer, and writes the purchase and its three ledger rows. The</w:t>
      </w:r>
      <w:r>
        <w:t xml:space="preserve"> </w:t>
      </w:r>
      <w:r>
        <w:t xml:space="preserve">full purchase charges only what the preview has not already paid, and leaves the</w:t>
      </w:r>
      <w:r>
        <w:t xml:space="preserve"> </w:t>
      </w:r>
      <w:r>
        <w:t xml:space="preserve">article in the magazine’s library, owned and unpublished; publishing is a third call.</w:t>
      </w:r>
      <w:r>
        <w:t xml:space="preserve"> </w:t>
      </w:r>
      <w:r>
        <w:t xml:space="preserve">The diagram shows the two guarantees of the design: the row lock rules out two</w:t>
      </w:r>
      <w:r>
        <w:t xml:space="preserve"> </w:t>
      </w:r>
      <w:r>
        <w:t xml:space="preserve">magazines buying the same article or one magazine spending the same credits twice</w:t>
      </w:r>
      <w:r>
        <w:t xml:space="preserve"> </w:t>
      </w:r>
      <w:r>
        <w:t xml:space="preserve">(NFR-20), and the idempotency key on every request rules out a retried request</w:t>
      </w:r>
      <w:r>
        <w:t xml:space="preserve"> </w:t>
      </w:r>
      <w:r>
        <w:t xml:space="preserve">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21" w:name="fig:act-eligibility"/>
    <w:p>
      <w:pPr>
        <w:pStyle w:val="CaptionedFigure"/>
      </w:pPr>
      <w:r>
        <w:drawing>
          <wp:inline>
            <wp:extent cx="5334000" cy="6402079"/>
            <wp:effectExtent b="0" l="0" r="0" t="0"/>
            <wp:docPr descr="Figure 5.4– Activity diagram: the marketplace eligibility gate" title="" id="319" name="Picture"/>
            <a:graphic>
              <a:graphicData uri="http://schemas.openxmlformats.org/drawingml/2006/picture">
                <pic:pic>
                  <pic:nvPicPr>
                    <pic:cNvPr descr="../diagrams/fig-6-4-activity-eligibility-gate/fig-6-4-activity-eligibility-gate.png" id="320" name="Picture"/>
                    <pic:cNvPicPr>
                      <a:picLocks noChangeArrowheads="1" noChangeAspect="1"/>
                    </pic:cNvPicPr>
                  </pic:nvPicPr>
                  <pic:blipFill>
                    <a:blip r:embed="rId318"/>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21"/>
    <w:p>
      <w:pPr>
        <w:pStyle w:val="BodyText"/>
      </w:pPr>
      <w:r>
        <w:t xml:space="preserve">After each aggregation the worker checks the writers above both thresholds who are not</w:t>
      </w:r>
      <w:r>
        <w:t xml:space="preserve"> </w:t>
      </w:r>
      <w:r>
        <w:t xml:space="preserve">yet eligible, marks them eligible and writes an audit-log entry with the metric</w:t>
      </w:r>
      <w:r>
        <w:t xml:space="preserve"> </w:t>
      </w:r>
      <w:r>
        <w:t xml:space="preserve">snapshot; an administrator can grant eligibility directly, with the same audit trail.</w:t>
      </w:r>
      <w:r>
        <w:t xml:space="preserve"> </w:t>
      </w:r>
      <w:r>
        <w:t xml:space="preserve">Comment likes and reposts are deliberately not counted as reactions, so that other</w:t>
      </w:r>
      <w:r>
        <w:t xml:space="preserve"> </w:t>
      </w:r>
      <w:r>
        <w:t xml:space="preserve">people’s activity cannot move a writer’s threshold. The diagram shows that both paths</w:t>
      </w:r>
      <w:r>
        <w:t xml:space="preserve"> </w:t>
      </w:r>
      <w:r>
        <w:t xml:space="preserve">end in the same audit entry, so every eligible writer can be traced to the numbers or</w:t>
      </w:r>
      <w:r>
        <w:t xml:space="preserve"> </w:t>
      </w:r>
      <w:r>
        <w:t xml:space="preserve">the 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25" w:name="fig:seq-moderation"/>
    <w:p>
      <w:pPr>
        <w:pStyle w:val="CaptionedFigure"/>
      </w:pPr>
      <w:r>
        <w:drawing>
          <wp:inline>
            <wp:extent cx="5334000" cy="6177576"/>
            <wp:effectExtent b="0" l="0" r="0" t="0"/>
            <wp:docPr descr="Figure 5.5– Sequence diagram: reporting and moderation" title="" id="323" name="Picture"/>
            <a:graphic>
              <a:graphicData uri="http://schemas.openxmlformats.org/drawingml/2006/picture">
                <pic:pic>
                  <pic:nvPicPr>
                    <pic:cNvPr descr="../diagrams/fig-6-5-sequence-moderation/fig-6-5-sequence-moderation.png" id="324" name="Picture"/>
                    <pic:cNvPicPr>
                      <a:picLocks noChangeArrowheads="1" noChangeAspect="1"/>
                    </pic:cNvPicPr>
                  </pic:nvPicPr>
                  <pic:blipFill>
                    <a:blip r:embed="rId322"/>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25"/>
    <w:p>
      <w:pPr>
        <w:pStyle w:val="BodyText"/>
      </w:pPr>
      <w:r>
        <w:t xml:space="preserve">After publication a classifier model reviews the article; a flag files a pending report</w:t>
      </w:r>
      <w:r>
        <w:t xml:space="preserve"> </w:t>
      </w:r>
      <w:r>
        <w:t xml:space="preserve">with no reporter but never blocks publication. Readers report articles, users or</w:t>
      </w:r>
      <w:r>
        <w:t xml:space="preserve"> </w:t>
      </w:r>
      <w:r>
        <w:t xml:space="preserve">comments. The administrator works the queue: dismiss the report, remove the article or</w:t>
      </w:r>
      <w:r>
        <w:t xml:space="preserve"> </w:t>
      </w:r>
      <w:r>
        <w:t xml:space="preserve">ban the author, a ban taking effect within fifteen minutes (NFR-09). The diagram shows</w:t>
      </w:r>
      <w:r>
        <w:t xml:space="preserve"> </w:t>
      </w:r>
      <w:r>
        <w:t xml:space="preserve">the policy behind the design: the classifier only</w:t>
      </w:r>
      <w:r>
        <w:t xml:space="preserve"> </w:t>
      </w:r>
      <w:r>
        <w:rPr>
          <w:i/>
          <w:iCs/>
        </w:rPr>
        <w:t xml:space="preserve">files</w:t>
      </w:r>
      <w:r>
        <w:t xml:space="preserve"> </w:t>
      </w:r>
      <w:r>
        <w:t xml:space="preserve">a report, because refusing</w:t>
      </w:r>
      <w:r>
        <w:t xml:space="preserve"> </w:t>
      </w:r>
      <w:r>
        <w:t xml:space="preserve">publication on a false positive would be worse than a human clearing it from the</w:t>
      </w:r>
      <w:r>
        <w:t xml:space="preserve"> </w:t>
      </w:r>
      <w:r>
        <w:t xml:space="preserve">queue. Its precision and recall are measured in</w:t>
      </w:r>
      <w:r>
        <w:t xml:space="preserve"> </w:t>
      </w:r>
      <w:hyperlink w:anchor="sec:eval-moderation">
        <w:r>
          <w:rPr>
            <w:rStyle w:val="Hyperlink"/>
          </w:rPr>
          <w:t xml:space="preserve">Section 7.4</w:t>
        </w:r>
      </w:hyperlink>
      <w:r>
        <w:t xml:space="preserve">.</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29" w:name="fig:act-access"/>
    <w:p>
      <w:pPr>
        <w:pStyle w:val="CaptionedFigure"/>
      </w:pPr>
      <w:r>
        <w:drawing>
          <wp:inline>
            <wp:extent cx="5334000" cy="2662435"/>
            <wp:effectExtent b="0" l="0" r="0" t="0"/>
            <wp:docPr descr="Figure 5.6– Activity diagram: the article access decision" title="" id="327" name="Picture"/>
            <a:graphic>
              <a:graphicData uri="http://schemas.openxmlformats.org/drawingml/2006/picture">
                <pic:pic>
                  <pic:nvPicPr>
                    <pic:cNvPr descr="../diagrams/fig-6-6-activity-article-access/fig-6-6-activity-article-access.png" id="328" name="Picture"/>
                    <pic:cNvPicPr>
                      <a:picLocks noChangeArrowheads="1" noChangeAspect="1"/>
                    </pic:cNvPicPr>
                  </pic:nvPicPr>
                  <pic:blipFill>
                    <a:blip r:embed="rId326"/>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29"/>
    <w:p>
      <w:pPr>
        <w:pStyle w:val="BodyText"/>
      </w:pPr>
      <w:r>
        <w:t xml:space="preserve">The author and administrators always read. A marketplace article is visible only to a</w:t>
      </w:r>
      <w:r>
        <w:t xml:space="preserve"> </w:t>
      </w:r>
      <w:r>
        <w:t xml:space="preserve">magazine with an active subscription, and its body only once that magazine has</w:t>
      </w:r>
      <w:r>
        <w:t xml:space="preserve"> </w:t>
      </w:r>
      <w:r>
        <w:t xml:space="preserve">previewed or bought it — otherwise it receives the title, excerpt and price with the</w:t>
      </w:r>
      <w:r>
        <w:t xml:space="preserve"> </w:t>
      </w:r>
      <w:r>
        <w:t xml:space="preserve">content set to</w:t>
      </w:r>
      <w:r>
        <w:t xml:space="preserve"> </w:t>
      </w:r>
      <w:r>
        <w:rPr>
          <w:rStyle w:val="VerbatimChar"/>
        </w:rPr>
        <w:t xml:space="preserve">null</w:t>
      </w:r>
      <w:r>
        <w:t xml:space="preserve">. A premium public article requires the premium plan or a</w:t>
      </w:r>
      <w:r>
        <w:t xml:space="preserve"> </w:t>
      </w:r>
      <w:r>
        <w:t xml:space="preserve">subscribed magazine. A free public article is readable by everyone. The diagram is the</w:t>
      </w:r>
      <w:r>
        <w:t xml:space="preserve"> </w:t>
      </w:r>
      <w:r>
        <w:t xml:space="preserve">rule of FR-56 and NFR-04: the browser is told the verdict and never computes it,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33" w:name="fig:state-article"/>
    <w:p>
      <w:pPr>
        <w:pStyle w:val="CaptionedFigure"/>
      </w:pPr>
      <w:r>
        <w:drawing>
          <wp:inline>
            <wp:extent cx="5334000" cy="2595636"/>
            <wp:effectExtent b="0" l="0" r="0" t="0"/>
            <wp:docPr descr="Figure 5.7– State diagram: the article lifecycle" title="" id="331" name="Picture"/>
            <a:graphic>
              <a:graphicData uri="http://schemas.openxmlformats.org/drawingml/2006/picture">
                <pic:pic>
                  <pic:nvPicPr>
                    <pic:cNvPr descr="../diagrams/fig-6-8-state-article-lifecycle/fig-6-8-state-article-lifecycle.png" id="332" name="Picture"/>
                    <pic:cNvPicPr>
                      <a:picLocks noChangeArrowheads="1" noChangeAspect="1"/>
                    </pic:cNvPicPr>
                  </pic:nvPicPr>
                  <pic:blipFill>
                    <a:blip r:embed="rId330"/>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33"/>
    <w:p>
      <w:pPr>
        <w:pStyle w:val="BodyText"/>
      </w:pPr>
      <w:r>
        <w:t xml:space="preserve">A draft is published as free, premium or listed on the marketplace. A listed article</w:t>
      </w:r>
      <w:r>
        <w:t xml:space="preserve"> </w:t>
      </w:r>
      <w:r>
        <w:t xml:space="preserve">can be withdrawn to public — never the reverse, because an article the public has read</w:t>
      </w:r>
      <w:r>
        <w:t xml:space="preserve"> </w:t>
      </w:r>
      <w:r>
        <w:t xml:space="preserve">has no exclusivity left to sell — or deleted, as long as no magazine owns it. Its first</w:t>
      </w:r>
      <w:r>
        <w:t xml:space="preserve"> </w:t>
      </w:r>
      <w:r>
        <w:t xml:space="preserve">full purchase makes it</w:t>
      </w:r>
      <w:r>
        <w:t xml:space="preserve"> </w:t>
      </w:r>
      <w:r>
        <w:rPr>
          <w:i/>
          <w:iCs/>
        </w:rPr>
        <w:t xml:space="preserve">owned</w:t>
      </w:r>
      <w:r>
        <w:t xml:space="preserve">, after which the writer can neither withdraw nor delete</w:t>
      </w:r>
      <w:r>
        <w:t xml:space="preserve"> </w:t>
      </w:r>
      <w:r>
        <w:t xml:space="preserve">it; the magazine’s publication makes it</w:t>
      </w:r>
      <w:r>
        <w:t xml:space="preserve"> </w:t>
      </w:r>
      <w:r>
        <w:rPr>
          <w:i/>
          <w:iCs/>
        </w:rPr>
        <w:t xml:space="preserve">published by a magazine</w:t>
      </w:r>
      <w:r>
        <w:t xml:space="preserve">, public and free. The</w:t>
      </w:r>
      <w:r>
        <w:t xml:space="preserve"> </w:t>
      </w:r>
      <w:r>
        <w:t xml:space="preserve">diagram shows that every transition that could destroy what a magazine paid for is</w:t>
      </w:r>
      <w:r>
        <w:t xml:space="preserve"> </w:t>
      </w:r>
      <w:r>
        <w:t xml:space="preserve">absent, which is what makes the exclusivity of</w:t>
      </w:r>
      <w:r>
        <w:t xml:space="preserve"> </w:t>
      </w:r>
      <w:hyperlink w:anchor="tbl:rules">
        <w:r>
          <w:rPr>
            <w:rStyle w:val="Hyperlink"/>
          </w:rPr>
          <w:t xml:space="preserve">Table 5.2</w:t>
        </w:r>
      </w:hyperlink>
      <w:r>
        <w:t xml:space="preserve"> </w:t>
      </w:r>
      <w:r>
        <w:t xml:space="preserve">enforceable.</w:t>
      </w:r>
    </w:p>
    <w:bookmarkEnd w:id="334"/>
    <w:bookmarkStart w:id="395"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38" w:name="fig:paywall"/>
    <w:p>
      <w:pPr>
        <w:pStyle w:val="CaptionedFigure"/>
      </w:pPr>
      <w:r>
        <w:drawing>
          <wp:inline>
            <wp:extent cx="4267200" cy="2667000"/>
            <wp:effectExtent b="0" l="0" r="0" t="0"/>
            <wp:docPr descr="Figure 5.8– A premium article behind the paywall" title="" id="336" name="Picture"/>
            <a:graphic>
              <a:graphicData uri="http://schemas.openxmlformats.org/drawingml/2006/picture">
                <pic:pic>
                  <pic:nvPicPr>
                    <pic:cNvPr descr="../figures/screens/guest-06-article-premium-paywall.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38"/>
    <w:p>
      <w:pPr>
        <w:pStyle w:val="BodyText"/>
      </w:pPr>
      <w:r>
        <w:t xml:space="preserve">The visitor reads the title, the author and the opening of the article; the rest of the</w:t>
      </w:r>
      <w:r>
        <w:t xml:space="preserve"> </w:t>
      </w:r>
      <w:r>
        <w:t xml:space="preserve">body is withheld by the access decision of</w:t>
      </w:r>
      <w:r>
        <w:t xml:space="preserve"> </w:t>
      </w:r>
      <w:hyperlink w:anchor="fig:act-access">
        <w:r>
          <w:rPr>
            <w:rStyle w:val="Hyperlink"/>
          </w:rPr>
          <w:t xml:space="preserve">Figure 5.6</w:t>
        </w:r>
      </w:hyperlink>
      <w:r>
        <w:t xml:space="preserve">, and only a premium reader</w:t>
      </w:r>
      <w:r>
        <w:t xml:space="preserve"> </w:t>
      </w:r>
      <w:r>
        <w:t xml:space="preserve">or a subscribed magazine receives it (FR-03, FR-16). What the screen does not show is as important as</w:t>
      </w:r>
      <w:r>
        <w:t xml:space="preserve"> </w:t>
      </w:r>
      <w:r>
        <w:t xml:space="preserve">what it shows: the body never reaches the browser, so it cannot be revealed by</w:t>
      </w:r>
      <w:r>
        <w:t xml:space="preserve"> </w:t>
      </w:r>
      <w:r>
        <w:t xml:space="preserve">inspecting the page.</w:t>
      </w:r>
    </w:p>
    <w:p>
      <w:pPr>
        <w:pStyle w:val="BodyText"/>
      </w:pPr>
      <w:hyperlink w:anchor="fig:plans">
        <w:r>
          <w:rPr>
            <w:rStyle w:val="Hyperlink"/>
          </w:rPr>
          <w:t xml:space="preserve">Figure 5.9</w:t>
        </w:r>
      </w:hyperlink>
      <w:r>
        <w:t xml:space="preserve"> </w:t>
      </w:r>
      <w:r>
        <w:t xml:space="preserve">shows the plans offered to a reader.</w:t>
      </w:r>
    </w:p>
    <w:bookmarkStart w:id="342" w:name="fig:plans"/>
    <w:p>
      <w:pPr>
        <w:pStyle w:val="CaptionedFigure"/>
      </w:pPr>
      <w:r>
        <w:drawing>
          <wp:inline>
            <wp:extent cx="4267200" cy="2667000"/>
            <wp:effectExtent b="0" l="0" r="0" t="0"/>
            <wp:docPr descr="Figure 5.9– The plans: free and premium" title="" id="340" name="Picture"/>
            <a:graphic>
              <a:graphicData uri="http://schemas.openxmlformats.org/drawingml/2006/picture">
                <pic:pic>
                  <pic:nvPicPr>
                    <pic:cNvPr descr="../figures/screens/reader-03-subscription-plans.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42"/>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46" w:name="fig:subscription"/>
    <w:p>
      <w:pPr>
        <w:pStyle w:val="CaptionedFigure"/>
      </w:pPr>
      <w:r>
        <w:drawing>
          <wp:inline>
            <wp:extent cx="4267200" cy="2667000"/>
            <wp:effectExtent b="0" l="0" r="0" t="0"/>
            <wp:docPr descr="Figure 5.10– A magazine’s subscription and credits" title="" id="344" name="Picture"/>
            <a:graphic>
              <a:graphicData uri="http://schemas.openxmlformats.org/drawingml/2006/picture">
                <pic:pic>
                  <pic:nvPicPr>
                    <pic:cNvPr descr="../figures/screens/magazine-06-subscription-credits.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46"/>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50" w:name="fig:marketplace"/>
    <w:p>
      <w:pPr>
        <w:pStyle w:val="CaptionedFigure"/>
      </w:pPr>
      <w:r>
        <w:drawing>
          <wp:inline>
            <wp:extent cx="4267200" cy="2667000"/>
            <wp:effectExtent b="0" l="0" r="0" t="0"/>
            <wp:docPr descr="Figure 5.11– The marketplace, with preview and purchase prices" title="" id="348" name="Picture"/>
            <a:graphic>
              <a:graphicData uri="http://schemas.openxmlformats.org/drawingml/2006/picture">
                <pic:pic>
                  <pic:nvPicPr>
                    <pic:cNvPr descr="../figures/screens/magazine-01-marketplace.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50"/>
    <w:bookmarkStart w:id="354" w:name="fig:listing"/>
    <w:p>
      <w:pPr>
        <w:pStyle w:val="CaptionedFigure"/>
      </w:pPr>
      <w:r>
        <w:drawing>
          <wp:inline>
            <wp:extent cx="4267200" cy="2667000"/>
            <wp:effectExtent b="0" l="0" r="0" t="0"/>
            <wp:docPr descr="Figure 5.12– A listing before preview" title="" id="352" name="Picture"/>
            <a:graphic>
              <a:graphicData uri="http://schemas.openxmlformats.org/drawingml/2006/picture">
                <pic:pic>
                  <pic:nvPicPr>
                    <pic:cNvPr descr="../figures/screens/magazine-02-listing-detail.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54"/>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58" w:name="fig:preview-confirm"/>
    <w:p>
      <w:pPr>
        <w:pStyle w:val="CaptionedFigure"/>
      </w:pPr>
      <w:r>
        <w:drawing>
          <wp:inline>
            <wp:extent cx="4267200" cy="2667000"/>
            <wp:effectExtent b="0" l="0" r="0" t="0"/>
            <wp:docPr descr="Figure 5.13– Confirming a preview unlock: price and balance after" title="" id="356" name="Picture"/>
            <a:graphic>
              <a:graphicData uri="http://schemas.openxmlformats.org/drawingml/2006/picture">
                <pic:pic>
                  <pic:nvPicPr>
                    <pic:cNvPr descr="../figures/screens/magazine-03-purchase-confirm.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58"/>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62" w:name="fig:library"/>
    <w:p>
      <w:pPr>
        <w:pStyle w:val="CaptionedFigure"/>
      </w:pPr>
      <w:r>
        <w:drawing>
          <wp:inline>
            <wp:extent cx="4267200" cy="2667000"/>
            <wp:effectExtent b="0" l="0" r="0" t="0"/>
            <wp:docPr descr="Figure 5.14– The magazine’s library: unpublished and published" title="" id="360" name="Picture"/>
            <a:graphic>
              <a:graphicData uri="http://schemas.openxmlformats.org/drawingml/2006/picture">
                <pic:pic>
                  <pic:nvPicPr>
                    <pic:cNvPr descr="../figures/screens/magazine-04-library.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62"/>
    <w:bookmarkStart w:id="366" w:name="fig:publish-library"/>
    <w:p>
      <w:pPr>
        <w:pStyle w:val="CaptionedFigure"/>
      </w:pPr>
      <w:r>
        <w:drawing>
          <wp:inline>
            <wp:extent cx="4267200" cy="2667000"/>
            <wp:effectExtent b="0" l="0" r="0" t="0"/>
            <wp:docPr descr="Figure 5.15– Publishing a purchased article under the magazine’s masthead" title="" id="364" name="Picture"/>
            <a:graphic>
              <a:graphicData uri="http://schemas.openxmlformats.org/drawingml/2006/picture">
                <pic:pic>
                  <pic:nvPicPr>
                    <pic:cNvPr descr="../figures/screens/magazine-09-publish-from-library.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66"/>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70" w:name="fig:licensed"/>
    <w:p>
      <w:pPr>
        <w:pStyle w:val="CaptionedFigure"/>
      </w:pPr>
      <w:r>
        <w:drawing>
          <wp:inline>
            <wp:extent cx="4267200" cy="2667000"/>
            <wp:effectExtent b="0" l="0" r="0" t="0"/>
            <wp:docPr descr="Figure 5.16– A licensed article naming both the writer and the magazine" title="" id="368" name="Picture"/>
            <a:graphic>
              <a:graphicData uri="http://schemas.openxmlformats.org/drawingml/2006/picture">
                <pic:pic>
                  <pic:nvPicPr>
                    <pic:cNvPr descr="../figures/screens/guest-10-license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70"/>
    <w:bookmarkStart w:id="374" w:name="fig:magazine-profile"/>
    <w:p>
      <w:pPr>
        <w:pStyle w:val="CaptionedFigure"/>
      </w:pPr>
      <w:r>
        <w:drawing>
          <wp:inline>
            <wp:extent cx="4267200" cy="2667000"/>
            <wp:effectExtent b="0" l="0" r="0" t="0"/>
            <wp:docPr descr="Figure 5.17– A magazine’s public profile and its published articles" title="" id="372" name="Picture"/>
            <a:graphic>
              <a:graphicData uri="http://schemas.openxmlformats.org/drawingml/2006/picture">
                <pic:pic>
                  <pic:nvPicPr>
                    <pic:cNvPr descr="../figures/screens/guest-08-magazine-profile.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74"/>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78" w:name="fig:earnings"/>
    <w:p>
      <w:pPr>
        <w:pStyle w:val="CaptionedFigure"/>
      </w:pPr>
      <w:r>
        <w:drawing>
          <wp:inline>
            <wp:extent cx="4267200" cy="2667000"/>
            <wp:effectExtent b="0" l="0" r="0" t="0"/>
            <wp:docPr descr="Figure 5.18– A writer’s earnings, itemised by preview and purchase" title="" id="376" name="Picture"/>
            <a:graphic>
              <a:graphicData uri="http://schemas.openxmlformats.org/drawingml/2006/picture">
                <pic:pic>
                  <pic:nvPicPr>
                    <pic:cNvPr descr="../figures/screens/writer-09-earnings.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78"/>
    <w:bookmarkStart w:id="382" w:name="fig:sold-article"/>
    <w:p>
      <w:pPr>
        <w:pStyle w:val="CaptionedFigure"/>
      </w:pPr>
      <w:r>
        <w:drawing>
          <wp:inline>
            <wp:extent cx="4267200" cy="2667000"/>
            <wp:effectExtent b="0" l="0" r="0" t="0"/>
            <wp:docPr descr="Figure 5.19– A sold article, as its author sees it" title="" id="380" name="Picture"/>
            <a:graphic>
              <a:graphicData uri="http://schemas.openxmlformats.org/drawingml/2006/picture">
                <pic:pic>
                  <pic:nvPicPr>
                    <pic:cNvPr descr="../figures/screens/writer-11-sol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82"/>
    <w:p>
      <w:pPr>
        <w:pStyle w:val="BodyText"/>
      </w:pPr>
      <w:r>
        <w:t xml:space="preserve">Earnings are itemised by article and by stage, and each line of the payout history</w:t>
      </w:r>
      <w:r>
        <w:t xml:space="preserve"> </w:t>
      </w:r>
      <w:r>
        <w:t xml:space="preserve">shows what the magazine paid and the platform fee: for a purchase, 54 credits paid,</w:t>
      </w:r>
      <w:r>
        <w:t xml:space="preserve"> </w:t>
      </w:r>
      <w:r>
        <w:t xml:space="preserve">10 credits of fee — 20% rounded down — and 44 credits to the writer (FR-37). The</w:t>
      </w:r>
      <w:r>
        <w:t xml:space="preserve"> </w:t>
      </w:r>
      <w:r>
        <w:t xml:space="preserve">arithmetic of</w:t>
      </w:r>
      <w:r>
        <w:t xml:space="preserve"> </w:t>
      </w:r>
      <w:hyperlink w:anchor="tbl:rules">
        <w:r>
          <w:rPr>
            <w:rStyle w:val="Hyperlink"/>
          </w:rPr>
          <w:t xml:space="preserve">Table 5.2</w:t>
        </w:r>
      </w:hyperlink>
      <w:r>
        <w:t xml:space="preserve"> </w:t>
      </w:r>
      <w:r>
        <w:t xml:space="preserve">is therefore visible to the writer, line by line, which is the</w:t>
      </w:r>
      <w:r>
        <w:t xml:space="preserve"> </w:t>
      </w:r>
      <w:r>
        <w:t xml:space="preserve">trust US-42 asks for. A sold article tells its author who owns it, and can no longer be</w:t>
      </w:r>
      <w:r>
        <w:t xml:space="preserve"> </w:t>
      </w:r>
      <w:r>
        <w:t xml:space="preserve">withdrawn or deleted (FR-72), as the lifecycle of</w:t>
      </w:r>
      <w:r>
        <w:t xml:space="preserve"> </w:t>
      </w:r>
      <w:hyperlink w:anchor="fig:state-article">
        <w:r>
          <w:rPr>
            <w:rStyle w:val="Hyperlink"/>
          </w:rPr>
          <w:t xml:space="preserve">Figure 5.7</w:t>
        </w:r>
      </w:hyperlink>
      <w:r>
        <w:t xml:space="preserve"> </w:t>
      </w:r>
      <w:r>
        <w:t xml:space="preserve">requires.</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86" w:name="fig:admin-grant"/>
    <w:p>
      <w:pPr>
        <w:pStyle w:val="CaptionedFigure"/>
      </w:pPr>
      <w:r>
        <w:drawing>
          <wp:inline>
            <wp:extent cx="4267200" cy="2667000"/>
            <wp:effectExtent b="0" l="0" r="0" t="0"/>
            <wp:docPr descr="Figure 5.20– Administration: manual eligibility grant" title="" id="384" name="Picture"/>
            <a:graphic>
              <a:graphicData uri="http://schemas.openxmlformats.org/drawingml/2006/picture">
                <pic:pic>
                  <pic:nvPicPr>
                    <pic:cNvPr descr="../figures/screens/admin-01-eligibility-grant.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86"/>
    <w:bookmarkStart w:id="390" w:name="fig:admin-users"/>
    <w:p>
      <w:pPr>
        <w:pStyle w:val="CaptionedFigure"/>
      </w:pPr>
      <w:r>
        <w:drawing>
          <wp:inline>
            <wp:extent cx="4267200" cy="2667000"/>
            <wp:effectExtent b="0" l="0" r="0" t="0"/>
            <wp:docPr descr="Figure 5.21– Administration: user management" title="" id="388" name="Picture"/>
            <a:graphic>
              <a:graphicData uri="http://schemas.openxmlformats.org/drawingml/2006/picture">
                <pic:pic>
                  <pic:nvPicPr>
                    <pic:cNvPr descr="../figures/screens/admin-02-user-table.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90"/>
    <w:bookmarkStart w:id="394" w:name="fig:admin-reports"/>
    <w:p>
      <w:pPr>
        <w:pStyle w:val="CaptionedFigure"/>
      </w:pPr>
      <w:r>
        <w:drawing>
          <wp:inline>
            <wp:extent cx="4267200" cy="2667000"/>
            <wp:effectExtent b="0" l="0" r="0" t="0"/>
            <wp:docPr descr="Figure 5.22– Administration: the report queue" title="" id="392" name="Picture"/>
            <a:graphic>
              <a:graphicData uri="http://schemas.openxmlformats.org/drawingml/2006/picture">
                <pic:pic>
                  <pic:nvPicPr>
                    <pic:cNvPr descr="../figures/screens/admin-03-report-queu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94"/>
    <w:p>
      <w:pPr>
        <w:pStyle w:val="BodyText"/>
      </w:pPr>
      <w:r>
        <w:t xml:space="preserve">The grant records who made a writer eligible (FR-55); the user table searches and</w:t>
      </w:r>
      <w:r>
        <w:t xml:space="preserve"> </w:t>
      </w:r>
      <w:r>
        <w:t xml:space="preserve">filters accounts and edits a plan (FR-53, FR-54); the report queue lists reports by</w:t>
      </w:r>
      <w:r>
        <w:t xml:space="preserve"> </w:t>
      </w:r>
      <w:r>
        <w:t xml:space="preserve">status with the four actions of</w:t>
      </w:r>
      <w:r>
        <w:t xml:space="preserve"> </w:t>
      </w:r>
      <w:hyperlink w:anchor="fig:seq-moderation">
        <w:r>
          <w:rPr>
            <w:rStyle w:val="Hyperlink"/>
          </w:rPr>
          <w:t xml:space="preserve">Figure 5.5</w:t>
        </w:r>
      </w:hyperlink>
      <w:r>
        <w:t xml:space="preserve"> </w:t>
      </w:r>
      <w:r>
        <w:t xml:space="preserve">— dismiss, mark resolved, remove the</w:t>
      </w:r>
      <w:r>
        <w:t xml:space="preserve"> </w:t>
      </w:r>
      <w:r>
        <w:t xml:space="preserve">article, ban the author (FR-51, FR-52). The second report of</w:t>
      </w:r>
      <w:r>
        <w:t xml:space="preserve"> </w:t>
      </w:r>
      <w:hyperlink w:anchor="fig:admin-reports">
        <w:r>
          <w:rPr>
            <w:rStyle w:val="Hyperlink"/>
          </w:rPr>
          <w:t xml:space="preserve">Figure 5.22</w:t>
        </w:r>
      </w:hyperlink>
      <w:r>
        <w:t xml:space="preserve"> </w:t>
      </w:r>
      <w:r>
        <w:t xml:space="preserve">has no</w:t>
      </w:r>
      <w:r>
        <w:t xml:space="preserve"> </w:t>
      </w:r>
      <w:r>
        <w:t xml:space="preserve">reporter: it was filed by the classifier at publish time (FR-57), and the</w:t>
      </w:r>
      <w:r>
        <w:t xml:space="preserve"> </w:t>
      </w:r>
      <w:r>
        <w:t xml:space="preserve">administrator’s note records why the article stayed published — the human decision the</w:t>
      </w:r>
      <w:r>
        <w:t xml:space="preserve"> </w:t>
      </w:r>
      <w:r>
        <w:t xml:space="preserve">design reserves for a person.</w:t>
      </w:r>
    </w:p>
    <w:bookmarkEnd w:id="395"/>
    <w:bookmarkEnd w:id="396"/>
    <w:bookmarkStart w:id="407" w:name="sec:sprint6"/>
    <w:p>
      <w:pPr>
        <w:pStyle w:val="Heading2"/>
      </w:pPr>
      <w:r>
        <w:rPr>
          <w:rStyle w:val="SectionNumber"/>
        </w:rPr>
        <w:t xml:space="preserve">5.2</w:t>
      </w:r>
      <w:r>
        <w:tab/>
      </w:r>
      <w:r>
        <w:t xml:space="preserve">Sprint 6 — Tests, demonstration and deployment</w:t>
      </w:r>
    </w:p>
    <w:bookmarkStart w:id="398"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97"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97"/>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98"/>
    <w:bookmarkStart w:id="399"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99"/>
    <w:bookmarkStart w:id="404"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03" w:name="fig:test-strategy"/>
    <w:p>
      <w:pPr>
        <w:pStyle w:val="CaptionedFigure"/>
      </w:pPr>
      <w:r>
        <w:drawing>
          <wp:inline>
            <wp:extent cx="5334000" cy="2581469"/>
            <wp:effectExtent b="0" l="0" r="0" t="0"/>
            <wp:docPr descr="Figure 5.23– Test strategy" title="" id="401" name="Picture"/>
            <a:graphic>
              <a:graphicData uri="http://schemas.openxmlformats.org/drawingml/2006/picture">
                <pic:pic>
                  <pic:nvPicPr>
                    <pic:cNvPr descr="../diagrams/fig-6-7-test-strategy/fig-6-7-test-strategy.png" id="402" name="Picture"/>
                    <pic:cNvPicPr>
                      <a:picLocks noChangeArrowheads="1" noChangeAspect="1"/>
                    </pic:cNvPicPr>
                  </pic:nvPicPr>
                  <pic:blipFill>
                    <a:blip r:embed="rId400"/>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03"/>
    <w:p>
      <w:pPr>
        <w:pStyle w:val="BodyText"/>
      </w:pPr>
      <w:r>
        <w:t xml:space="preserve">The base is the</w:t>
      </w:r>
      <w:r>
        <w:t xml:space="preserve"> </w:t>
      </w:r>
      <w:r>
        <w:rPr>
          <w:b/>
          <w:bCs/>
        </w:rPr>
        <w:t xml:space="preserve">unit and service tests</w:t>
      </w:r>
      <w:r>
        <w:t xml:space="preserve"> </w:t>
      </w:r>
      <w:r>
        <w:t xml:space="preserve">of the backend, which run against a real</w:t>
      </w:r>
      <w:r>
        <w:t xml:space="preserve"> </w:t>
      </w:r>
      <w:r>
        <w:t xml:space="preserve">PostgreSQL database rather than mocks, so that constraints, transactions and row locks</w:t>
      </w:r>
      <w:r>
        <w:t xml:space="preserve"> </w:t>
      </w:r>
      <w:r>
        <w:t xml:space="preserve">are exercised for real; each test runs in a transaction that is rolled back. Above them,</w:t>
      </w:r>
      <w:r>
        <w:t xml:space="preserve"> </w:t>
      </w:r>
      <w:r>
        <w:rPr>
          <w:b/>
          <w:bCs/>
        </w:rPr>
        <w:t xml:space="preserve">integration tests</w:t>
      </w:r>
      <w:r>
        <w:t xml:space="preserve"> </w:t>
      </w:r>
      <w:r>
        <w:t xml:space="preserve">go through the API — authentication, publishing, purchasing — and</w:t>
      </w:r>
      <w:r>
        <w:t xml:space="preserve"> </w:t>
      </w:r>
      <w:r>
        <w:t xml:space="preserve">verify the ledger afterwards. At the top,</w:t>
      </w:r>
      <w:r>
        <w:t xml:space="preserve"> </w:t>
      </w:r>
      <w:r>
        <w:rPr>
          <w:b/>
          <w:bCs/>
        </w:rPr>
        <w:t xml:space="preserve">end-to-end tests</w:t>
      </w:r>
      <w:r>
        <w:t xml:space="preserve"> </w:t>
      </w:r>
      <w:r>
        <w:t xml:space="preserve">drive a real browser over</w:t>
      </w:r>
      <w:r>
        <w:t xml:space="preserve"> </w:t>
      </w:r>
      <w:r>
        <w:t xml:space="preserve">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figure shows the choice behind the strategy: the database is never mocked, because</w:t>
      </w:r>
      <w:r>
        <w:t xml:space="preserve"> </w:t>
      </w:r>
      <w:r>
        <w:t xml:space="preserve">the guarantees under test — a unique constraint, a row lock, a rollback — live in the</w:t>
      </w:r>
      <w:r>
        <w:t xml:space="preserve"> </w:t>
      </w:r>
      <w:r>
        <w:t xml:space="preserve">database.</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04"/>
    <w:bookmarkStart w:id="406"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05"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05"/>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06"/>
    <w:bookmarkEnd w:id="407"/>
    <w:bookmarkStart w:id="408"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08"/>
    <w:bookmarkEnd w:id="409"/>
    <w:bookmarkStart w:id="510"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10"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10"/>
    <w:bookmarkStart w:id="440" w:name="sec:sprint7"/>
    <w:p>
      <w:pPr>
        <w:pStyle w:val="Heading2"/>
      </w:pPr>
      <w:r>
        <w:rPr>
          <w:rStyle w:val="SectionNumber"/>
        </w:rPr>
        <w:t xml:space="preserve">6.1</w:t>
      </w:r>
      <w:r>
        <w:tab/>
      </w:r>
      <w:r>
        <w:t xml:space="preserve">Sprint 7 — Comment likes, lists, block, save and share</w:t>
      </w:r>
    </w:p>
    <w:bookmarkStart w:id="412"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11"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11"/>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12"/>
    <w:bookmarkStart w:id="417"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16" w:name="fig:uc-s7"/>
    <w:p>
      <w:pPr>
        <w:pStyle w:val="CaptionedFigure"/>
      </w:pPr>
      <w:r>
        <w:drawing>
          <wp:inline>
            <wp:extent cx="5334000" cy="2183652"/>
            <wp:effectExtent b="0" l="0" r="0" t="0"/>
            <wp:docPr descr="Figure 6.1– Use case diagram, Sprint 7" title="" id="414" name="Picture"/>
            <a:graphic>
              <a:graphicData uri="http://schemas.openxmlformats.org/drawingml/2006/picture">
                <pic:pic>
                  <pic:nvPicPr>
                    <pic:cNvPr descr="../diagrams/fig-7-1-use-case-sprint-7/fig-7-1-use-case-sprint-7.png" id="415" name="Picture"/>
                    <pic:cNvPicPr>
                      <a:picLocks noChangeArrowheads="1" noChangeAspect="1"/>
                    </pic:cNvPicPr>
                  </pic:nvPicPr>
                  <pic:blipFill>
                    <a:blip r:embed="rId413"/>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6.1– Use case diagram, Sprint 7</w:t>
      </w:r>
    </w:p>
    <w:bookmarkEnd w:id="416"/>
    <w:p>
      <w:pPr>
        <w:pStyle w:val="BodyText"/>
      </w:pPr>
      <w:r>
        <w:t xml:space="preserve">Sharing and the follower lists need no account; following from a list extends viewing</w:t>
      </w:r>
      <w:r>
        <w:t xml:space="preserve"> </w:t>
      </w:r>
      <w:r>
        <w:t xml:space="preserve">it. Liking a comment and saving an article include notifying the recipient. A block</w:t>
      </w:r>
      <w:r>
        <w:t xml:space="preserve"> </w:t>
      </w:r>
      <w:r>
        <w:t xml:space="preserve">hides the two accounts from each other — profiles, articles and comments — and the only</w:t>
      </w:r>
      <w:r>
        <w:t xml:space="preserve"> </w:t>
      </w:r>
      <w:r>
        <w:t xml:space="preserve">place to lift it is the blocker’s settings. Saves are private: the author is notified,</w:t>
      </w:r>
      <w:r>
        <w:t xml:space="preserve"> </w:t>
      </w:r>
      <w:r>
        <w:t xml:space="preserve">but nobody else can see what a reader keeps. The diagram shows the difference between</w:t>
      </w:r>
      <w:r>
        <w:t xml:space="preserve"> </w:t>
      </w:r>
      <w:r>
        <w:t xml:space="preserve">the two new kinds of relationship: liking, following and sharing are public signals,</w:t>
      </w:r>
      <w:r>
        <w:t xml:space="preserve"> </w:t>
      </w:r>
      <w:r>
        <w:t xml:space="preserve">while saving and blocking are private choices that only their author can see.</w:t>
      </w:r>
    </w:p>
    <w:bookmarkEnd w:id="417"/>
    <w:bookmarkStart w:id="422"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21" w:name="fig:classes-s7"/>
    <w:p>
      <w:pPr>
        <w:pStyle w:val="CaptionedFigure"/>
      </w:pPr>
      <w:r>
        <w:drawing>
          <wp:inline>
            <wp:extent cx="5334000" cy="3010158"/>
            <wp:effectExtent b="0" l="0" r="0" t="0"/>
            <wp:docPr descr="Figure 6.2– Class diagram, Sprint 7" title="" id="419" name="Picture"/>
            <a:graphic>
              <a:graphicData uri="http://schemas.openxmlformats.org/drawingml/2006/picture">
                <pic:pic>
                  <pic:nvPicPr>
                    <pic:cNvPr descr="../diagrams/fig-7-2-classes-sprint-7/fig-7-2-classes-sprint-7.png" id="420" name="Picture"/>
                    <pic:cNvPicPr>
                      <a:picLocks noChangeArrowheads="1" noChangeAspect="1"/>
                    </pic:cNvPicPr>
                  </pic:nvPicPr>
                  <pic:blipFill>
                    <a:blip r:embed="rId418"/>
                    <a:stretch>
                      <a:fillRect/>
                    </a:stretch>
                  </pic:blipFill>
                  <pic:spPr bwMode="auto">
                    <a:xfrm>
                      <a:off x="0" y="0"/>
                      <a:ext cx="5334000" cy="3010158"/>
                    </a:xfrm>
                    <a:prstGeom prst="rect">
                      <a:avLst/>
                    </a:prstGeom>
                    <a:noFill/>
                    <a:ln w="9525">
                      <a:noFill/>
                      <a:headEnd/>
                      <a:tailEnd/>
                    </a:ln>
                  </pic:spPr>
                </pic:pic>
              </a:graphicData>
            </a:graphic>
          </wp:inline>
        </w:drawing>
      </w:r>
    </w:p>
    <w:p>
      <w:pPr>
        <w:pStyle w:val="ImageCaption"/>
      </w:pPr>
      <w:r>
        <w:t xml:space="preserve">Figure 6.2– Class diagram, Sprint 7</w:t>
      </w:r>
    </w:p>
    <w:bookmarkEnd w:id="421"/>
    <w:p>
      <w:pPr>
        <w:pStyle w:val="BodyText"/>
      </w:pPr>
      <w:r>
        <w:t xml:space="preserve">Comment likes, blocks and saves are many-to-many associations, created and removed</w:t>
      </w:r>
      <w:r>
        <w:t xml:space="preserve"> </w:t>
      </w:r>
      <w:r>
        <w:t xml:space="preserve">by the operations the sprint adds to</w:t>
      </w:r>
      <w:r>
        <w:t xml:space="preserve"> </w:t>
      </w:r>
      <w:r>
        <w:rPr>
          <w:rStyle w:val="VerbatimChar"/>
        </w:rPr>
        <w:t xml:space="preserve">User</w:t>
      </w:r>
      <w:r>
        <w:t xml:space="preserve"> </w:t>
      </w:r>
      <w:r>
        <w:t xml:space="preserve">(</w:t>
      </w:r>
      <w:r>
        <w:rPr>
          <w:rStyle w:val="VerbatimChar"/>
        </w:rPr>
        <w:t xml:space="preserve">likeComment()</w:t>
      </w:r>
      <w:r>
        <w:t xml:space="preserve">,</w:t>
      </w:r>
      <w:r>
        <w:t xml:space="preserve"> </w:t>
      </w:r>
      <w:r>
        <w:rPr>
          <w:rStyle w:val="VerbatimChar"/>
        </w:rPr>
        <w:t xml:space="preserve">block()</w:t>
      </w:r>
      <w:r>
        <w:t xml:space="preserve">,</w:t>
      </w:r>
      <w:r>
        <w:t xml:space="preserve"> </w:t>
      </w:r>
      <w:r>
        <w:rPr>
          <w:rStyle w:val="VerbatimChar"/>
        </w:rPr>
        <w:t xml:space="preserve">save()</w:t>
      </w:r>
      <w:r>
        <w:t xml:space="preserve"> </w:t>
      </w:r>
      <w:r>
        <w:t xml:space="preserve">and</w:t>
      </w:r>
      <w:r>
        <w:t xml:space="preserve"> </w:t>
      </w:r>
      <w:r>
        <w:t xml:space="preserve">their inverses), each stored as a join table with a unique constraint on its pair, so a repeated request is a no-op, and a</w:t>
      </w:r>
      <w:r>
        <w:t xml:space="preserve"> </w:t>
      </w:r>
      <w:r>
        <w:t xml:space="preserve">notification is emitted only when a row was actually inserted; a check constraint</w:t>
      </w:r>
      <w:r>
        <w:t xml:space="preserve"> </w:t>
      </w:r>
      <w:r>
        <w:t xml:space="preserve">forbids blocking oneself. A block row is directional, but every read treats it both</w:t>
      </w:r>
      <w:r>
        <w:t xml:space="preserve"> </w:t>
      </w:r>
      <w:r>
        <w:t xml:space="preserve">ways. Comment likes are kept apart from article likes, so that by construction they can</w:t>
      </w:r>
      <w:r>
        <w:t xml:space="preserve"> </w:t>
      </w:r>
      <w:r>
        <w:t xml:space="preserve">never count towards a writer’s eligibility. The diagram shows that the sprint changed no</w:t>
      </w:r>
      <w:r>
        <w:t xml:space="preserve"> </w:t>
      </w:r>
      <w:r>
        <w:t xml:space="preserve">existing class: the social layer grew by association only, which is why it could be</w:t>
      </w:r>
      <w:r>
        <w:t xml:space="preserve"> </w:t>
      </w:r>
      <w:r>
        <w:t xml:space="preserve">added at the end without reopening the marketplace rules.</w:t>
      </w:r>
    </w:p>
    <w:bookmarkEnd w:id="422"/>
    <w:bookmarkStart w:id="439"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26" w:name="fig:saved"/>
    <w:p>
      <w:pPr>
        <w:pStyle w:val="CaptionedFigure"/>
      </w:pPr>
      <w:r>
        <w:drawing>
          <wp:inline>
            <wp:extent cx="4267200" cy="2667000"/>
            <wp:effectExtent b="0" l="0" r="0" t="0"/>
            <wp:docPr descr="Figure 6.3– The Saved shelf" title="" id="424" name="Picture"/>
            <a:graphic>
              <a:graphicData uri="http://schemas.openxmlformats.org/drawingml/2006/picture">
                <pic:pic>
                  <pic:nvPicPr>
                    <pic:cNvPr descr="../figures/screens/reader-05-saved.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26"/>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30" w:name="fig:blocked"/>
    <w:p>
      <w:pPr>
        <w:pStyle w:val="CaptionedFigure"/>
      </w:pPr>
      <w:r>
        <w:drawing>
          <wp:inline>
            <wp:extent cx="4267200" cy="2667000"/>
            <wp:effectExtent b="0" l="0" r="0" t="0"/>
            <wp:docPr descr="Figure 6.4– Blocked accounts, in settings" title="" id="428" name="Picture"/>
            <a:graphic>
              <a:graphicData uri="http://schemas.openxmlformats.org/drawingml/2006/picture">
                <pic:pic>
                  <pic:nvPicPr>
                    <pic:cNvPr descr="../figures/screens/reader-06-blocked-accounts.png" id="429" name="Picture"/>
                    <pic:cNvPicPr>
                      <a:picLocks noChangeArrowheads="1" noChangeAspect="1"/>
                    </pic:cNvPicPr>
                  </pic:nvPicPr>
                  <pic:blipFill>
                    <a:blip r:embed="rId4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30"/>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34" w:name="fig:following-feed"/>
    <w:p>
      <w:pPr>
        <w:pStyle w:val="CaptionedFigure"/>
      </w:pPr>
      <w:r>
        <w:drawing>
          <wp:inline>
            <wp:extent cx="4267200" cy="2667000"/>
            <wp:effectExtent b="0" l="0" r="0" t="0"/>
            <wp:docPr descr="Figure 6.5– The following feed" title="" id="432" name="Picture"/>
            <a:graphic>
              <a:graphicData uri="http://schemas.openxmlformats.org/drawingml/2006/picture">
                <pic:pic>
                  <pic:nvPicPr>
                    <pic:cNvPr descr="../figures/screens/reader-07-following-feed.png" id="433" name="Picture"/>
                    <pic:cNvPicPr>
                      <a:picLocks noChangeArrowheads="1" noChangeAspect="1"/>
                    </pic:cNvPicPr>
                  </pic:nvPicPr>
                  <pic:blipFill>
                    <a:blip r:embed="rId4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34"/>
    <w:bookmarkStart w:id="438" w:name="fig:followers-search"/>
    <w:p>
      <w:pPr>
        <w:pStyle w:val="CaptionedFigure"/>
      </w:pPr>
      <w:r>
        <w:drawing>
          <wp:inline>
            <wp:extent cx="4267200" cy="2667000"/>
            <wp:effectExtent b="0" l="0" r="0" t="0"/>
            <wp:docPr descr="Figure 6.6– A follower list, searched" title="" id="436" name="Picture"/>
            <a:graphic>
              <a:graphicData uri="http://schemas.openxmlformats.org/drawingml/2006/picture">
                <pic:pic>
                  <pic:nvPicPr>
                    <pic:cNvPr descr="../figures/screens/reader-08-followers-search.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38"/>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39"/>
    <w:bookmarkEnd w:id="440"/>
    <w:bookmarkStart w:id="478" w:name="sec:sprint8"/>
    <w:p>
      <w:pPr>
        <w:pStyle w:val="Heading2"/>
      </w:pPr>
      <w:r>
        <w:rPr>
          <w:rStyle w:val="SectionNumber"/>
        </w:rPr>
        <w:t xml:space="preserve">6.2</w:t>
      </w:r>
      <w:r>
        <w:tab/>
      </w:r>
      <w:r>
        <w:t xml:space="preserve">Sprint 8 — Live cards, the assistant that writes, and voice</w:t>
      </w:r>
    </w:p>
    <w:bookmarkStart w:id="442"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41"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41"/>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42"/>
    <w:bookmarkStart w:id="447"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46" w:name="fig:uc-s8"/>
    <w:p>
      <w:pPr>
        <w:pStyle w:val="CaptionedFigure"/>
      </w:pPr>
      <w:r>
        <w:drawing>
          <wp:inline>
            <wp:extent cx="5334000" cy="3824227"/>
            <wp:effectExtent b="0" l="0" r="0" t="0"/>
            <wp:docPr descr="Figure 6.7– Use case diagram, Sprint 8" title="" id="444" name="Picture"/>
            <a:graphic>
              <a:graphicData uri="http://schemas.openxmlformats.org/drawingml/2006/picture">
                <pic:pic>
                  <pic:nvPicPr>
                    <pic:cNvPr descr="../diagrams/fig-7-3-use-case-sprint-8/fig-7-3-use-case-sprint-8.png" id="445" name="Picture"/>
                    <pic:cNvPicPr>
                      <a:picLocks noChangeArrowheads="1" noChangeAspect="1"/>
                    </pic:cNvPicPr>
                  </pic:nvPicPr>
                  <pic:blipFill>
                    <a:blip r:embed="rId443"/>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6.7– Use case diagram, Sprint 8</w:t>
      </w:r>
    </w:p>
    <w:bookmarkEnd w:id="446"/>
    <w:p>
      <w:pPr>
        <w:pStyle w:val="BodyText"/>
      </w:pPr>
      <w:r>
        <w:t xml:space="preserve">Briefing the assistant specialises into receiving an answer in the panel and having</w:t>
      </w:r>
      <w:r>
        <w:t xml:space="preserve"> </w:t>
      </w:r>
      <w:r>
        <w:t xml:space="preserve">text written into the document, and includes following the live pipeline steps and</w:t>
      </w:r>
      <w:r>
        <w:t xml:space="preserve"> </w:t>
      </w:r>
      <w:r>
        <w:t xml:space="preserve">consuming the allowance; keeping or discarding the written text includes the write.</w:t>
      </w:r>
      <w:r>
        <w:t xml:space="preserve"> </w:t>
      </w:r>
      <w:r>
        <w:t xml:space="preserve">Dictating extends the brief and is billed; hearing the reply extends the answer. The</w:t>
      </w:r>
      <w:r>
        <w:t xml:space="preserve"> </w:t>
      </w:r>
      <w:r>
        <w:t xml:space="preserve">choice between answering and writing is the assistant’s, made per message; it</w:t>
      </w:r>
      <w:r>
        <w:t xml:space="preserve"> </w:t>
      </w:r>
      <w:r>
        <w:t xml:space="preserve">supersedes the manual</w:t>
      </w:r>
      <w:r>
        <w:t xml:space="preserve"> </w:t>
      </w:r>
      <w:r>
        <w:t xml:space="preserve">“insert the answer into the document”</w:t>
      </w:r>
      <w:r>
        <w:t xml:space="preserve"> </w:t>
      </w:r>
      <w:r>
        <w:t xml:space="preserve">of Sprint 2 (FR-30,</w:t>
      </w:r>
      <w:r>
        <w:t xml:space="preserve"> </w:t>
      </w:r>
      <w:r>
        <w:t xml:space="preserve">superseded by FR-78). The diagram shows the change of role: in Sprint 2 the writer</w:t>
      </w:r>
      <w:r>
        <w:t xml:space="preserve"> </w:t>
      </w:r>
      <w:r>
        <w:t xml:space="preserve">copied text from a chat, in Sprint 8 the assistant writes where the writer works and</w:t>
      </w:r>
      <w:r>
        <w:t xml:space="preserve"> </w:t>
      </w:r>
      <w:r>
        <w:t xml:space="preserve">the writer keeps or discards it.</w:t>
      </w:r>
    </w:p>
    <w:bookmarkEnd w:id="447"/>
    <w:bookmarkStart w:id="460"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51" w:name="fig:seq-turn"/>
    <w:p>
      <w:pPr>
        <w:pStyle w:val="CaptionedFigure"/>
      </w:pPr>
      <w:r>
        <w:drawing>
          <wp:inline>
            <wp:extent cx="5334000" cy="4888028"/>
            <wp:effectExtent b="0" l="0" r="0" t="0"/>
            <wp:docPr descr="Figure 6.8– Sequence diagram: one assistant turn" title="" id="449" name="Picture"/>
            <a:graphic>
              <a:graphicData uri="http://schemas.openxmlformats.org/drawingml/2006/picture">
                <pic:pic>
                  <pic:nvPicPr>
                    <pic:cNvPr descr="../diagrams/fig-7-4-sequence-assistant-turn/fig-7-4-sequence-assistant-turn.png" id="450" name="Picture"/>
                    <pic:cNvPicPr>
                      <a:picLocks noChangeArrowheads="1" noChangeAspect="1"/>
                    </pic:cNvPicPr>
                  </pic:nvPicPr>
                  <pic:blipFill>
                    <a:blip r:embed="rId448"/>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51"/>
    <w:p>
      <w:pPr>
        <w:pStyle w:val="BodyText"/>
      </w:pPr>
      <w:r>
        <w:t xml:space="preserve">The request carries the conversation, the article and any selection. The system reads</w:t>
      </w:r>
      <w:r>
        <w:t xml:space="preserve"> </w:t>
      </w:r>
      <w:r>
        <w:t xml:space="preserve">the draft, the writer’s voice profile and — when documents are attached — passages from</w:t>
      </w:r>
      <w:r>
        <w:t xml:space="preserve"> </w:t>
      </w:r>
      <w:r>
        <w:t xml:space="preserve">them, reporting each stage to the panel as it completes. A single routing call to the</w:t>
      </w:r>
      <w:r>
        <w:t xml:space="preserve"> </w:t>
      </w:r>
      <w:r>
        <w:t xml:space="preserve">model 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model then adds a one-line recap. The tokens of both calls are</w:t>
      </w:r>
      <w:r>
        <w:t xml:space="preserve"> </w:t>
      </w:r>
      <w:r>
        <w:t xml:space="preserve">settled once, at the end; a stopped turn still bills an estimate of what was produced.</w:t>
      </w:r>
      <w:r>
        <w:t xml:space="preserve"> </w:t>
      </w:r>
      <w:r>
        <w:t xml:space="preserve">The diagram shows why the panel can show real steps rather than a spinner: each stage</w:t>
      </w:r>
      <w:r>
        <w:t xml:space="preserve"> </w:t>
      </w:r>
      <w:r>
        <w:t xml:space="preserve">is a part of the response stream, sent as soon as it is done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55" w:name="fig:seq-write"/>
    <w:p>
      <w:pPr>
        <w:pStyle w:val="CaptionedFigure"/>
      </w:pPr>
      <w:r>
        <w:drawing>
          <wp:inline>
            <wp:extent cx="5334000" cy="3253211"/>
            <wp:effectExtent b="0" l="0" r="0" t="0"/>
            <wp:docPr descr="Figure 6.9– Sequence diagram: writing into the document" title="" id="453" name="Picture"/>
            <a:graphic>
              <a:graphicData uri="http://schemas.openxmlformats.org/drawingml/2006/picture">
                <pic:pic>
                  <pic:nvPicPr>
                    <pic:cNvPr descr="../diagrams/fig-7-5-sequence-in-document-write/fig-7-5-sequence-in-document-write.png" id="454" name="Picture"/>
                    <pic:cNvPicPr>
                      <a:picLocks noChangeArrowheads="1" noChangeAspect="1"/>
                    </pic:cNvPicPr>
                  </pic:nvPicPr>
                  <pic:blipFill>
                    <a:blip r:embed="rId45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55"/>
    <w:p>
      <w:pPr>
        <w:pStyle w:val="BodyText"/>
      </w:pPr>
      <w:r>
        <w:t xml:space="preserve">The system retrieves passages from the writer’s other published articles and streams</w:t>
      </w:r>
      <w:r>
        <w:t xml:space="preserve"> </w:t>
      </w:r>
      <w:r>
        <w:t xml:space="preserve">the article text from a second model call. The panel opens a range in the editor at a</w:t>
      </w:r>
      <w:r>
        <w:t xml:space="preserve"> </w:t>
      </w:r>
      <w:r>
        <w:t xml:space="preserve">block boundary — after the block holding the cursor, or over the selected blocks — tints</w:t>
      </w:r>
      <w:r>
        <w:t xml:space="preserve"> </w:t>
      </w:r>
      <w:r>
        <w:t xml:space="preserve">it and refuses the writer’s own edits inside it; each Markdown block is inserted as</w:t>
      </w:r>
      <w:r>
        <w:t xml:space="preserve"> </w:t>
      </w:r>
      <w:r>
        <w:t xml:space="preserve">soon as it is complete, outside the undo history. When the stream ends, the writer</w:t>
      </w:r>
      <w:r>
        <w:t xml:space="preserve"> </w:t>
      </w:r>
      <w:r>
        <w:t xml:space="preserve">keeps the text, which becomes one undo step, or discards it, which restores exactly</w:t>
      </w:r>
      <w:r>
        <w:t xml:space="preserve"> </w:t>
      </w:r>
      <w:r>
        <w:t xml:space="preserve">what was there. The diagram shows the guarantee behind the design: opening the range at</w:t>
      </w:r>
      <w:r>
        <w:t xml:space="preserve"> </w:t>
      </w:r>
      <w:r>
        <w:t xml:space="preserve">a block boundary is what makes the restoration exact, because every node the writer</w:t>
      </w:r>
      <w:r>
        <w:t xml:space="preserve"> </w:t>
      </w:r>
      <w:r>
        <w:t xml:space="preserve">owns stays untouched.</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59" w:name="fig:seq-voice"/>
    <w:p>
      <w:pPr>
        <w:pStyle w:val="CaptionedFigure"/>
      </w:pPr>
      <w:r>
        <w:drawing>
          <wp:inline>
            <wp:extent cx="5334000" cy="3698187"/>
            <wp:effectExtent b="0" l="0" r="0" t="0"/>
            <wp:docPr descr="Figure 6.10– Sequence diagram: the voice round trip" title="" id="457" name="Picture"/>
            <a:graphic>
              <a:graphicData uri="http://schemas.openxmlformats.org/drawingml/2006/picture">
                <pic:pic>
                  <pic:nvPicPr>
                    <pic:cNvPr descr="../diagrams/fig-7-6-sequence-voice-round-trip/fig-7-6-sequence-voice-round-trip.png" id="458" name="Picture"/>
                    <pic:cNvPicPr>
                      <a:picLocks noChangeArrowheads="1" noChangeAspect="1"/>
                    </pic:cNvPicPr>
                  </pic:nvPicPr>
                  <pic:blipFill>
                    <a:blip r:embed="rId456"/>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59"/>
    <w:p>
      <w:pPr>
        <w:pStyle w:val="BodyText"/>
      </w:pPr>
      <w:r>
        <w:t xml:space="preserve">A recording of at most five minutes is sent with its length; the system checks the</w:t>
      </w:r>
      <w:r>
        <w:t xml:space="preserve"> </w:t>
      </w:r>
      <w:r>
        <w:t xml:space="preserve">allowance, the format and the size, transcribes it with Whisper, settles the</w:t>
      </w:r>
      <w:r>
        <w:t xml:space="preserve"> </w:t>
      </w:r>
      <w:r>
        <w:t xml:space="preserve">duration — the provider’s when it reports one, otherwise the larger of the client’s</w:t>
      </w:r>
      <w:r>
        <w:t xml:space="preserve"> </w:t>
      </w:r>
      <w:r>
        <w:t xml:space="preserve">figure and a floor derived from the file size — and bills 200 tokens per started</w:t>
      </w:r>
      <w:r>
        <w:t xml:space="preserve"> </w:t>
      </w:r>
      <w:r>
        <w:t xml:space="preserve">minute. The transcript lands in the composer, editable. Reading a reply aloud is free</w:t>
      </w:r>
      <w:r>
        <w:t xml:space="preserve"> </w:t>
      </w:r>
      <w:r>
        <w:t xml:space="preserve">to the writer and limited per account instead, to 20 replies a minute and 300 a day.</w:t>
      </w:r>
      <w:r>
        <w:t xml:space="preserve"> </w:t>
      </w:r>
      <w:r>
        <w:t xml:space="preserve">The diagram shows that the client’s claim about duration is never trusted alone: the</w:t>
      </w:r>
      <w:r>
        <w:t xml:space="preserve"> </w:t>
      </w:r>
      <w:r>
        <w:t xml:space="preserve">billing uses the larger of what the client says and what the file size proves.</w:t>
      </w:r>
    </w:p>
    <w:bookmarkEnd w:id="460"/>
    <w:bookmarkStart w:id="477"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64" w:name="fig:reposted"/>
    <w:p>
      <w:pPr>
        <w:pStyle w:val="CaptionedFigure"/>
      </w:pPr>
      <w:r>
        <w:drawing>
          <wp:inline>
            <wp:extent cx="4267200" cy="2667000"/>
            <wp:effectExtent b="0" l="0" r="0" t="0"/>
            <wp:docPr descr="Figure 6.11– The Reposted tab of a profile" title="" id="462" name="Picture"/>
            <a:graphic>
              <a:graphicData uri="http://schemas.openxmlformats.org/drawingml/2006/picture">
                <pic:pic>
                  <pic:nvPicPr>
                    <pic:cNvPr descr="../figures/screens/reader-09-reposted-tab.png" id="463" name="Picture"/>
                    <pic:cNvPicPr>
                      <a:picLocks noChangeArrowheads="1" noChangeAspect="1"/>
                    </pic:cNvPicPr>
                  </pic:nvPicPr>
                  <pic:blipFill>
                    <a:blip r:embed="rId46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64"/>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68" w:name="fig:keep-discard"/>
    <w:p>
      <w:pPr>
        <w:pStyle w:val="CaptionedFigure"/>
      </w:pPr>
      <w:r>
        <w:drawing>
          <wp:inline>
            <wp:extent cx="4267200" cy="2667000"/>
            <wp:effectExtent b="0" l="0" r="0" t="0"/>
            <wp:docPr descr="Figure 6.12– A write awaiting Keep or Discard" title="" id="466" name="Picture"/>
            <a:graphic>
              <a:graphicData uri="http://schemas.openxmlformats.org/drawingml/2006/picture">
                <pic:pic>
                  <pic:nvPicPr>
                    <pic:cNvPr descr="../figures/screens/writer-14-ai-keep-discard.png" id="467" name="Picture"/>
                    <pic:cNvPicPr>
                      <a:picLocks noChangeArrowheads="1" noChangeAspect="1"/>
                    </pic:cNvPicPr>
                  </pic:nvPicPr>
                  <pic:blipFill>
                    <a:blip r:embed="rId46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68"/>
    <w:p>
      <w:pPr>
        <w:pStyle w:val="BodyText"/>
      </w:pPr>
      <w:r>
        <w:t xml:space="preserve">Asked for a closing paragraph</w:t>
      </w:r>
      <w:r>
        <w:t xml:space="preserve"> </w:t>
      </w:r>
      <w:r>
        <w:t xml:space="preserve">“in my voice”</w:t>
      </w:r>
      <w:r>
        <w:t xml:space="preserve">, the assistant chose to write rather than</w:t>
      </w:r>
      <w:r>
        <w:t xml:space="preserve"> </w:t>
      </w:r>
      <w:r>
        <w:t xml:space="preserve">answer (FR-78). The panel lists the real steps — words read, profile, thinking, five</w:t>
      </w:r>
      <w:r>
        <w:t xml:space="preserve"> </w:t>
      </w:r>
      <w:r>
        <w:t xml:space="preserve">passages from four articles, the size of the write — and a one-line recap; in the</w:t>
      </w:r>
      <w:r>
        <w:t xml:space="preserve"> </w:t>
      </w:r>
      <w:r>
        <w:t xml:space="preserve">editor, the new paragraph is tinted at the end of the draft with</w:t>
      </w:r>
      <w:r>
        <w:t xml:space="preserve"> </w:t>
      </w:r>
      <w:r>
        <w:rPr>
          <w:i/>
          <w:iCs/>
        </w:rPr>
        <w:t xml:space="preserve">Keep</w:t>
      </w:r>
      <w:r>
        <w:t xml:space="preserve">,</w:t>
      </w:r>
      <w:r>
        <w:t xml:space="preserve"> </w:t>
      </w:r>
      <w:r>
        <w:rPr>
          <w:i/>
          <w:iCs/>
        </w:rPr>
        <w:t xml:space="preserve">Discard</w:t>
      </w:r>
      <w:r>
        <w:t xml:space="preserve"> </w:t>
      </w:r>
      <w:r>
        <w:t xml:space="preserve">and</w:t>
      </w:r>
      <w:r>
        <w:t xml:space="preserve"> </w:t>
      </w:r>
      <w:r>
        <w:t xml:space="preserve">the reminder that Ctrl+Z undoes after keeping (FR-79, FR-80). While the decision is</w:t>
      </w:r>
      <w:r>
        <w:t xml:space="preserve"> </w:t>
      </w:r>
      <w:r>
        <w:t xml:space="preserve">pending, the composer is disabled: the writer cannot start a second write over an</w:t>
      </w:r>
      <w:r>
        <w:t xml:space="preserve"> </w:t>
      </w:r>
      <w:r>
        <w:t xml:space="preserve">undecided one.</w:t>
      </w:r>
    </w:p>
    <w:p>
      <w:pPr>
        <w:pStyle w:val="BodyText"/>
      </w:pPr>
      <w:hyperlink w:anchor="fig:rail">
        <w:r>
          <w:rPr>
            <w:rStyle w:val="Hyperlink"/>
          </w:rPr>
          <w:t xml:space="preserve">Figure 6.13</w:t>
        </w:r>
      </w:hyperlink>
      <w:r>
        <w:t xml:space="preserve"> </w:t>
      </w:r>
      <w:r>
        <w:t xml:space="preserve">shows the live step on the collapsed panel.</w:t>
      </w:r>
    </w:p>
    <w:bookmarkStart w:id="472" w:name="fig:rail"/>
    <w:p>
      <w:pPr>
        <w:pStyle w:val="CaptionedFigure"/>
      </w:pPr>
      <w:r>
        <w:drawing>
          <wp:inline>
            <wp:extent cx="4267200" cy="2667000"/>
            <wp:effectExtent b="0" l="0" r="0" t="0"/>
            <wp:docPr descr="Figure 6.13– The live step on the collapsed panel" title="" id="470" name="Picture"/>
            <a:graphic>
              <a:graphicData uri="http://schemas.openxmlformats.org/drawingml/2006/picture">
                <pic:pic>
                  <pic:nvPicPr>
                    <pic:cNvPr descr="../figures/screens/writer-15-ai-rail-live-step.png" id="471" name="Picture"/>
                    <pic:cNvPicPr>
                      <a:picLocks noChangeArrowheads="1" noChangeAspect="1"/>
                    </pic:cNvPicPr>
                  </pic:nvPicPr>
                  <pic:blipFill>
                    <a:blip r:embed="rId46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72"/>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76" w:name="fig:voice"/>
    <w:p>
      <w:pPr>
        <w:pStyle w:val="CaptionedFigure"/>
      </w:pPr>
      <w:r>
        <w:drawing>
          <wp:inline>
            <wp:extent cx="4267200" cy="2106385"/>
            <wp:effectExtent b="0" l="0" r="0" t="0"/>
            <wp:docPr descr="Figure 6.14– Recording a prompt" title="" id="474" name="Picture"/>
            <a:graphic>
              <a:graphicData uri="http://schemas.openxmlformats.org/drawingml/2006/picture">
                <pic:pic>
                  <pic:nvPicPr>
                    <pic:cNvPr descr="../figures/screens/writer-19-voice-recording.png" id="475" name="Picture"/>
                    <pic:cNvPicPr>
                      <a:picLocks noChangeArrowheads="1" noChangeAspect="1"/>
                    </pic:cNvPicPr>
                  </pic:nvPicPr>
                  <pic:blipFill>
                    <a:blip r:embed="rId473"/>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76"/>
    <w:p>
      <w:pPr>
        <w:pStyle w:val="BodyText"/>
      </w:pPr>
      <w:r>
        <w:t xml:space="preserve">While recording, the composer says</w:t>
      </w:r>
      <w:r>
        <w:t xml:space="preserve"> </w:t>
      </w:r>
      <w:r>
        <w:rPr>
          <w:i/>
          <w:iCs/>
        </w:rPr>
        <w:t xml:space="preserve">Listening… speak your prompt</w:t>
      </w:r>
      <w:r>
        <w:t xml:space="preserve"> </w:t>
      </w:r>
      <w:r>
        <w:t xml:space="preserve">and shows the</w:t>
      </w:r>
      <w:r>
        <w:t xml:space="preserve"> </w:t>
      </w:r>
      <w:r>
        <w:t xml:space="preserve">elapsed time with a control to confirm and one to cancel; on confirmation the</w:t>
      </w:r>
      <w:r>
        <w:t xml:space="preserve"> </w:t>
      </w:r>
      <w:r>
        <w:t xml:space="preserve">transcript fills the composer, where it can be edited before sending (FR-82).</w:t>
      </w:r>
      <w:r>
        <w:t xml:space="preserve"> </w:t>
      </w:r>
      <w:r>
        <w:t xml:space="preserve">Dictation is billed against the same daily allowance as typed prompts, so voice is a</w:t>
      </w:r>
      <w:r>
        <w:t xml:space="preserve"> </w:t>
      </w:r>
      <w:r>
        <w:t xml:space="preserve">way of writing a prompt, not a separate service.</w:t>
      </w:r>
    </w:p>
    <w:bookmarkEnd w:id="477"/>
    <w:bookmarkEnd w:id="478"/>
    <w:bookmarkStart w:id="508" w:name="sec:sprint9"/>
    <w:p>
      <w:pPr>
        <w:pStyle w:val="Heading2"/>
      </w:pPr>
      <w:r>
        <w:rPr>
          <w:rStyle w:val="SectionNumber"/>
        </w:rPr>
        <w:t xml:space="preserve">6.3</w:t>
      </w:r>
      <w:r>
        <w:tab/>
      </w:r>
      <w:r>
        <w:t xml:space="preserve">Sprint 9 — Document library and citations</w:t>
      </w:r>
    </w:p>
    <w:bookmarkStart w:id="480"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79"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79"/>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80"/>
    <w:bookmarkStart w:id="485"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84" w:name="fig:uc-s9"/>
    <w:p>
      <w:pPr>
        <w:pStyle w:val="CaptionedFigure"/>
      </w:pPr>
      <w:r>
        <w:drawing>
          <wp:inline>
            <wp:extent cx="5334000" cy="1415786"/>
            <wp:effectExtent b="0" l="0" r="0" t="0"/>
            <wp:docPr descr="Figure 6.15– Use case diagram, Sprint 9" title="" id="482" name="Picture"/>
            <a:graphic>
              <a:graphicData uri="http://schemas.openxmlformats.org/drawingml/2006/picture">
                <pic:pic>
                  <pic:nvPicPr>
                    <pic:cNvPr descr="../diagrams/fig-7-7-use-case-sprint-9/fig-7-7-use-case-sprint-9.png" id="483" name="Picture"/>
                    <pic:cNvPicPr>
                      <a:picLocks noChangeArrowheads="1" noChangeAspect="1"/>
                    </pic:cNvPicPr>
                  </pic:nvPicPr>
                  <pic:blipFill>
                    <a:blip r:embed="rId481"/>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6.15– Use case diagram, Sprint 9</w:t>
      </w:r>
    </w:p>
    <w:bookmarkEnd w:id="484"/>
    <w:p>
      <w:pPr>
        <w:pStyle w:val="BodyText"/>
      </w:pPr>
      <w:r>
        <w:t xml:space="preserve">Managing the library specialises into uploading, retrying a failed document and</w:t>
      </w:r>
      <w:r>
        <w:t xml:space="preserve"> </w:t>
      </w:r>
      <w:r>
        <w:t xml:space="preserve">deleting; uploading and retrying include extracting, chunking and embedding the text.</w:t>
      </w:r>
      <w:r>
        <w:t xml:space="preserve"> </w:t>
      </w:r>
      <w:r>
        <w:t xml:space="preserve">Attaching documents to an article is extended by detaching one. Asking the assistant</w:t>
      </w:r>
      <w:r>
        <w:t xml:space="preserve"> </w:t>
      </w:r>
      <w:r>
        <w:t xml:space="preserve">is extended by citing passages as</w:t>
      </w:r>
      <w:r>
        <w:t xml:space="preserve"> </w:t>
      </w:r>
      <w:r>
        <w:rPr>
          <w:i/>
          <w:iCs/>
        </w:rPr>
        <w:t xml:space="preserve">[Title, p. N]</w:t>
      </w:r>
      <w:r>
        <w:t xml:space="preserve">, itself extended by opening a cited</w:t>
      </w:r>
      <w:r>
        <w:t xml:space="preserve"> </w:t>
      </w:r>
      <w:r>
        <w:t xml:space="preserve">passage at its page. Documents are PDF, DOCX, TXT or Markdown files under 10 MB and 200</w:t>
      </w:r>
      <w:r>
        <w:t xml:space="preserve"> </w:t>
      </w:r>
      <w:r>
        <w:t xml:space="preserve">pages, at most 20 per writer. The diagram shows the privacy boundary of the feature: a</w:t>
      </w:r>
      <w:r>
        <w:t xml:space="preserve"> </w:t>
      </w:r>
      <w:r>
        <w:t xml:space="preserve">document is the writer’s alone, and it never feeds the voice profile, portfolio</w:t>
      </w:r>
      <w:r>
        <w:t xml:space="preserve"> </w:t>
      </w:r>
      <w:r>
        <w:t xml:space="preserve">insights or search (FR-87).</w:t>
      </w:r>
    </w:p>
    <w:bookmarkEnd w:id="485"/>
    <w:bookmarkStart w:id="494"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489" w:name="fig:classes-s9"/>
    <w:p>
      <w:pPr>
        <w:pStyle w:val="CaptionedFigure"/>
      </w:pPr>
      <w:r>
        <w:drawing>
          <wp:inline>
            <wp:extent cx="5334000" cy="4095229"/>
            <wp:effectExtent b="0" l="0" r="0" t="0"/>
            <wp:docPr descr="Figure 6.16– Class diagram, Sprint 9" title="" id="487" name="Picture"/>
            <a:graphic>
              <a:graphicData uri="http://schemas.openxmlformats.org/drawingml/2006/picture">
                <pic:pic>
                  <pic:nvPicPr>
                    <pic:cNvPr descr="../diagrams/fig-7-8-classes-sprint-9/fig-7-8-classes-sprint-9.png" id="488" name="Picture"/>
                    <pic:cNvPicPr>
                      <a:picLocks noChangeArrowheads="1" noChangeAspect="1"/>
                    </pic:cNvPicPr>
                  </pic:nvPicPr>
                  <pic:blipFill>
                    <a:blip r:embed="rId486"/>
                    <a:stretch>
                      <a:fillRect/>
                    </a:stretch>
                  </pic:blipFill>
                  <pic:spPr bwMode="auto">
                    <a:xfrm>
                      <a:off x="0" y="0"/>
                      <a:ext cx="5334000" cy="4095229"/>
                    </a:xfrm>
                    <a:prstGeom prst="rect">
                      <a:avLst/>
                    </a:prstGeom>
                    <a:noFill/>
                    <a:ln w="9525">
                      <a:noFill/>
                      <a:headEnd/>
                      <a:tailEnd/>
                    </a:ln>
                  </pic:spPr>
                </pic:pic>
              </a:graphicData>
            </a:graphic>
          </wp:inline>
        </w:drawing>
      </w:r>
    </w:p>
    <w:p>
      <w:pPr>
        <w:pStyle w:val="ImageCaption"/>
      </w:pPr>
      <w:r>
        <w:t xml:space="preserve">Figure 6.16– Class diagram, Sprint 9</w:t>
      </w:r>
    </w:p>
    <w:bookmarkEnd w:id="489"/>
    <w:p>
      <w:pPr>
        <w:pStyle w:val="BodyText"/>
      </w:pPr>
      <w:r>
        <w:t xml:space="preserve">A</w:t>
      </w:r>
      <w:r>
        <w:t xml:space="preserve"> </w:t>
      </w:r>
      <w:r>
        <w:rPr>
          <w:rStyle w:val="VerbatimChar"/>
        </w:rPr>
        <w:t xml:space="preserve">Document</w:t>
      </w:r>
      <w:r>
        <w:t xml:space="preserve"> </w:t>
      </w:r>
      <w:r>
        <w:t xml:space="preserve">carries its status, page and chunk counts and a readable error; its</w:t>
      </w:r>
      <w:r>
        <w:t xml:space="preserve"> </w:t>
      </w:r>
      <w:r>
        <w:rPr>
          <w:rStyle w:val="VerbatimChar"/>
        </w:rPr>
        <w:t xml:space="preserve">DocumentChunk</w:t>
      </w:r>
      <w:r>
        <w:t xml:space="preserve">s each keep the page they came from, which is what a citation points to;</w:t>
      </w:r>
      <w:r>
        <w:t xml:space="preserve"> </w:t>
      </w:r>
      <w:r>
        <w:t xml:space="preserve">and documents are attached to articles by a many-to-many association. The status moves</w:t>
      </w:r>
      <w:r>
        <w:t xml:space="preserve"> </w:t>
      </w:r>
      <w:r>
        <w:t xml:space="preserve">from pending to extracting to ready, or to failed with a reason the writer can act on;</w:t>
      </w:r>
      <w:r>
        <w:t xml:space="preserve"> </w:t>
      </w:r>
      <w:r>
        <w:t xml:space="preserve">the only backward move is a retry. The diagram shows that a citation is a property of</w:t>
      </w:r>
      <w:r>
        <w:t xml:space="preserve"> </w:t>
      </w:r>
      <w:r>
        <w:t xml:space="preserve">the data, not of the model’s output: the page number travels with the chunk from</w:t>
      </w:r>
      <w:r>
        <w:t xml:space="preserve"> </w:t>
      </w:r>
      <w:r>
        <w:t xml:space="preserve">extraction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93" w:name="fig:seq-ingest"/>
    <w:p>
      <w:pPr>
        <w:pStyle w:val="CaptionedFigure"/>
      </w:pPr>
      <w:r>
        <w:drawing>
          <wp:inline>
            <wp:extent cx="5334000" cy="5116941"/>
            <wp:effectExtent b="0" l="0" r="0" t="0"/>
            <wp:docPr descr="Figure 6.17– Sequence diagram: document upload and ingestion" title="" id="491" name="Picture"/>
            <a:graphic>
              <a:graphicData uri="http://schemas.openxmlformats.org/drawingml/2006/picture">
                <pic:pic>
                  <pic:nvPicPr>
                    <pic:cNvPr descr="../diagrams/fig-7-9-sequence-document-ingestion/fig-7-9-sequence-document-ingestion.png" id="492" name="Picture"/>
                    <pic:cNvPicPr>
                      <a:picLocks noChangeArrowheads="1" noChangeAspect="1"/>
                    </pic:cNvPicPr>
                  </pic:nvPicPr>
                  <pic:blipFill>
                    <a:blip r:embed="rId490"/>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493"/>
    <w:p>
      <w:pPr>
        <w:pStyle w:val="BodyText"/>
      </w:pPr>
      <w:r>
        <w:t xml:space="preserve">The browser asks for a presigned URL and uploads the file straight to a private</w:t>
      </w:r>
      <w:r>
        <w:t xml:space="preserve"> </w:t>
      </w:r>
      <w:r>
        <w:t xml:space="preserve">bucket — the file never passes through the API. The registration checks that the object</w:t>
      </w:r>
      <w:r>
        <w:t xml:space="preserve"> </w:t>
      </w:r>
      <w:r>
        <w:t xml:space="preserve">exists and is under 10 MB, counts the writer’s documents under a per-writer lock and</w:t>
      </w:r>
      <w:r>
        <w:t xml:space="preserve"> </w:t>
      </w:r>
      <w:r>
        <w:t xml:space="preserve">queues ingestion. The worker extracts the text page by page, refuses a document over</w:t>
      </w:r>
      <w:r>
        <w:t xml:space="preserve"> </w:t>
      </w:r>
      <w:r>
        <w:t xml:space="preserve">200 pages or without a text layer with a readable reason, then chunks it, embeds the</w:t>
      </w:r>
      <w:r>
        <w:t xml:space="preserve"> </w:t>
      </w:r>
      <w:r>
        <w:t xml:space="preserve">chunks and marks it ready in one transaction. The diagram shows that a document is</w:t>
      </w:r>
      <w:r>
        <w:t xml:space="preserve"> </w:t>
      </w:r>
      <w:r>
        <w:t xml:space="preserve">either fully usable or clearly refused: there is no state in which the assistant can</w:t>
      </w:r>
      <w:r>
        <w:t xml:space="preserve"> </w:t>
      </w:r>
      <w:r>
        <w:t xml:space="preserve">retrieve half a document.</w:t>
      </w:r>
    </w:p>
    <w:bookmarkEnd w:id="494"/>
    <w:bookmarkStart w:id="507"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498" w:name="fig:documents"/>
    <w:p>
      <w:pPr>
        <w:pStyle w:val="CaptionedFigure"/>
      </w:pPr>
      <w:r>
        <w:drawing>
          <wp:inline>
            <wp:extent cx="4267200" cy="2667000"/>
            <wp:effectExtent b="0" l="0" r="0" t="0"/>
            <wp:docPr descr="Figure 6.18– The document library, one document refused with its reason" title="" id="496" name="Picture"/>
            <a:graphic>
              <a:graphicData uri="http://schemas.openxmlformats.org/drawingml/2006/picture">
                <pic:pic>
                  <pic:nvPicPr>
                    <pic:cNvPr descr="../figures/screens/writer-16-document-library.png" id="497" name="Picture"/>
                    <pic:cNvPicPr>
                      <a:picLocks noChangeArrowheads="1" noChangeAspect="1"/>
                    </pic:cNvPicPr>
                  </pic:nvPicPr>
                  <pic:blipFill>
                    <a:blip r:embed="rId4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498"/>
    <w:p>
      <w:pPr>
        <w:pStyle w:val="BodyText"/>
      </w:pPr>
      <w:r>
        <w:t xml:space="preserve">The library lists each document with its type, pages, status, size and upload time,</w:t>
      </w:r>
      <w:r>
        <w:t xml:space="preserve"> </w:t>
      </w:r>
      <w:r>
        <w:t xml:space="preserve">and counts the documents against the limit — 2 of 20 (FR-84). One document is being</w:t>
      </w:r>
      <w:r>
        <w:t xml:space="preserve"> </w:t>
      </w:r>
      <w:r>
        <w:t xml:space="preserve">extracted; the other is refused with the reason</w:t>
      </w:r>
      <w:r>
        <w:t xml:space="preserve"> </w:t>
      </w:r>
      <w:r>
        <w:t xml:space="preserve">“This document has no text to read”</w:t>
      </w:r>
      <w:r>
        <w:t xml:space="preserve"> </w:t>
      </w:r>
      <w:r>
        <w:t xml:space="preserve">and offers a retry: a failure is stated in words the writer can act on, not as an error</w:t>
      </w:r>
      <w:r>
        <w:t xml:space="preserve"> </w:t>
      </w:r>
      <w:r>
        <w:t xml:space="preserve">code.</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02" w:name="fig:sources"/>
    <w:p>
      <w:pPr>
        <w:pStyle w:val="CaptionedFigure"/>
      </w:pPr>
      <w:r>
        <w:drawing>
          <wp:inline>
            <wp:extent cx="4267200" cy="2667000"/>
            <wp:effectExtent b="0" l="0" r="0" t="0"/>
            <wp:docPr descr="Figure 6.19– Attaching a document from the Sources tab" title="" id="500" name="Picture"/>
            <a:graphic>
              <a:graphicData uri="http://schemas.openxmlformats.org/drawingml/2006/picture">
                <pic:pic>
                  <pic:nvPicPr>
                    <pic:cNvPr descr="../figures/screens/writer-17-ai-sources-tab.png" id="501" name="Picture"/>
                    <pic:cNvPicPr>
                      <a:picLocks noChangeArrowheads="1" noChangeAspect="1"/>
                    </pic:cNvPicPr>
                  </pic:nvPicPr>
                  <pic:blipFill>
                    <a:blip r:embed="rId4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02"/>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06" w:name="fig:cited"/>
    <w:p>
      <w:pPr>
        <w:pStyle w:val="CaptionedFigure"/>
      </w:pPr>
      <w:r>
        <w:drawing>
          <wp:inline>
            <wp:extent cx="5334000" cy="3333750"/>
            <wp:effectExtent b="0" l="0" r="0" t="0"/>
            <wp:docPr descr="Figure 6.20– A reply citing its source as [Title, p. N]" title="" id="504" name="Picture"/>
            <a:graphic>
              <a:graphicData uri="http://schemas.openxmlformats.org/drawingml/2006/picture">
                <pic:pic>
                  <pic:nvPicPr>
                    <pic:cNvPr descr="../figures/screens/writer-18-ai-cited-reply.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06"/>
    <w:p>
      <w:pPr>
        <w:pStyle w:val="BodyText"/>
      </w:pPr>
      <w:r>
        <w:t xml:space="preserve">Asked a factual question about the writer’s field notes, the assistant retrieved three</w:t>
      </w:r>
      <w:r>
        <w:t xml:space="preserve"> </w:t>
      </w:r>
      <w:r>
        <w:t xml:space="preserve">passages from one document and answered with the figure and its source,</w:t>
      </w:r>
      <w:r>
        <w:t xml:space="preserve"> </w:t>
      </w:r>
      <w:r>
        <w:rPr>
          <w:i/>
          <w:iCs/>
        </w:rPr>
        <w:t xml:space="preserve">[Tackle Market Field Notes, p. 2]</w:t>
      </w:r>
      <w:r>
        <w:t xml:space="preserve"> </w:t>
      </w:r>
      <w:r>
        <w:t xml:space="preserve">(FR-86). The steps above the answer show where the</w:t>
      </w:r>
      <w:r>
        <w:t xml:space="preserve"> </w:t>
      </w:r>
      <w:r>
        <w:t xml:space="preserve">facts came from before the answer is read. The writer can therefore check a claim</w:t>
      </w:r>
      <w:r>
        <w:t xml:space="preserve"> </w:t>
      </w:r>
      <w:r>
        <w:t xml:space="preserve">before it goes out under their name, which is the purpose of US-72.</w:t>
      </w:r>
    </w:p>
    <w:bookmarkEnd w:id="507"/>
    <w:bookmarkEnd w:id="508"/>
    <w:bookmarkStart w:id="509"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09"/>
    <w:bookmarkEnd w:id="510"/>
    <w:bookmarkStart w:id="527" w:name="sec:ch7"/>
    <w:p>
      <w:pPr>
        <w:sectPr>
          <w:footnotePr>
            <w:numRestart w:val="eachSect"/>
          </w:footnotePr>
        </w:sectPr>
      </w:pPr>
    </w:p>
    <w:p>
      <w:pPr>
        <w:pStyle w:val="Heading1"/>
      </w:pPr>
      <w:r>
        <w:rPr>
          <w:rStyle w:val="SectionNumber"/>
        </w:rPr>
        <w:t xml:space="preserve">7</w:t>
      </w:r>
      <w:r>
        <w:tab/>
      </w:r>
      <w:r>
        <w:t xml:space="preserve">Evaluation</w:t>
      </w:r>
    </w:p>
    <w:bookmarkStart w:id="511"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11"/>
    <w:bookmarkStart w:id="512"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12"/>
    <w:bookmarkStart w:id="514"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13"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13"/>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14"/>
    <w:bookmarkStart w:id="516"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15"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15"/>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16"/>
    <w:bookmarkStart w:id="518"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17"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17"/>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18"/>
    <w:bookmarkStart w:id="521"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19"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19"/>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20"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20"/>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21"/>
    <w:bookmarkStart w:id="522"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22"/>
    <w:bookmarkStart w:id="525"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23"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23"/>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24"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24"/>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25"/>
    <w:bookmarkStart w:id="526"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26"/>
    <w:bookmarkEnd w:id="527"/>
    <w:bookmarkStart w:id="530"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28"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28"/>
    <w:bookmarkStart w:id="529"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29"/>
    <w:bookmarkEnd w:id="530"/>
    <w:bookmarkStart w:id="619" w:name="references"/>
    <w:p>
      <w:pPr>
        <w:sectPr>
          <w:footnotePr>
            <w:numRestart w:val="eachSect"/>
          </w:footnotePr>
        </w:sectPr>
      </w:pPr>
    </w:p>
    <w:p>
      <w:pPr>
        <w:pStyle w:val="Heading1"/>
      </w:pPr>
      <w:r>
        <w:t xml:space="preserve">References</w:t>
      </w:r>
    </w:p>
    <w:bookmarkStart w:id="618" w:name="refs"/>
    <w:bookmarkStart w:id="532"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31">
        <w:r>
          <w:rPr>
            <w:rStyle w:val="Hyperlink"/>
          </w:rPr>
          <w:t xml:space="preserve">https://www.goldmansachs.com/insights/articles/the-creator-economy-could-approach-half-a-trillion-dollars-by-2027</w:t>
        </w:r>
      </w:hyperlink>
    </w:p>
    <w:bookmarkEnd w:id="532"/>
    <w:bookmarkStart w:id="534"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33">
        <w:r>
          <w:rPr>
            <w:rStyle w:val="Hyperlink"/>
          </w:rPr>
          <w:t xml:space="preserve">https://www.grammarly.com/ai</w:t>
        </w:r>
      </w:hyperlink>
    </w:p>
    <w:bookmarkEnd w:id="534"/>
    <w:bookmarkStart w:id="536"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35">
        <w:r>
          <w:rPr>
            <w:rStyle w:val="Hyperlink"/>
          </w:rPr>
          <w:t xml:space="preserve">https://www.notion.com/product/ai</w:t>
        </w:r>
      </w:hyperlink>
    </w:p>
    <w:bookmarkEnd w:id="536"/>
    <w:bookmarkStart w:id="538"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37">
        <w:r>
          <w:rPr>
            <w:rStyle w:val="Hyperlink"/>
          </w:rPr>
          <w:t xml:space="preserve">https://www.beehiiv.com/features/artificial-intelligence</w:t>
        </w:r>
      </w:hyperlink>
    </w:p>
    <w:bookmarkEnd w:id="538"/>
    <w:bookmarkStart w:id="540"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39">
        <w:r>
          <w:rPr>
            <w:rStyle w:val="Hyperlink"/>
          </w:rPr>
          <w:t xml:space="preserve">https://help.medium.com/hc/en-us/articles/360036691193</w:t>
        </w:r>
      </w:hyperlink>
    </w:p>
    <w:bookmarkEnd w:id="540"/>
    <w:bookmarkStart w:id="542"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41">
        <w:r>
          <w:rPr>
            <w:rStyle w:val="Hyperlink"/>
          </w:rPr>
          <w:t xml:space="preserve">https://substack.com/about</w:t>
        </w:r>
      </w:hyperlink>
    </w:p>
    <w:bookmarkEnd w:id="542"/>
    <w:bookmarkStart w:id="544"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43">
        <w:r>
          <w:rPr>
            <w:rStyle w:val="Hyperlink"/>
          </w:rPr>
          <w:t xml:space="preserve">https://ghost.org/features/</w:t>
        </w:r>
      </w:hyperlink>
    </w:p>
    <w:bookmarkEnd w:id="544"/>
    <w:bookmarkStart w:id="546"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45">
        <w:r>
          <w:rPr>
            <w:rStyle w:val="Hyperlink"/>
          </w:rPr>
          <w:t xml:space="preserve">https://contently.com</w:t>
        </w:r>
      </w:hyperlink>
    </w:p>
    <w:bookmarkEnd w:id="546"/>
    <w:bookmarkStart w:id="548"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47">
        <w:r>
          <w:rPr>
            <w:rStyle w:val="Hyperlink"/>
          </w:rPr>
          <w:t xml:space="preserve">https://www.upwork.com/hire/writers/</w:t>
        </w:r>
      </w:hyperlink>
    </w:p>
    <w:bookmarkEnd w:id="548"/>
    <w:bookmarkStart w:id="550"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49">
        <w:r>
          <w:rPr>
            <w:rStyle w:val="Hyperlink"/>
          </w:rPr>
          <w:t xml:space="preserve">https://blog.google/technology/ai/notebooklm-goes-global-support-for-websites-slides-fact-check/</w:t>
        </w:r>
      </w:hyperlink>
    </w:p>
    <w:bookmarkEnd w:id="550"/>
    <w:bookmarkStart w:id="552"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51">
        <w:r>
          <w:rPr>
            <w:rStyle w:val="Hyperlink"/>
          </w:rPr>
          <w:t xml:space="preserve">https://help.openai.com/en/articles/8555545-file-uploads-faq</w:t>
        </w:r>
      </w:hyperlink>
    </w:p>
    <w:bookmarkEnd w:id="552"/>
    <w:bookmarkStart w:id="554"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53">
        <w:r>
          <w:rPr>
            <w:rStyle w:val="Hyperlink"/>
          </w:rPr>
          <w:t xml:space="preserve">https://www.perplexity.ai/help-center/en/articles/10352961-what-are-spaces</w:t>
        </w:r>
      </w:hyperlink>
    </w:p>
    <w:bookmarkEnd w:id="554"/>
    <w:bookmarkStart w:id="555"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55"/>
    <w:bookmarkStart w:id="557"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56">
        <w:r>
          <w:rPr>
            <w:rStyle w:val="Hyperlink"/>
          </w:rPr>
          <w:t xml:space="preserve">https://agilemanifesto.org</w:t>
        </w:r>
      </w:hyperlink>
    </w:p>
    <w:bookmarkEnd w:id="557"/>
    <w:bookmarkStart w:id="558"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58"/>
    <w:bookmarkStart w:id="560"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59">
        <w:r>
          <w:rPr>
            <w:rStyle w:val="Hyperlink"/>
          </w:rPr>
          <w:t xml:space="preserve">https://scrumguides.org/scrum-guide.html</w:t>
        </w:r>
      </w:hyperlink>
    </w:p>
    <w:bookmarkEnd w:id="560"/>
    <w:bookmarkStart w:id="562"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61">
        <w:r>
          <w:rPr>
            <w:rStyle w:val="Hyperlink"/>
          </w:rPr>
          <w:t xml:space="preserve">https://www.agilebusiness.org/dsdm-project-framework/moscow-prioririsation.html</w:t>
        </w:r>
      </w:hyperlink>
    </w:p>
    <w:bookmarkEnd w:id="562"/>
    <w:bookmarkStart w:id="563"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63"/>
    <w:bookmarkStart w:id="565"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64">
        <w:r>
          <w:rPr>
            <w:rStyle w:val="Hyperlink"/>
          </w:rPr>
          <w:t xml:space="preserve">https://www.omg.org/spec/UML/2.5.1</w:t>
        </w:r>
      </w:hyperlink>
    </w:p>
    <w:bookmarkEnd w:id="565"/>
    <w:bookmarkStart w:id="567"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66">
        <w:r>
          <w:rPr>
            <w:rStyle w:val="Hyperlink"/>
          </w:rPr>
          <w:t xml:space="preserve">https://cheatsheetseries.owasp.org/cheatsheets/Password_Storage_Cheat_Sheet.html</w:t>
        </w:r>
      </w:hyperlink>
    </w:p>
    <w:bookmarkEnd w:id="567"/>
    <w:bookmarkStart w:id="569"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68">
        <w:r>
          <w:rPr>
            <w:rStyle w:val="Hyperlink"/>
          </w:rPr>
          <w:t xml:space="preserve">10.17487/RFC7519</w:t>
        </w:r>
      </w:hyperlink>
      <w:r>
        <w:t xml:space="preserve">.</w:t>
      </w:r>
    </w:p>
    <w:bookmarkEnd w:id="569"/>
    <w:bookmarkStart w:id="571"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70">
        <w:r>
          <w:rPr>
            <w:rStyle w:val="Hyperlink"/>
          </w:rPr>
          <w:t xml:space="preserve">10.1109/TPAMI.2018.2889473</w:t>
        </w:r>
      </w:hyperlink>
      <w:r>
        <w:t xml:space="preserve">.</w:t>
      </w:r>
    </w:p>
    <w:bookmarkEnd w:id="571"/>
    <w:bookmarkStart w:id="573"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72">
        <w:r>
          <w:rPr>
            <w:rStyle w:val="Hyperlink"/>
          </w:rPr>
          <w:t xml:space="preserve">https://www.postgresql.org/docs/16/textsearch.html</w:t>
        </w:r>
      </w:hyperlink>
    </w:p>
    <w:bookmarkEnd w:id="573"/>
    <w:bookmarkStart w:id="575"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74">
        <w:r>
          <w:rPr>
            <w:rStyle w:val="Hyperlink"/>
          </w:rPr>
          <w:t xml:space="preserve">https://docs.docker.com/compose/</w:t>
        </w:r>
      </w:hyperlink>
    </w:p>
    <w:bookmarkEnd w:id="575"/>
    <w:bookmarkStart w:id="577"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76">
        <w:r>
          <w:rPr>
            <w:rStyle w:val="Hyperlink"/>
          </w:rPr>
          <w:t xml:space="preserve">https://playwright.dev/docs/intro</w:t>
        </w:r>
      </w:hyperlink>
    </w:p>
    <w:bookmarkEnd w:id="577"/>
    <w:bookmarkStart w:id="579"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78">
        <w:r>
          <w:rPr>
            <w:rStyle w:val="Hyperlink"/>
          </w:rPr>
          <w:t xml:space="preserve">https://nextjs.org/docs</w:t>
        </w:r>
      </w:hyperlink>
    </w:p>
    <w:bookmarkEnd w:id="579"/>
    <w:bookmarkStart w:id="581"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80">
        <w:r>
          <w:rPr>
            <w:rStyle w:val="Hyperlink"/>
          </w:rPr>
          <w:t xml:space="preserve">https://2024.stateofjs.com/en-US/libraries/</w:t>
        </w:r>
      </w:hyperlink>
    </w:p>
    <w:bookmarkEnd w:id="581"/>
    <w:bookmarkStart w:id="583"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82">
        <w:r>
          <w:rPr>
            <w:rStyle w:val="Hyperlink"/>
          </w:rPr>
          <w:t xml:space="preserve">https://tiptap.dev/docs</w:t>
        </w:r>
      </w:hyperlink>
    </w:p>
    <w:bookmarkEnd w:id="583"/>
    <w:bookmarkStart w:id="585"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84">
        <w:r>
          <w:rPr>
            <w:rStyle w:val="Hyperlink"/>
          </w:rPr>
          <w:t xml:space="preserve">https://ai-sdk.dev/docs</w:t>
        </w:r>
      </w:hyperlink>
    </w:p>
    <w:bookmarkEnd w:id="585"/>
    <w:bookmarkStart w:id="587"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86">
        <w:r>
          <w:rPr>
            <w:rStyle w:val="Hyperlink"/>
          </w:rPr>
          <w:t xml:space="preserve">https://docs.nestjs.com</w:t>
        </w:r>
      </w:hyperlink>
    </w:p>
    <w:bookmarkEnd w:id="587"/>
    <w:bookmarkStart w:id="589"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88">
        <w:r>
          <w:rPr>
            <w:rStyle w:val="Hyperlink"/>
          </w:rPr>
          <w:t xml:space="preserve">https://www.techempower.com/benchmarks/</w:t>
        </w:r>
      </w:hyperlink>
    </w:p>
    <w:bookmarkEnd w:id="589"/>
    <w:bookmarkStart w:id="591"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90">
        <w:r>
          <w:rPr>
            <w:rStyle w:val="Hyperlink"/>
          </w:rPr>
          <w:t xml:space="preserve">https://github.com/pgvector/pgvector</w:t>
        </w:r>
      </w:hyperlink>
    </w:p>
    <w:bookmarkEnd w:id="591"/>
    <w:bookmarkStart w:id="593"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92">
        <w:r>
          <w:rPr>
            <w:rStyle w:val="Hyperlink"/>
          </w:rPr>
          <w:t xml:space="preserve">10.1016/j.is.2019.02.006</w:t>
        </w:r>
      </w:hyperlink>
      <w:r>
        <w:t xml:space="preserve">.</w:t>
      </w:r>
    </w:p>
    <w:bookmarkEnd w:id="593"/>
    <w:bookmarkStart w:id="595"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94">
        <w:r>
          <w:rPr>
            <w:rStyle w:val="Hyperlink"/>
          </w:rPr>
          <w:t xml:space="preserve">https://orm.drizzle.team/docs/overview</w:t>
        </w:r>
      </w:hyperlink>
    </w:p>
    <w:bookmarkEnd w:id="595"/>
    <w:bookmarkStart w:id="597"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96">
        <w:r>
          <w:rPr>
            <w:rStyle w:val="Hyperlink"/>
          </w:rPr>
          <w:t xml:space="preserve">https://docs.bullmq.io</w:t>
        </w:r>
      </w:hyperlink>
    </w:p>
    <w:bookmarkEnd w:id="597"/>
    <w:bookmarkStart w:id="599"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98">
        <w:r>
          <w:rPr>
            <w:rStyle w:val="Hyperlink"/>
          </w:rPr>
          <w:t xml:space="preserve">10.17487/RFC6749</w:t>
        </w:r>
      </w:hyperlink>
      <w:r>
        <w:t xml:space="preserve">.</w:t>
      </w:r>
    </w:p>
    <w:bookmarkEnd w:id="599"/>
    <w:bookmarkStart w:id="601"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00">
        <w:r>
          <w:rPr>
            <w:rStyle w:val="Hyperlink"/>
          </w:rPr>
          <w:t xml:space="preserve">https://console.groq.com/docs/models</w:t>
        </w:r>
      </w:hyperlink>
    </w:p>
    <w:bookmarkEnd w:id="601"/>
    <w:bookmarkStart w:id="603"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02">
        <w:r>
          <w:rPr>
            <w:rStyle w:val="Hyperlink"/>
          </w:rPr>
          <w:t xml:space="preserve">https://ai.google.dev/gemini-api/docs/embeddings</w:t>
        </w:r>
      </w:hyperlink>
    </w:p>
    <w:bookmarkEnd w:id="603"/>
    <w:bookmarkStart w:id="605"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04">
        <w:r>
          <w:rPr>
            <w:rStyle w:val="Hyperlink"/>
          </w:rPr>
          <w:t xml:space="preserve">10.1145/1571941.1572114</w:t>
        </w:r>
      </w:hyperlink>
      <w:r>
        <w:t xml:space="preserve">.</w:t>
      </w:r>
    </w:p>
    <w:bookmarkEnd w:id="605"/>
    <w:bookmarkStart w:id="606"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06"/>
    <w:bookmarkStart w:id="607"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07"/>
    <w:bookmarkStart w:id="608"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08"/>
    <w:bookmarkStart w:id="609"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09"/>
    <w:bookmarkStart w:id="611"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10">
        <w:r>
          <w:rPr>
            <w:rStyle w:val="Hyperlink"/>
          </w:rPr>
          <w:t xml:space="preserve">10.1145/582415.582418</w:t>
        </w:r>
      </w:hyperlink>
      <w:r>
        <w:t xml:space="preserve">.</w:t>
      </w:r>
    </w:p>
    <w:bookmarkEnd w:id="611"/>
    <w:bookmarkStart w:id="613"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12">
        <w:r>
          <w:rPr>
            <w:rStyle w:val="Hyperlink"/>
          </w:rPr>
          <w:t xml:space="preserve">https://developer.chrome.com/docs/lighthouse/overview</w:t>
        </w:r>
      </w:hyperlink>
    </w:p>
    <w:bookmarkEnd w:id="613"/>
    <w:bookmarkStart w:id="615"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14">
        <w:r>
          <w:rPr>
            <w:rStyle w:val="Hyperlink"/>
          </w:rPr>
          <w:t xml:space="preserve">https://github.com/dequelabs/axe-core</w:t>
        </w:r>
      </w:hyperlink>
    </w:p>
    <w:bookmarkEnd w:id="615"/>
    <w:bookmarkStart w:id="617"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16">
        <w:r>
          <w:rPr>
            <w:rStyle w:val="Hyperlink"/>
          </w:rPr>
          <w:t xml:space="preserve">https://www.w3.org/TR/WCAG22/</w:t>
        </w:r>
      </w:hyperlink>
    </w:p>
    <w:bookmarkEnd w:id="617"/>
    <w:bookmarkEnd w:id="618"/>
    <w:bookmarkEnd w:id="619"/>
    <w:bookmarkStart w:id="626"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20"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20"/>
    <w:bookmarkStart w:id="621" w:name="tbl:fr-readers"/>
    <w:p>
      <w:pPr>
        <w:pStyle w:val="TableCaption"/>
      </w:pPr>
      <w:r>
        <w:t xml:space="preserve">Table 8.2– Functional requirements — reader</w:t>
      </w:r>
    </w:p>
    <w:tbl>
      <w:tblPr>
        <w:tblStyle w:val="Table"/>
        <w:tblW w:type="pct" w:w="5000"/>
        <w:tblLayout w:type="fixed"/>
        <w:tblLook w:firstRow="1" w:lastRow="0" w:firstColumn="0" w:lastColumn="0" w:noHBand="0" w:noVBand="0" w:val="0020"/>
        <w:tblCaption w:val="Table 8.2– Functional requirements —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21"/>
    <w:bookmarkStart w:id="622" w:name="tbl:fr-writers"/>
    <w:p>
      <w:pPr>
        <w:pStyle w:val="TableCaption"/>
      </w:pPr>
      <w:r>
        <w:t xml:space="preserve">Table 8.3– Functional requirements — writer</w:t>
      </w:r>
    </w:p>
    <w:tbl>
      <w:tblPr>
        <w:tblStyle w:val="Table"/>
        <w:tblW w:type="pct" w:w="5000"/>
        <w:tblLayout w:type="fixed"/>
        <w:tblLook w:firstRow="1" w:lastRow="0" w:firstColumn="0" w:lastColumn="0" w:noHBand="0" w:noVBand="0" w:val="0020"/>
        <w:tblCaption w:val="Table 8.3– Functional requirements —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22"/>
    <w:bookmarkStart w:id="623"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23"/>
    <w:bookmarkStart w:id="624"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24"/>
    <w:bookmarkStart w:id="625"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25"/>
    <w:bookmarkEnd w:id="626"/>
    <w:bookmarkStart w:id="627"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216" Target="media/rId216.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80" Target="media/rId280.png" /><Relationship Type="http://schemas.openxmlformats.org/officeDocument/2006/relationships/image" Id="rId267" Target="media/rId267.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276" Target="media/rId276.png" /><Relationship Type="http://schemas.openxmlformats.org/officeDocument/2006/relationships/image" Id="rId230" Target="media/rId230.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400" Target="media/rId400.png" /><Relationship Type="http://schemas.openxmlformats.org/officeDocument/2006/relationships/image" Id="rId330" Target="media/rId330.png" /><Relationship Type="http://schemas.openxmlformats.org/officeDocument/2006/relationships/image" Id="rId413" Target="media/rId413.png" /><Relationship Type="http://schemas.openxmlformats.org/officeDocument/2006/relationships/image" Id="rId418" Target="media/rId418.png" /><Relationship Type="http://schemas.openxmlformats.org/officeDocument/2006/relationships/image" Id="rId443" Target="media/rId443.png" /><Relationship Type="http://schemas.openxmlformats.org/officeDocument/2006/relationships/image" Id="rId448" Target="media/rId448.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86" Target="media/rId486.png" /><Relationship Type="http://schemas.openxmlformats.org/officeDocument/2006/relationships/image" Id="rId490" Target="media/rId490.png" /><Relationship Type="http://schemas.openxmlformats.org/officeDocument/2006/relationships/image" Id="rId383" Target="media/rId383.png" /><Relationship Type="http://schemas.openxmlformats.org/officeDocument/2006/relationships/image" Id="rId387" Target="media/rId387.png" /><Relationship Type="http://schemas.openxmlformats.org/officeDocument/2006/relationships/image" Id="rId391" Target="media/rId39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335" Target="media/rId335.png" /><Relationship Type="http://schemas.openxmlformats.org/officeDocument/2006/relationships/image" Id="rId255" Target="media/rId255.png" /><Relationship Type="http://schemas.openxmlformats.org/officeDocument/2006/relationships/image" Id="rId371" Target="media/rId371.png" /><Relationship Type="http://schemas.openxmlformats.org/officeDocument/2006/relationships/image" Id="rId289" Target="media/rId289.png" /><Relationship Type="http://schemas.openxmlformats.org/officeDocument/2006/relationships/image" Id="rId367" Target="media/rId367.png" /><Relationship Type="http://schemas.openxmlformats.org/officeDocument/2006/relationships/image" Id="rId347" Target="media/rId347.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43" Target="media/rId343.png" /><Relationship Type="http://schemas.openxmlformats.org/officeDocument/2006/relationships/image" Id="rId259" Target="media/rId259.png" /><Relationship Type="http://schemas.openxmlformats.org/officeDocument/2006/relationships/image" Id="rId293" Target="media/rId293.png" /><Relationship Type="http://schemas.openxmlformats.org/officeDocument/2006/relationships/image" Id="rId363" Target="media/rId363.png" /><Relationship Type="http://schemas.openxmlformats.org/officeDocument/2006/relationships/image" Id="rId235" Target="media/rId235.png" /><Relationship Type="http://schemas.openxmlformats.org/officeDocument/2006/relationships/image" Id="rId339" Target="media/rId339.png" /><Relationship Type="http://schemas.openxmlformats.org/officeDocument/2006/relationships/image" Id="rId163" Target="media/rId163.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61" Target="media/rId461.png" /><Relationship Type="http://schemas.openxmlformats.org/officeDocument/2006/relationships/image" Id="rId243" Target="media/rId243.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375" Target="media/rId375.png" /><Relationship Type="http://schemas.openxmlformats.org/officeDocument/2006/relationships/image" Id="rId251" Target="media/rId251.png" /><Relationship Type="http://schemas.openxmlformats.org/officeDocument/2006/relationships/image" Id="rId379" Target="media/rId37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95" Target="media/rId495.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73" Target="media/rId473.png" /><Relationship Type="http://schemas.openxmlformats.org/officeDocument/2006/relationships/hyperlink" Id="rId580" Target="https://2024.stateofjs.com/en-US/libraries/" TargetMode="External" /><Relationship Type="http://schemas.openxmlformats.org/officeDocument/2006/relationships/hyperlink" Id="rId556" Target="https://agilemanifesto.org" TargetMode="External" /><Relationship Type="http://schemas.openxmlformats.org/officeDocument/2006/relationships/hyperlink" Id="rId584" Target="https://ai-sdk.dev/docs" TargetMode="External" /><Relationship Type="http://schemas.openxmlformats.org/officeDocument/2006/relationships/hyperlink" Id="rId602" Target="https://ai.google.dev/gemini-api/docs/embeddings" TargetMode="External" /><Relationship Type="http://schemas.openxmlformats.org/officeDocument/2006/relationships/hyperlink" Id="rId549" Target="https://blog.google/technology/ai/notebooklm-goes-global-support-for-websites-slides-fact-check/" TargetMode="External" /><Relationship Type="http://schemas.openxmlformats.org/officeDocument/2006/relationships/hyperlink" Id="rId566" Target="https://cheatsheetseries.owasp.org/cheatsheets/Password_Storage_Cheat_Sheet.html" TargetMode="External" /><Relationship Type="http://schemas.openxmlformats.org/officeDocument/2006/relationships/hyperlink" Id="rId600" Target="https://console.groq.com/docs/models" TargetMode="External" /><Relationship Type="http://schemas.openxmlformats.org/officeDocument/2006/relationships/hyperlink" Id="rId545" Target="https://contently.com" TargetMode="External" /><Relationship Type="http://schemas.openxmlformats.org/officeDocument/2006/relationships/hyperlink" Id="rId612" Target="https://developer.chrome.com/docs/lighthouse/overview" TargetMode="External" /><Relationship Type="http://schemas.openxmlformats.org/officeDocument/2006/relationships/hyperlink" Id="rId596" Target="https://docs.bullmq.io" TargetMode="External" /><Relationship Type="http://schemas.openxmlformats.org/officeDocument/2006/relationships/hyperlink" Id="rId574" Target="https://docs.docker.com/compose/" TargetMode="External" /><Relationship Type="http://schemas.openxmlformats.org/officeDocument/2006/relationships/hyperlink" Id="rId586" Target="https://docs.nestjs.com" TargetMode="External" /><Relationship Type="http://schemas.openxmlformats.org/officeDocument/2006/relationships/hyperlink" Id="rId592" Target="https://doi.org/10.1016/j.is.2019.02.006" TargetMode="External" /><Relationship Type="http://schemas.openxmlformats.org/officeDocument/2006/relationships/hyperlink" Id="rId570" Target="https://doi.org/10.1109/TPAMI.2018.2889473" TargetMode="External" /><Relationship Type="http://schemas.openxmlformats.org/officeDocument/2006/relationships/hyperlink" Id="rId604" Target="https://doi.org/10.1145/1571941.1572114" TargetMode="External" /><Relationship Type="http://schemas.openxmlformats.org/officeDocument/2006/relationships/hyperlink" Id="rId610" Target="https://doi.org/10.1145/582415.582418" TargetMode="External" /><Relationship Type="http://schemas.openxmlformats.org/officeDocument/2006/relationships/hyperlink" Id="rId598" Target="https://doi.org/10.17487/RFC6749" TargetMode="External" /><Relationship Type="http://schemas.openxmlformats.org/officeDocument/2006/relationships/hyperlink" Id="rId568" Target="https://doi.org/10.17487/RFC7519" TargetMode="External" /><Relationship Type="http://schemas.openxmlformats.org/officeDocument/2006/relationships/hyperlink" Id="rId543" Target="https://ghost.org/features/" TargetMode="External" /><Relationship Type="http://schemas.openxmlformats.org/officeDocument/2006/relationships/hyperlink" Id="rId614" Target="https://github.com/dequelabs/axe-core" TargetMode="External" /><Relationship Type="http://schemas.openxmlformats.org/officeDocument/2006/relationships/hyperlink" Id="rId590" Target="https://github.com/pgvector/pgvector" TargetMode="External" /><Relationship Type="http://schemas.openxmlformats.org/officeDocument/2006/relationships/hyperlink" Id="rId539" Target="https://help.medium.com/hc/en-us/articles/360036691193" TargetMode="External" /><Relationship Type="http://schemas.openxmlformats.org/officeDocument/2006/relationships/hyperlink" Id="rId551" Target="https://help.openai.com/en/articles/8555545-file-uploads-faq" TargetMode="External" /><Relationship Type="http://schemas.openxmlformats.org/officeDocument/2006/relationships/hyperlink" Id="rId578" Target="https://nextjs.org/docs" TargetMode="External" /><Relationship Type="http://schemas.openxmlformats.org/officeDocument/2006/relationships/hyperlink" Id="rId594" Target="https://orm.drizzle.team/docs/overview" TargetMode="External" /><Relationship Type="http://schemas.openxmlformats.org/officeDocument/2006/relationships/hyperlink" Id="rId576" Target="https://playwright.dev/docs/intro" TargetMode="External" /><Relationship Type="http://schemas.openxmlformats.org/officeDocument/2006/relationships/hyperlink" Id="rId559" Target="https://scrumguides.org/scrum-guide.html" TargetMode="External" /><Relationship Type="http://schemas.openxmlformats.org/officeDocument/2006/relationships/hyperlink" Id="rId541" Target="https://substack.com/about" TargetMode="External" /><Relationship Type="http://schemas.openxmlformats.org/officeDocument/2006/relationships/hyperlink" Id="rId582" Target="https://tiptap.dev/docs" TargetMode="External" /><Relationship Type="http://schemas.openxmlformats.org/officeDocument/2006/relationships/hyperlink" Id="rId561" Target="https://www.agilebusiness.org/dsdm-project-framework/moscow-prioririsation.html" TargetMode="External" /><Relationship Type="http://schemas.openxmlformats.org/officeDocument/2006/relationships/hyperlink" Id="rId537" Target="https://www.beehiiv.com/features/artificial-intelligence" TargetMode="External" /><Relationship Type="http://schemas.openxmlformats.org/officeDocument/2006/relationships/hyperlink" Id="rId531" Target="https://www.goldmansachs.com/insights/articles/the-creator-economy-could-approach-half-a-trillion-dollars-by-2027" TargetMode="External" /><Relationship Type="http://schemas.openxmlformats.org/officeDocument/2006/relationships/hyperlink" Id="rId533" Target="https://www.grammarly.com/ai" TargetMode="External" /><Relationship Type="http://schemas.openxmlformats.org/officeDocument/2006/relationships/hyperlink" Id="rId535" Target="https://www.notion.com/product/ai" TargetMode="External" /><Relationship Type="http://schemas.openxmlformats.org/officeDocument/2006/relationships/hyperlink" Id="rId564" Target="https://www.omg.org/spec/UML/2.5.1" TargetMode="External" /><Relationship Type="http://schemas.openxmlformats.org/officeDocument/2006/relationships/hyperlink" Id="rId553" Target="https://www.perplexity.ai/help-center/en/articles/10352961-what-are-spaces" TargetMode="External" /><Relationship Type="http://schemas.openxmlformats.org/officeDocument/2006/relationships/hyperlink" Id="rId572" Target="https://www.postgresql.org/docs/16/textsearch.html" TargetMode="External" /><Relationship Type="http://schemas.openxmlformats.org/officeDocument/2006/relationships/hyperlink" Id="rId588" Target="https://www.techempower.com/benchmarks/" TargetMode="External" /><Relationship Type="http://schemas.openxmlformats.org/officeDocument/2006/relationships/hyperlink" Id="rId547" Target="https://www.upwork.com/hire/writers/" TargetMode="External" /><Relationship Type="http://schemas.openxmlformats.org/officeDocument/2006/relationships/hyperlink" Id="rId616"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80" Target="https://2024.stateofjs.com/en-US/libraries/" TargetMode="External" /><Relationship Type="http://schemas.openxmlformats.org/officeDocument/2006/relationships/hyperlink" Id="rId556" Target="https://agilemanifesto.org" TargetMode="External" /><Relationship Type="http://schemas.openxmlformats.org/officeDocument/2006/relationships/hyperlink" Id="rId584" Target="https://ai-sdk.dev/docs" TargetMode="External" /><Relationship Type="http://schemas.openxmlformats.org/officeDocument/2006/relationships/hyperlink" Id="rId602" Target="https://ai.google.dev/gemini-api/docs/embeddings" TargetMode="External" /><Relationship Type="http://schemas.openxmlformats.org/officeDocument/2006/relationships/hyperlink" Id="rId549" Target="https://blog.google/technology/ai/notebooklm-goes-global-support-for-websites-slides-fact-check/" TargetMode="External" /><Relationship Type="http://schemas.openxmlformats.org/officeDocument/2006/relationships/hyperlink" Id="rId566" Target="https://cheatsheetseries.owasp.org/cheatsheets/Password_Storage_Cheat_Sheet.html" TargetMode="External" /><Relationship Type="http://schemas.openxmlformats.org/officeDocument/2006/relationships/hyperlink" Id="rId600" Target="https://console.groq.com/docs/models" TargetMode="External" /><Relationship Type="http://schemas.openxmlformats.org/officeDocument/2006/relationships/hyperlink" Id="rId545" Target="https://contently.com" TargetMode="External" /><Relationship Type="http://schemas.openxmlformats.org/officeDocument/2006/relationships/hyperlink" Id="rId612" Target="https://developer.chrome.com/docs/lighthouse/overview" TargetMode="External" /><Relationship Type="http://schemas.openxmlformats.org/officeDocument/2006/relationships/hyperlink" Id="rId596" Target="https://docs.bullmq.io" TargetMode="External" /><Relationship Type="http://schemas.openxmlformats.org/officeDocument/2006/relationships/hyperlink" Id="rId574" Target="https://docs.docker.com/compose/" TargetMode="External" /><Relationship Type="http://schemas.openxmlformats.org/officeDocument/2006/relationships/hyperlink" Id="rId586" Target="https://docs.nestjs.com" TargetMode="External" /><Relationship Type="http://schemas.openxmlformats.org/officeDocument/2006/relationships/hyperlink" Id="rId592" Target="https://doi.org/10.1016/j.is.2019.02.006" TargetMode="External" /><Relationship Type="http://schemas.openxmlformats.org/officeDocument/2006/relationships/hyperlink" Id="rId570" Target="https://doi.org/10.1109/TPAMI.2018.2889473" TargetMode="External" /><Relationship Type="http://schemas.openxmlformats.org/officeDocument/2006/relationships/hyperlink" Id="rId604" Target="https://doi.org/10.1145/1571941.1572114" TargetMode="External" /><Relationship Type="http://schemas.openxmlformats.org/officeDocument/2006/relationships/hyperlink" Id="rId610" Target="https://doi.org/10.1145/582415.582418" TargetMode="External" /><Relationship Type="http://schemas.openxmlformats.org/officeDocument/2006/relationships/hyperlink" Id="rId598" Target="https://doi.org/10.17487/RFC6749" TargetMode="External" /><Relationship Type="http://schemas.openxmlformats.org/officeDocument/2006/relationships/hyperlink" Id="rId568" Target="https://doi.org/10.17487/RFC7519" TargetMode="External" /><Relationship Type="http://schemas.openxmlformats.org/officeDocument/2006/relationships/hyperlink" Id="rId543" Target="https://ghost.org/features/" TargetMode="External" /><Relationship Type="http://schemas.openxmlformats.org/officeDocument/2006/relationships/hyperlink" Id="rId614" Target="https://github.com/dequelabs/axe-core" TargetMode="External" /><Relationship Type="http://schemas.openxmlformats.org/officeDocument/2006/relationships/hyperlink" Id="rId590" Target="https://github.com/pgvector/pgvector" TargetMode="External" /><Relationship Type="http://schemas.openxmlformats.org/officeDocument/2006/relationships/hyperlink" Id="rId539" Target="https://help.medium.com/hc/en-us/articles/360036691193" TargetMode="External" /><Relationship Type="http://schemas.openxmlformats.org/officeDocument/2006/relationships/hyperlink" Id="rId551" Target="https://help.openai.com/en/articles/8555545-file-uploads-faq" TargetMode="External" /><Relationship Type="http://schemas.openxmlformats.org/officeDocument/2006/relationships/hyperlink" Id="rId578" Target="https://nextjs.org/docs" TargetMode="External" /><Relationship Type="http://schemas.openxmlformats.org/officeDocument/2006/relationships/hyperlink" Id="rId594" Target="https://orm.drizzle.team/docs/overview" TargetMode="External" /><Relationship Type="http://schemas.openxmlformats.org/officeDocument/2006/relationships/hyperlink" Id="rId576" Target="https://playwright.dev/docs/intro" TargetMode="External" /><Relationship Type="http://schemas.openxmlformats.org/officeDocument/2006/relationships/hyperlink" Id="rId559" Target="https://scrumguides.org/scrum-guide.html" TargetMode="External" /><Relationship Type="http://schemas.openxmlformats.org/officeDocument/2006/relationships/hyperlink" Id="rId541" Target="https://substack.com/about" TargetMode="External" /><Relationship Type="http://schemas.openxmlformats.org/officeDocument/2006/relationships/hyperlink" Id="rId582" Target="https://tiptap.dev/docs" TargetMode="External" /><Relationship Type="http://schemas.openxmlformats.org/officeDocument/2006/relationships/hyperlink" Id="rId561" Target="https://www.agilebusiness.org/dsdm-project-framework/moscow-prioririsation.html" TargetMode="External" /><Relationship Type="http://schemas.openxmlformats.org/officeDocument/2006/relationships/hyperlink" Id="rId537" Target="https://www.beehiiv.com/features/artificial-intelligence" TargetMode="External" /><Relationship Type="http://schemas.openxmlformats.org/officeDocument/2006/relationships/hyperlink" Id="rId531" Target="https://www.goldmansachs.com/insights/articles/the-creator-economy-could-approach-half-a-trillion-dollars-by-2027" TargetMode="External" /><Relationship Type="http://schemas.openxmlformats.org/officeDocument/2006/relationships/hyperlink" Id="rId533" Target="https://www.grammarly.com/ai" TargetMode="External" /><Relationship Type="http://schemas.openxmlformats.org/officeDocument/2006/relationships/hyperlink" Id="rId535" Target="https://www.notion.com/product/ai" TargetMode="External" /><Relationship Type="http://schemas.openxmlformats.org/officeDocument/2006/relationships/hyperlink" Id="rId564" Target="https://www.omg.org/spec/UML/2.5.1" TargetMode="External" /><Relationship Type="http://schemas.openxmlformats.org/officeDocument/2006/relationships/hyperlink" Id="rId553" Target="https://www.perplexity.ai/help-center/en/articles/10352961-what-are-spaces" TargetMode="External" /><Relationship Type="http://schemas.openxmlformats.org/officeDocument/2006/relationships/hyperlink" Id="rId572" Target="https://www.postgresql.org/docs/16/textsearch.html" TargetMode="External" /><Relationship Type="http://schemas.openxmlformats.org/officeDocument/2006/relationships/hyperlink" Id="rId588" Target="https://www.techempower.com/benchmarks/" TargetMode="External" /><Relationship Type="http://schemas.openxmlformats.org/officeDocument/2006/relationships/hyperlink" Id="rId547" Target="https://www.upwork.com/hire/writers/" TargetMode="External" /><Relationship Type="http://schemas.openxmlformats.org/officeDocument/2006/relationships/hyperlink" Id="rId616"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2026-10-11T22:09:45Z</dcterms:created>
  <dcterms:modified xsi:type="dcterms:W3CDTF">2026-10-11T22:09:45Z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