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1EF9A" w14:textId="4DBE1854" w:rsidR="002E0C1C" w:rsidRDefault="00000000">
      <w:pPr>
        <w:spacing w:after="40"/>
      </w:pPr>
      <w:r>
        <w:rPr>
          <w:rFonts w:ascii="Calibri" w:eastAsia="Calibri" w:hAnsi="Calibri" w:cs="Calibri"/>
          <w:b/>
          <w:bCs/>
          <w:caps/>
          <w:color w:val="5B4636"/>
          <w:sz w:val="18"/>
          <w:szCs w:val="18"/>
        </w:rPr>
        <w:t>INTERACTIVE VISUALISATION</w:t>
      </w:r>
      <w:r w:rsidR="00AC0AE6">
        <w:rPr>
          <w:rFonts w:ascii="Calibri" w:eastAsia="Calibri" w:hAnsi="Calibri" w:cs="Calibri"/>
          <w:b/>
          <w:bCs/>
          <w:caps/>
          <w:color w:val="5B4636"/>
          <w:sz w:val="18"/>
          <w:szCs w:val="18"/>
        </w:rPr>
        <w:t xml:space="preserve"> Group</w:t>
      </w:r>
      <w:r>
        <w:rPr>
          <w:rFonts w:ascii="Calibri" w:eastAsia="Calibri" w:hAnsi="Calibri" w:cs="Calibri"/>
          <w:b/>
          <w:bCs/>
          <w:caps/>
          <w:color w:val="5B4636"/>
          <w:sz w:val="18"/>
          <w:szCs w:val="18"/>
        </w:rPr>
        <w:t xml:space="preserve"> PROJECT</w:t>
      </w:r>
    </w:p>
    <w:p w14:paraId="0121BD57" w14:textId="77777777" w:rsidR="002E0C1C" w:rsidRDefault="00000000">
      <w:pPr>
        <w:spacing w:after="40"/>
      </w:pPr>
      <w:r>
        <w:rPr>
          <w:rFonts w:ascii="Georgia" w:eastAsia="Georgia" w:hAnsi="Georgia" w:cs="Georgia"/>
          <w:b/>
          <w:bCs/>
          <w:color w:val="2A1A10"/>
          <w:sz w:val="44"/>
          <w:szCs w:val="44"/>
        </w:rPr>
        <w:t>Design Rationale</w:t>
      </w:r>
    </w:p>
    <w:p w14:paraId="066976A5" w14:textId="77777777" w:rsidR="002E0C1C" w:rsidRDefault="00000000">
      <w:pPr>
        <w:pBdr>
          <w:bottom w:val="single" w:sz="10" w:space="6" w:color="C9A98C"/>
        </w:pBdr>
        <w:spacing w:after="320"/>
      </w:pPr>
      <w:r>
        <w:rPr>
          <w:rFonts w:ascii="Calibri" w:eastAsia="Calibri" w:hAnsi="Calibri" w:cs="Calibri"/>
          <w:i/>
          <w:iCs/>
          <w:color w:val="5B4636"/>
          <w:sz w:val="21"/>
          <w:szCs w:val="21"/>
        </w:rPr>
        <w:t>“The Morning Rush — The Roast Report”  |  January–June 2023  |  Astoria · Hell’s Kitchen · Lower Manhattan</w:t>
      </w:r>
    </w:p>
    <w:tbl>
      <w:tblPr>
        <w:tblW w:w="9600" w:type="dxa"/>
        <w:tblCellMar>
          <w:left w:w="10" w:type="dxa"/>
          <w:right w:w="10" w:type="dxa"/>
        </w:tblCellMar>
        <w:tblLook w:val="0000" w:firstRow="0" w:lastRow="0" w:firstColumn="0" w:lastColumn="0" w:noHBand="0" w:noVBand="0"/>
      </w:tblPr>
      <w:tblGrid>
        <w:gridCol w:w="3200"/>
        <w:gridCol w:w="3200"/>
        <w:gridCol w:w="3200"/>
      </w:tblGrid>
      <w:tr w:rsidR="002E0C1C" w14:paraId="01262B9B" w14:textId="77777777">
        <w:tc>
          <w:tcPr>
            <w:tcW w:w="3200" w:type="dxa"/>
          </w:tcPr>
          <w:p w14:paraId="16F948B9" w14:textId="77777777" w:rsidR="002E0C1C" w:rsidRDefault="00000000">
            <w:r>
              <w:rPr>
                <w:rFonts w:ascii="Calibri" w:eastAsia="Calibri" w:hAnsi="Calibri" w:cs="Calibri"/>
                <w:b/>
                <w:bCs/>
                <w:sz w:val="19"/>
                <w:szCs w:val="19"/>
              </w:rPr>
              <w:t>Chart 1 (When) owner:</w:t>
            </w:r>
          </w:p>
          <w:p w14:paraId="7467A9B1" w14:textId="77777777" w:rsidR="002E0C1C" w:rsidRDefault="00000000">
            <w:r>
              <w:rPr>
                <w:rFonts w:ascii="Calibri" w:eastAsia="Calibri" w:hAnsi="Calibri" w:cs="Calibri"/>
                <w:sz w:val="19"/>
                <w:szCs w:val="19"/>
              </w:rPr>
              <w:t>Samarakoon</w:t>
            </w:r>
          </w:p>
        </w:tc>
        <w:tc>
          <w:tcPr>
            <w:tcW w:w="3200" w:type="dxa"/>
          </w:tcPr>
          <w:p w14:paraId="47E5ECFC" w14:textId="77777777" w:rsidR="002E0C1C" w:rsidRDefault="00000000">
            <w:r>
              <w:rPr>
                <w:rFonts w:ascii="Calibri" w:eastAsia="Calibri" w:hAnsi="Calibri" w:cs="Calibri"/>
                <w:b/>
                <w:bCs/>
                <w:sz w:val="19"/>
                <w:szCs w:val="19"/>
              </w:rPr>
              <w:t>Chart 2 (Where) owner:</w:t>
            </w:r>
          </w:p>
          <w:p w14:paraId="5AC14B00" w14:textId="77777777" w:rsidR="002E0C1C" w:rsidRDefault="00000000">
            <w:r>
              <w:rPr>
                <w:rFonts w:ascii="Calibri" w:eastAsia="Calibri" w:hAnsi="Calibri" w:cs="Calibri"/>
                <w:sz w:val="19"/>
                <w:szCs w:val="19"/>
              </w:rPr>
              <w:t>Ilamperuma</w:t>
            </w:r>
          </w:p>
        </w:tc>
        <w:tc>
          <w:tcPr>
            <w:tcW w:w="3200" w:type="dxa"/>
          </w:tcPr>
          <w:p w14:paraId="44671578" w14:textId="77777777" w:rsidR="002E0C1C" w:rsidRDefault="00000000">
            <w:r>
              <w:rPr>
                <w:rFonts w:ascii="Calibri" w:eastAsia="Calibri" w:hAnsi="Calibri" w:cs="Calibri"/>
                <w:b/>
                <w:bCs/>
                <w:sz w:val="19"/>
                <w:szCs w:val="19"/>
              </w:rPr>
              <w:t>Chart 3 (How much) owner:</w:t>
            </w:r>
          </w:p>
          <w:p w14:paraId="41AF6799" w14:textId="77777777" w:rsidR="002E0C1C" w:rsidRDefault="00000000">
            <w:r>
              <w:rPr>
                <w:rFonts w:ascii="Calibri" w:eastAsia="Calibri" w:hAnsi="Calibri" w:cs="Calibri"/>
                <w:sz w:val="19"/>
                <w:szCs w:val="19"/>
              </w:rPr>
              <w:t>De Silva</w:t>
            </w:r>
          </w:p>
        </w:tc>
      </w:tr>
    </w:tbl>
    <w:p w14:paraId="306396AD" w14:textId="77777777" w:rsidR="002E0C1C" w:rsidRDefault="002E0C1C">
      <w:pPr>
        <w:spacing w:after="300"/>
      </w:pPr>
    </w:p>
    <w:p w14:paraId="77983B9E" w14:textId="77777777" w:rsidR="002E0C1C" w:rsidRDefault="00000000">
      <w:pPr>
        <w:pStyle w:val="Heading1"/>
        <w:pBdr>
          <w:bottom w:val="single" w:sz="6" w:space="4" w:color="C9A98C"/>
        </w:pBdr>
        <w:spacing w:before="360" w:after="160"/>
      </w:pPr>
      <w:r>
        <w:rPr>
          <w:rFonts w:ascii="Georgia" w:eastAsia="Georgia" w:hAnsi="Georgia" w:cs="Georgia"/>
          <w:b/>
          <w:bCs/>
          <w:color w:val="8A3B1F"/>
          <w:sz w:val="30"/>
          <w:szCs w:val="30"/>
        </w:rPr>
        <w:t>1. Introduction</w:t>
      </w:r>
    </w:p>
    <w:p w14:paraId="263420C3" w14:textId="762C8D41" w:rsidR="002E0C1C" w:rsidRDefault="00000000">
      <w:pPr>
        <w:spacing w:after="160" w:line="288" w:lineRule="auto"/>
      </w:pPr>
      <w:r>
        <w:rPr>
          <w:rFonts w:ascii="Calibri" w:eastAsia="Calibri" w:hAnsi="Calibri" w:cs="Calibri"/>
          <w:sz w:val="22"/>
          <w:szCs w:val="22"/>
        </w:rPr>
        <w:t xml:space="preserve">This document explains the design decisions behind the three interactive </w:t>
      </w:r>
      <w:r w:rsidR="00AC0AE6">
        <w:rPr>
          <w:rFonts w:ascii="Calibri" w:eastAsia="Calibri" w:hAnsi="Calibri" w:cs="Calibri"/>
          <w:sz w:val="22"/>
          <w:szCs w:val="22"/>
        </w:rPr>
        <w:t>visualizations</w:t>
      </w:r>
      <w:r>
        <w:rPr>
          <w:rFonts w:ascii="Calibri" w:eastAsia="Calibri" w:hAnsi="Calibri" w:cs="Calibri"/>
          <w:sz w:val="22"/>
          <w:szCs w:val="22"/>
        </w:rPr>
        <w:t xml:space="preserve"> that make up the “The Morning Rush” dashboard, and why each choice was made in relation to the project's research questions, its intended audience and the underlying transaction data. It is written as evidence for the Documentation backlog item “Design rationale” and should be read alongside the cleaned dataset, the data dictionary and the testing documentation.</w:t>
      </w:r>
    </w:p>
    <w:p w14:paraId="38D99A8D" w14:textId="77777777" w:rsidR="002E0C1C" w:rsidRDefault="00000000">
      <w:pPr>
        <w:spacing w:after="160" w:line="288" w:lineRule="auto"/>
      </w:pPr>
      <w:r>
        <w:rPr>
          <w:rFonts w:ascii="Calibri" w:eastAsia="Calibri" w:hAnsi="Calibri" w:cs="Calibri"/>
          <w:sz w:val="22"/>
          <w:szCs w:val="22"/>
        </w:rPr>
        <w:t>The dashboard analyses point-of-sale data from three coffee shop locations — Astoria, Hell’s Kitchen and Lower Manhattan — covering January to June 2023: 149,116 transactions, 214,470 units sold and $698,812 in total revenue, at an average of $4.69 per transaction. The intended audience is operational and commercial decision-makers (store and regional managers) who need to answer three practical questions quickly: when demand peaks, where revenue is strongest, and how reliably volume converts into revenue.</w:t>
      </w:r>
    </w:p>
    <w:p w14:paraId="0F0AF887" w14:textId="77777777" w:rsidR="002E0C1C" w:rsidRDefault="00000000">
      <w:pPr>
        <w:spacing w:after="160" w:line="288" w:lineRule="auto"/>
      </w:pPr>
      <w:r>
        <w:rPr>
          <w:rFonts w:ascii="Calibri" w:eastAsia="Calibri" w:hAnsi="Calibri" w:cs="Calibri"/>
          <w:sz w:val="22"/>
          <w:szCs w:val="22"/>
        </w:rPr>
        <w:t>The dashboard also ships with a light theme and a dark theme, and a fluid layout that adapts to desktop, tablet and phone screens, so that where and when it is read does not change what it communicates. These are treated as design requirements in their own right, not add-ons, and are discussed alongside the rest of the visual design in Section 3.</w:t>
      </w:r>
    </w:p>
    <w:p w14:paraId="32ED1CB3" w14:textId="77777777" w:rsidR="002E0C1C" w:rsidRDefault="00000000">
      <w:pPr>
        <w:pStyle w:val="Heading1"/>
        <w:pBdr>
          <w:bottom w:val="single" w:sz="6" w:space="4" w:color="C9A98C"/>
        </w:pBdr>
        <w:spacing w:before="360" w:after="160"/>
      </w:pPr>
      <w:r>
        <w:rPr>
          <w:rFonts w:ascii="Georgia" w:eastAsia="Georgia" w:hAnsi="Georgia" w:cs="Georgia"/>
          <w:b/>
          <w:bCs/>
          <w:color w:val="8A3B1F"/>
          <w:sz w:val="30"/>
          <w:szCs w:val="30"/>
        </w:rPr>
        <w:t>2. Research Questions and Audience</w:t>
      </w:r>
    </w:p>
    <w:p w14:paraId="4D72C7B5" w14:textId="77777777" w:rsidR="002E0C1C" w:rsidRDefault="00000000">
      <w:pPr>
        <w:pStyle w:val="ListParagraph"/>
        <w:numPr>
          <w:ilvl w:val="0"/>
          <w:numId w:val="2"/>
        </w:numPr>
        <w:spacing w:after="90" w:line="276" w:lineRule="auto"/>
      </w:pPr>
      <w:r>
        <w:rPr>
          <w:rFonts w:ascii="Calibri" w:eastAsia="Calibri" w:hAnsi="Calibri" w:cs="Calibri"/>
          <w:b/>
          <w:bCs/>
          <w:sz w:val="22"/>
          <w:szCs w:val="22"/>
        </w:rPr>
        <w:t xml:space="preserve">Overarching question: </w:t>
      </w:r>
      <w:r>
        <w:rPr>
          <w:rFonts w:ascii="Calibri" w:eastAsia="Calibri" w:hAnsi="Calibri" w:cs="Calibri"/>
          <w:sz w:val="22"/>
          <w:szCs w:val="22"/>
        </w:rPr>
        <w:t>How do sales patterns across the three stores vary by time, location and volume, and what do those patterns imply for staffing, stock and site performance?</w:t>
      </w:r>
    </w:p>
    <w:p w14:paraId="47644BF0" w14:textId="77777777" w:rsidR="002E0C1C" w:rsidRDefault="00000000">
      <w:pPr>
        <w:pStyle w:val="ListParagraph"/>
        <w:numPr>
          <w:ilvl w:val="0"/>
          <w:numId w:val="2"/>
        </w:numPr>
        <w:spacing w:after="90" w:line="276" w:lineRule="auto"/>
      </w:pPr>
      <w:r>
        <w:rPr>
          <w:rFonts w:ascii="Calibri" w:eastAsia="Calibri" w:hAnsi="Calibri" w:cs="Calibri"/>
          <w:b/>
          <w:bCs/>
          <w:sz w:val="22"/>
          <w:szCs w:val="22"/>
        </w:rPr>
        <w:t xml:space="preserve">Chart 1 – “When the queue forms”: </w:t>
      </w:r>
      <w:r>
        <w:rPr>
          <w:rFonts w:ascii="Calibri" w:eastAsia="Calibri" w:hAnsi="Calibri" w:cs="Calibri"/>
          <w:sz w:val="22"/>
          <w:szCs w:val="22"/>
        </w:rPr>
        <w:t>When during the week and day do the stores experience their busiest and quietest periods?</w:t>
      </w:r>
    </w:p>
    <w:p w14:paraId="6DC20037" w14:textId="77777777" w:rsidR="002E0C1C" w:rsidRDefault="00000000">
      <w:pPr>
        <w:pStyle w:val="ListParagraph"/>
        <w:numPr>
          <w:ilvl w:val="0"/>
          <w:numId w:val="2"/>
        </w:numPr>
        <w:spacing w:after="90" w:line="276" w:lineRule="auto"/>
      </w:pPr>
      <w:r>
        <w:rPr>
          <w:rFonts w:ascii="Calibri" w:eastAsia="Calibri" w:hAnsi="Calibri" w:cs="Calibri"/>
          <w:b/>
          <w:bCs/>
          <w:sz w:val="22"/>
          <w:szCs w:val="22"/>
        </w:rPr>
        <w:t xml:space="preserve">Chart 2 – “Where the money lands”: </w:t>
      </w:r>
      <w:r>
        <w:rPr>
          <w:rFonts w:ascii="Calibri" w:eastAsia="Calibri" w:hAnsi="Calibri" w:cs="Calibri"/>
          <w:sz w:val="22"/>
          <w:szCs w:val="22"/>
        </w:rPr>
        <w:t>How is total revenue distributed across the three store locations, and how large are the differences between them?</w:t>
      </w:r>
    </w:p>
    <w:p w14:paraId="468F2981" w14:textId="77777777" w:rsidR="002E0C1C" w:rsidRDefault="00000000">
      <w:pPr>
        <w:pStyle w:val="ListParagraph"/>
        <w:numPr>
          <w:ilvl w:val="0"/>
          <w:numId w:val="2"/>
        </w:numPr>
        <w:spacing w:after="90" w:line="276" w:lineRule="auto"/>
      </w:pPr>
      <w:r>
        <w:rPr>
          <w:rFonts w:ascii="Calibri" w:eastAsia="Calibri" w:hAnsi="Calibri" w:cs="Calibri"/>
          <w:b/>
          <w:bCs/>
          <w:sz w:val="22"/>
          <w:szCs w:val="22"/>
        </w:rPr>
        <w:t xml:space="preserve">Chart 3 – “How much a cup is worth”: </w:t>
      </w:r>
      <w:r>
        <w:rPr>
          <w:rFonts w:ascii="Calibri" w:eastAsia="Calibri" w:hAnsi="Calibri" w:cs="Calibri"/>
          <w:sz w:val="22"/>
          <w:szCs w:val="22"/>
        </w:rPr>
        <w:t>What is the relationship between units sold and revenue on a given trading day, and how consistent is that relationship across stores?</w:t>
      </w:r>
    </w:p>
    <w:p w14:paraId="7D380683" w14:textId="77777777" w:rsidR="002E0C1C" w:rsidRDefault="00000000">
      <w:pPr>
        <w:spacing w:after="160" w:line="288" w:lineRule="auto"/>
        <w:rPr>
          <w:rFonts w:ascii="Calibri" w:eastAsia="Calibri" w:hAnsi="Calibri" w:cs="Calibri"/>
          <w:sz w:val="22"/>
          <w:szCs w:val="22"/>
        </w:rPr>
      </w:pPr>
      <w:r>
        <w:rPr>
          <w:rFonts w:ascii="Calibri" w:eastAsia="Calibri" w:hAnsi="Calibri" w:cs="Calibri"/>
          <w:sz w:val="22"/>
          <w:szCs w:val="22"/>
        </w:rPr>
        <w:t>Framing each chart around a single, plain-language question (rather than a generic “sales overview”) meant every design decision below could be tested against one criterion: does this choice make the answer to that specific question easier to see?</w:t>
      </w:r>
    </w:p>
    <w:p w14:paraId="13603D71" w14:textId="77777777" w:rsidR="00AC0AE6" w:rsidRDefault="00AC0AE6">
      <w:pPr>
        <w:spacing w:after="160" w:line="288" w:lineRule="auto"/>
      </w:pPr>
    </w:p>
    <w:p w14:paraId="695EC8D2" w14:textId="77777777" w:rsidR="002E0C1C" w:rsidRDefault="00000000">
      <w:pPr>
        <w:pStyle w:val="Heading1"/>
        <w:pBdr>
          <w:bottom w:val="single" w:sz="6" w:space="4" w:color="C9A98C"/>
        </w:pBdr>
        <w:spacing w:before="360" w:after="160"/>
      </w:pPr>
      <w:r>
        <w:rPr>
          <w:rFonts w:ascii="Georgia" w:eastAsia="Georgia" w:hAnsi="Georgia" w:cs="Georgia"/>
          <w:b/>
          <w:bCs/>
          <w:color w:val="8A3B1F"/>
          <w:sz w:val="30"/>
          <w:szCs w:val="30"/>
        </w:rPr>
        <w:lastRenderedPageBreak/>
        <w:t>3. Overall Design Principles</w:t>
      </w:r>
    </w:p>
    <w:p w14:paraId="744B1C98" w14:textId="50952A86" w:rsidR="002E0C1C" w:rsidRDefault="00000000">
      <w:pPr>
        <w:pStyle w:val="ListParagraph"/>
        <w:numPr>
          <w:ilvl w:val="0"/>
          <w:numId w:val="2"/>
        </w:numPr>
        <w:spacing w:after="90" w:line="276" w:lineRule="auto"/>
      </w:pPr>
      <w:r>
        <w:rPr>
          <w:rFonts w:ascii="Calibri" w:eastAsia="Calibri" w:hAnsi="Calibri" w:cs="Calibri"/>
          <w:b/>
          <w:bCs/>
          <w:sz w:val="22"/>
          <w:szCs w:val="22"/>
        </w:rPr>
        <w:t xml:space="preserve">Dark, warm </w:t>
      </w:r>
      <w:r w:rsidR="00AC0AE6">
        <w:rPr>
          <w:rFonts w:ascii="Calibri" w:eastAsia="Calibri" w:hAnsi="Calibri" w:cs="Calibri"/>
          <w:b/>
          <w:bCs/>
          <w:sz w:val="22"/>
          <w:szCs w:val="22"/>
        </w:rPr>
        <w:t>color</w:t>
      </w:r>
      <w:r>
        <w:rPr>
          <w:rFonts w:ascii="Calibri" w:eastAsia="Calibri" w:hAnsi="Calibri" w:cs="Calibri"/>
          <w:b/>
          <w:bCs/>
          <w:sz w:val="22"/>
          <w:szCs w:val="22"/>
        </w:rPr>
        <w:t xml:space="preserve"> theme: </w:t>
      </w:r>
      <w:r>
        <w:rPr>
          <w:rFonts w:ascii="Calibri" w:eastAsia="Calibri" w:hAnsi="Calibri" w:cs="Calibri"/>
          <w:sz w:val="22"/>
          <w:szCs w:val="22"/>
        </w:rPr>
        <w:t>A near-black background with amber, terracotta and teal accents was chosen to echo a coffee-roast identity, while giving the numeric content (which dominates the page) strong, low-glare contrast against the background.</w:t>
      </w:r>
    </w:p>
    <w:p w14:paraId="0094DA2D" w14:textId="77777777" w:rsidR="002E0C1C" w:rsidRDefault="00000000">
      <w:pPr>
        <w:pStyle w:val="ListParagraph"/>
        <w:numPr>
          <w:ilvl w:val="0"/>
          <w:numId w:val="2"/>
        </w:numPr>
        <w:spacing w:after="90" w:line="276" w:lineRule="auto"/>
      </w:pPr>
      <w:r>
        <w:rPr>
          <w:rFonts w:ascii="Calibri" w:eastAsia="Calibri" w:hAnsi="Calibri" w:cs="Calibri"/>
          <w:b/>
          <w:bCs/>
          <w:sz w:val="22"/>
          <w:szCs w:val="22"/>
        </w:rPr>
        <w:t xml:space="preserve">Serif display type paired with sans-serif body text: </w:t>
      </w:r>
      <w:r>
        <w:rPr>
          <w:rFonts w:ascii="Calibri" w:eastAsia="Calibri" w:hAnsi="Calibri" w:cs="Calibri"/>
          <w:sz w:val="22"/>
          <w:szCs w:val="22"/>
        </w:rPr>
        <w:t>Large serif headings (“The morning rush pays for the day”) give the page an editorial, data-journalism voice suited to communicating a business finding, while a plain sans-serif carries the dense tabular and numeric content, which needs to stay legible at small sizes.</w:t>
      </w:r>
    </w:p>
    <w:p w14:paraId="698293A3" w14:textId="074F55F0" w:rsidR="002E0C1C" w:rsidRDefault="00000000">
      <w:pPr>
        <w:pStyle w:val="ListParagraph"/>
        <w:numPr>
          <w:ilvl w:val="0"/>
          <w:numId w:val="2"/>
        </w:numPr>
        <w:spacing w:after="90" w:line="276" w:lineRule="auto"/>
      </w:pPr>
      <w:r>
        <w:rPr>
          <w:rFonts w:ascii="Calibri" w:eastAsia="Calibri" w:hAnsi="Calibri" w:cs="Calibri"/>
          <w:b/>
          <w:bCs/>
          <w:sz w:val="22"/>
          <w:szCs w:val="22"/>
        </w:rPr>
        <w:t xml:space="preserve">A KPI band before any chart: </w:t>
      </w:r>
      <w:r>
        <w:rPr>
          <w:rFonts w:ascii="Calibri" w:eastAsia="Calibri" w:hAnsi="Calibri" w:cs="Calibri"/>
          <w:sz w:val="22"/>
          <w:szCs w:val="22"/>
        </w:rPr>
        <w:t xml:space="preserve">Revenue, transactions, units sold, value per transaction and busiest hour are surfaced as five headline numbers at the top of the page, so a reader has the topline result before interpreting any single </w:t>
      </w:r>
      <w:r w:rsidR="00AC0AE6">
        <w:rPr>
          <w:rFonts w:ascii="Calibri" w:eastAsia="Calibri" w:hAnsi="Calibri" w:cs="Calibri"/>
          <w:sz w:val="22"/>
          <w:szCs w:val="22"/>
        </w:rPr>
        <w:t>visualization</w:t>
      </w:r>
      <w:r>
        <w:rPr>
          <w:rFonts w:ascii="Calibri" w:eastAsia="Calibri" w:hAnsi="Calibri" w:cs="Calibri"/>
          <w:sz w:val="22"/>
          <w:szCs w:val="22"/>
        </w:rPr>
        <w:t>.</w:t>
      </w:r>
    </w:p>
    <w:p w14:paraId="5166C342" w14:textId="6DBC1A34" w:rsidR="002E0C1C" w:rsidRDefault="00000000">
      <w:pPr>
        <w:pStyle w:val="ListParagraph"/>
        <w:numPr>
          <w:ilvl w:val="0"/>
          <w:numId w:val="2"/>
        </w:numPr>
        <w:spacing w:after="90" w:line="276" w:lineRule="auto"/>
      </w:pPr>
      <w:r>
        <w:rPr>
          <w:rFonts w:ascii="Calibri" w:eastAsia="Calibri" w:hAnsi="Calibri" w:cs="Calibri"/>
          <w:b/>
          <w:bCs/>
          <w:sz w:val="22"/>
          <w:szCs w:val="22"/>
        </w:rPr>
        <w:t xml:space="preserve">One shared filter set, three linked views: </w:t>
      </w:r>
      <w:r>
        <w:rPr>
          <w:rFonts w:ascii="Calibri" w:eastAsia="Calibri" w:hAnsi="Calibri" w:cs="Calibri"/>
          <w:sz w:val="22"/>
          <w:szCs w:val="22"/>
        </w:rPr>
        <w:t xml:space="preserve">Store, category and month filters sit above all three charts and a single “Clear” control resets them. Because every chart reads from the same filtered transaction table, the three </w:t>
      </w:r>
      <w:r w:rsidR="00AC0AE6">
        <w:rPr>
          <w:rFonts w:ascii="Calibri" w:eastAsia="Calibri" w:hAnsi="Calibri" w:cs="Calibri"/>
          <w:sz w:val="22"/>
          <w:szCs w:val="22"/>
        </w:rPr>
        <w:t>visualizations</w:t>
      </w:r>
      <w:r>
        <w:rPr>
          <w:rFonts w:ascii="Calibri" w:eastAsia="Calibri" w:hAnsi="Calibri" w:cs="Calibri"/>
          <w:sz w:val="22"/>
          <w:szCs w:val="22"/>
        </w:rPr>
        <w:t xml:space="preserve"> can never show contradictory subsets of data — directly satisfying the requirement that the three charts collectively answer one overarching question.</w:t>
      </w:r>
    </w:p>
    <w:p w14:paraId="6E5DA79F" w14:textId="77777777" w:rsidR="002E0C1C" w:rsidRDefault="00000000">
      <w:pPr>
        <w:pStyle w:val="ListParagraph"/>
        <w:numPr>
          <w:ilvl w:val="0"/>
          <w:numId w:val="2"/>
        </w:numPr>
        <w:spacing w:after="90" w:line="276" w:lineRule="auto"/>
      </w:pPr>
      <w:r>
        <w:rPr>
          <w:rFonts w:ascii="Calibri" w:eastAsia="Calibri" w:hAnsi="Calibri" w:cs="Calibri"/>
          <w:b/>
          <w:bCs/>
          <w:sz w:val="22"/>
          <w:szCs w:val="22"/>
        </w:rPr>
        <w:t xml:space="preserve">Section shortcuts (“When · Where · How much”): </w:t>
      </w:r>
      <w:r>
        <w:rPr>
          <w:rFonts w:ascii="Calibri" w:eastAsia="Calibri" w:hAnsi="Calibri" w:cs="Calibri"/>
          <w:sz w:val="22"/>
          <w:szCs w:val="22"/>
        </w:rPr>
        <w:t>These mirror the three chart questions exactly, so a reader who already knows which question they care about can jump straight to the relevant section.</w:t>
      </w:r>
    </w:p>
    <w:p w14:paraId="19F46724" w14:textId="47074A82" w:rsidR="002E0C1C" w:rsidRDefault="00000000">
      <w:pPr>
        <w:pStyle w:val="ListParagraph"/>
        <w:numPr>
          <w:ilvl w:val="0"/>
          <w:numId w:val="2"/>
        </w:numPr>
        <w:spacing w:after="90" w:line="276" w:lineRule="auto"/>
      </w:pPr>
      <w:r>
        <w:rPr>
          <w:rFonts w:ascii="Calibri" w:eastAsia="Calibri" w:hAnsi="Calibri" w:cs="Calibri"/>
          <w:b/>
          <w:bCs/>
          <w:sz w:val="22"/>
          <w:szCs w:val="22"/>
        </w:rPr>
        <w:t xml:space="preserve">A written takeaway under every chart: </w:t>
      </w:r>
      <w:r>
        <w:rPr>
          <w:rFonts w:ascii="Calibri" w:eastAsia="Calibri" w:hAnsi="Calibri" w:cs="Calibri"/>
          <w:sz w:val="22"/>
          <w:szCs w:val="22"/>
        </w:rPr>
        <w:t xml:space="preserve">Each </w:t>
      </w:r>
      <w:r w:rsidR="00AC0AE6">
        <w:rPr>
          <w:rFonts w:ascii="Calibri" w:eastAsia="Calibri" w:hAnsi="Calibri" w:cs="Calibri"/>
          <w:sz w:val="22"/>
          <w:szCs w:val="22"/>
        </w:rPr>
        <w:t>visualization</w:t>
      </w:r>
      <w:r>
        <w:rPr>
          <w:rFonts w:ascii="Calibri" w:eastAsia="Calibri" w:hAnsi="Calibri" w:cs="Calibri"/>
          <w:sz w:val="22"/>
          <w:szCs w:val="22"/>
        </w:rPr>
        <w:t xml:space="preserve"> is followed by one sentence that states its key finding in plain language (for example, that 45% of transactions fall in the four hours from 7am to 11am), so the chart's conclusion does not depend entirely on the reader's own interpretation.</w:t>
      </w:r>
    </w:p>
    <w:p w14:paraId="5025849A" w14:textId="2418D96A" w:rsidR="002E0C1C" w:rsidRDefault="00000000">
      <w:pPr>
        <w:pStyle w:val="ListParagraph"/>
        <w:numPr>
          <w:ilvl w:val="0"/>
          <w:numId w:val="2"/>
        </w:numPr>
        <w:spacing w:after="90" w:line="276" w:lineRule="auto"/>
      </w:pPr>
      <w:r>
        <w:rPr>
          <w:rFonts w:ascii="Calibri" w:eastAsia="Calibri" w:hAnsi="Calibri" w:cs="Calibri"/>
          <w:b/>
          <w:bCs/>
          <w:sz w:val="22"/>
          <w:szCs w:val="22"/>
        </w:rPr>
        <w:t xml:space="preserve">Light and dark themes: </w:t>
      </w:r>
      <w:r>
        <w:rPr>
          <w:rFonts w:ascii="Calibri" w:eastAsia="Calibri" w:hAnsi="Calibri" w:cs="Calibri"/>
          <w:sz w:val="22"/>
          <w:szCs w:val="22"/>
        </w:rPr>
        <w:t xml:space="preserve">The dashboard ships with two </w:t>
      </w:r>
      <w:r w:rsidR="00AC0AE6">
        <w:rPr>
          <w:rFonts w:ascii="Calibri" w:eastAsia="Calibri" w:hAnsi="Calibri" w:cs="Calibri"/>
          <w:sz w:val="22"/>
          <w:szCs w:val="22"/>
        </w:rPr>
        <w:t>color</w:t>
      </w:r>
      <w:r>
        <w:rPr>
          <w:rFonts w:ascii="Calibri" w:eastAsia="Calibri" w:hAnsi="Calibri" w:cs="Calibri"/>
          <w:sz w:val="22"/>
          <w:szCs w:val="22"/>
        </w:rPr>
        <w:t xml:space="preserve"> themes — a dark “roast” theme (near-black background, amber/cream data </w:t>
      </w:r>
      <w:r w:rsidR="00AC0AE6">
        <w:rPr>
          <w:rFonts w:ascii="Calibri" w:eastAsia="Calibri" w:hAnsi="Calibri" w:cs="Calibri"/>
          <w:sz w:val="22"/>
          <w:szCs w:val="22"/>
        </w:rPr>
        <w:t>colors</w:t>
      </w:r>
      <w:r>
        <w:rPr>
          <w:rFonts w:ascii="Calibri" w:eastAsia="Calibri" w:hAnsi="Calibri" w:cs="Calibri"/>
          <w:sz w:val="22"/>
          <w:szCs w:val="22"/>
        </w:rPr>
        <w:t xml:space="preserve">) and a light “cream” theme (warm beige background, the same accent palette re-tuned for contrast) — toggled from a fixed control in the corner of the screen. The dashboard opens in whichever theme matches the visitor's operating-system preference (via a light/dark media-query check), and remembers a manual override for their next visit. Every </w:t>
      </w:r>
      <w:r w:rsidR="00AC0AE6">
        <w:rPr>
          <w:rFonts w:ascii="Calibri" w:eastAsia="Calibri" w:hAnsi="Calibri" w:cs="Calibri"/>
          <w:sz w:val="22"/>
          <w:szCs w:val="22"/>
        </w:rPr>
        <w:t>color</w:t>
      </w:r>
      <w:r>
        <w:rPr>
          <w:rFonts w:ascii="Calibri" w:eastAsia="Calibri" w:hAnsi="Calibri" w:cs="Calibri"/>
          <w:sz w:val="22"/>
          <w:szCs w:val="22"/>
        </w:rPr>
        <w:t xml:space="preserve"> used for data (the heatmap ramp, the three store </w:t>
      </w:r>
      <w:r w:rsidR="00AC0AE6">
        <w:rPr>
          <w:rFonts w:ascii="Calibri" w:eastAsia="Calibri" w:hAnsi="Calibri" w:cs="Calibri"/>
          <w:sz w:val="22"/>
          <w:szCs w:val="22"/>
        </w:rPr>
        <w:t>colors</w:t>
      </w:r>
      <w:r>
        <w:rPr>
          <w:rFonts w:ascii="Calibri" w:eastAsia="Calibri" w:hAnsi="Calibri" w:cs="Calibri"/>
          <w:sz w:val="22"/>
          <w:szCs w:val="22"/>
        </w:rPr>
        <w:t>, chart gridlines) is defined once and re-mapped per theme, rather than hard-coded, so neither view was designed as an afterthought of the other.</w:t>
      </w:r>
    </w:p>
    <w:p w14:paraId="4A5CEE72" w14:textId="77777777" w:rsidR="002E0C1C" w:rsidRDefault="00000000">
      <w:pPr>
        <w:pStyle w:val="ListParagraph"/>
        <w:numPr>
          <w:ilvl w:val="0"/>
          <w:numId w:val="2"/>
        </w:numPr>
        <w:spacing w:after="90" w:line="276" w:lineRule="auto"/>
      </w:pPr>
      <w:r>
        <w:rPr>
          <w:rFonts w:ascii="Calibri" w:eastAsia="Calibri" w:hAnsi="Calibri" w:cs="Calibri"/>
          <w:b/>
          <w:bCs/>
          <w:sz w:val="22"/>
          <w:szCs w:val="22"/>
        </w:rPr>
        <w:t xml:space="preserve">Responsive, device-independent layout: </w:t>
      </w:r>
      <w:r>
        <w:rPr>
          <w:rFonts w:ascii="Calibri" w:eastAsia="Calibri" w:hAnsi="Calibri" w:cs="Calibri"/>
          <w:sz w:val="22"/>
          <w:szCs w:val="22"/>
        </w:rPr>
        <w:t>All three charts are drawn as scalable vector graphics sized by proportion rather than by a fixed pixel width, so each one stretches or shrinks to fit its container — from a full desktop monitor down to a tablet or phone — without needing separate mobile-specific artwork or a JavaScript resize handler. Filters, the KPI band and the store ranking list use a flexible, wrapping layout for the same reason.</w:t>
      </w:r>
    </w:p>
    <w:p w14:paraId="6A3477D5" w14:textId="4E499F17" w:rsidR="002E0C1C" w:rsidRPr="00AC0AE6" w:rsidRDefault="00000000">
      <w:pPr>
        <w:pStyle w:val="ListParagraph"/>
        <w:numPr>
          <w:ilvl w:val="0"/>
          <w:numId w:val="2"/>
        </w:numPr>
        <w:spacing w:after="90" w:line="276" w:lineRule="auto"/>
      </w:pPr>
      <w:r>
        <w:rPr>
          <w:rFonts w:ascii="Calibri" w:eastAsia="Calibri" w:hAnsi="Calibri" w:cs="Calibri"/>
          <w:b/>
          <w:bCs/>
          <w:sz w:val="22"/>
          <w:szCs w:val="22"/>
        </w:rPr>
        <w:t xml:space="preserve">Keyboard and screen-reader support: </w:t>
      </w:r>
      <w:r>
        <w:rPr>
          <w:rFonts w:ascii="Calibri" w:eastAsia="Calibri" w:hAnsi="Calibri" w:cs="Calibri"/>
          <w:sz w:val="22"/>
          <w:szCs w:val="22"/>
        </w:rPr>
        <w:t xml:space="preserve">Interactive elements that can be clicked — the category filter chips, the store ranking rows, the theme toggle — are also reachable by keyboard (Tab, then Enter or Space) and carry appropriate roles and labels, so the cross-filtering </w:t>
      </w:r>
      <w:r w:rsidR="00AC0AE6">
        <w:rPr>
          <w:rFonts w:ascii="Calibri" w:eastAsia="Calibri" w:hAnsi="Calibri" w:cs="Calibri"/>
          <w:sz w:val="22"/>
          <w:szCs w:val="22"/>
        </w:rPr>
        <w:t>behavior</w:t>
      </w:r>
      <w:r>
        <w:rPr>
          <w:rFonts w:ascii="Calibri" w:eastAsia="Calibri" w:hAnsi="Calibri" w:cs="Calibri"/>
          <w:sz w:val="22"/>
          <w:szCs w:val="22"/>
        </w:rPr>
        <w:t xml:space="preserve"> is not mouse-only.</w:t>
      </w:r>
    </w:p>
    <w:p w14:paraId="2275811D" w14:textId="77777777" w:rsidR="00AC0AE6" w:rsidRDefault="00AC0AE6" w:rsidP="00AC0AE6">
      <w:pPr>
        <w:spacing w:after="90" w:line="276" w:lineRule="auto"/>
      </w:pPr>
    </w:p>
    <w:p w14:paraId="610D00A5" w14:textId="77777777" w:rsidR="00AC0AE6" w:rsidRDefault="00AC0AE6" w:rsidP="00AC0AE6">
      <w:pPr>
        <w:spacing w:after="90" w:line="276" w:lineRule="auto"/>
      </w:pPr>
    </w:p>
    <w:p w14:paraId="5C673CD2" w14:textId="77777777" w:rsidR="00AC0AE6" w:rsidRDefault="00AC0AE6" w:rsidP="00AC0AE6">
      <w:pPr>
        <w:spacing w:after="90" w:line="276" w:lineRule="auto"/>
      </w:pPr>
    </w:p>
    <w:p w14:paraId="18D990D5" w14:textId="77777777" w:rsidR="00AC0AE6" w:rsidRDefault="00AC0AE6" w:rsidP="00AC0AE6">
      <w:pPr>
        <w:spacing w:after="90" w:line="276" w:lineRule="auto"/>
      </w:pPr>
    </w:p>
    <w:p w14:paraId="79E62036" w14:textId="77777777" w:rsidR="002E0C1C" w:rsidRDefault="00000000">
      <w:pPr>
        <w:pStyle w:val="Heading1"/>
        <w:pBdr>
          <w:bottom w:val="single" w:sz="6" w:space="4" w:color="C9A98C"/>
        </w:pBdr>
        <w:spacing w:before="360" w:after="160"/>
      </w:pPr>
      <w:r>
        <w:rPr>
          <w:rFonts w:ascii="Georgia" w:eastAsia="Georgia" w:hAnsi="Georgia" w:cs="Georgia"/>
          <w:b/>
          <w:bCs/>
          <w:color w:val="8A3B1F"/>
          <w:sz w:val="30"/>
          <w:szCs w:val="30"/>
        </w:rPr>
        <w:lastRenderedPageBreak/>
        <w:t>4. Chart 1 — “When the queue forms” (Heatmap)</w:t>
      </w:r>
    </w:p>
    <w:p w14:paraId="0C6E9ECC" w14:textId="77777777" w:rsidR="002E0C1C" w:rsidRDefault="00000000">
      <w:pPr>
        <w:pStyle w:val="Heading2"/>
        <w:spacing w:before="280" w:after="120"/>
      </w:pPr>
      <w:r>
        <w:rPr>
          <w:rFonts w:ascii="Georgia" w:eastAsia="Georgia" w:hAnsi="Georgia" w:cs="Georgia"/>
          <w:b/>
          <w:bCs/>
          <w:color w:val="3B2A1E"/>
          <w:sz w:val="24"/>
          <w:szCs w:val="24"/>
        </w:rPr>
        <w:t>Chart type and encoding</w:t>
      </w:r>
    </w:p>
    <w:p w14:paraId="0ACEB03C" w14:textId="0C0C8836" w:rsidR="002E0C1C" w:rsidRDefault="00000000">
      <w:pPr>
        <w:spacing w:after="160" w:line="288" w:lineRule="auto"/>
      </w:pPr>
      <w:r>
        <w:rPr>
          <w:rFonts w:ascii="Calibri" w:eastAsia="Calibri" w:hAnsi="Calibri" w:cs="Calibri"/>
          <w:sz w:val="22"/>
          <w:szCs w:val="22"/>
        </w:rPr>
        <w:t xml:space="preserve">A day-of-week × hour-of-day matrix heatmap (7 rows, 15 columns) encodes transaction count using a single-hue sequential </w:t>
      </w:r>
      <w:r w:rsidR="00F15512">
        <w:rPr>
          <w:rFonts w:ascii="Calibri" w:eastAsia="Calibri" w:hAnsi="Calibri" w:cs="Calibri"/>
          <w:sz w:val="22"/>
          <w:szCs w:val="22"/>
        </w:rPr>
        <w:t>color</w:t>
      </w:r>
      <w:r>
        <w:rPr>
          <w:rFonts w:ascii="Calibri" w:eastAsia="Calibri" w:hAnsi="Calibri" w:cs="Calibri"/>
          <w:sz w:val="22"/>
          <w:szCs w:val="22"/>
        </w:rPr>
        <w:t xml:space="preserve"> ramp from dark brown (quiet) to pale cream (rush), with the exact count also printed inside every cell.</w:t>
      </w:r>
    </w:p>
    <w:p w14:paraId="364BA326" w14:textId="77777777" w:rsidR="002E0C1C" w:rsidRDefault="00000000">
      <w:pPr>
        <w:pStyle w:val="Heading2"/>
        <w:spacing w:before="280" w:after="120"/>
      </w:pPr>
      <w:r>
        <w:rPr>
          <w:rFonts w:ascii="Georgia" w:eastAsia="Georgia" w:hAnsi="Georgia" w:cs="Georgia"/>
          <w:b/>
          <w:bCs/>
          <w:color w:val="3B2A1E"/>
          <w:sz w:val="24"/>
          <w:szCs w:val="24"/>
        </w:rPr>
        <w:t>Why this chart type</w:t>
      </w:r>
    </w:p>
    <w:p w14:paraId="0EBEA8DF" w14:textId="77777777" w:rsidR="002E0C1C" w:rsidRDefault="00000000">
      <w:pPr>
        <w:spacing w:after="160" w:line="288" w:lineRule="auto"/>
      </w:pPr>
      <w:r>
        <w:rPr>
          <w:rFonts w:ascii="Calibri" w:eastAsia="Calibri" w:hAnsi="Calibri" w:cs="Calibri"/>
          <w:sz w:val="22"/>
          <w:szCs w:val="22"/>
        </w:rPr>
        <w:t>The question “when” involves two time dimensions at once — day of week and hour of day — so a matrix was chosen over a line or bar chart because it lets a reader compare all 105 combinations in a single glance, rather than scanning seven separate daily line charts to notice that the morning pattern repeats every day.</w:t>
      </w:r>
    </w:p>
    <w:p w14:paraId="4361321A" w14:textId="2E1580EB" w:rsidR="002E0C1C" w:rsidRDefault="00000000">
      <w:pPr>
        <w:spacing w:after="160" w:line="288" w:lineRule="auto"/>
      </w:pPr>
      <w:r>
        <w:rPr>
          <w:rFonts w:ascii="Calibri" w:eastAsia="Calibri" w:hAnsi="Calibri" w:cs="Calibri"/>
          <w:sz w:val="22"/>
          <w:szCs w:val="22"/>
        </w:rPr>
        <w:t xml:space="preserve">A single-hue sequential ramp (rather than a diverging or multi-hue “rainbow” scale) was used deliberately: transaction count has no natural midpoint or sign, so a scale that only communicates “more or less” avoids implying a false boundary in the data, and remains readable if the report is printed or viewed by a </w:t>
      </w:r>
      <w:r w:rsidR="00AC0AE6">
        <w:rPr>
          <w:rFonts w:ascii="Calibri" w:eastAsia="Calibri" w:hAnsi="Calibri" w:cs="Calibri"/>
          <w:sz w:val="22"/>
          <w:szCs w:val="22"/>
        </w:rPr>
        <w:t>color</w:t>
      </w:r>
      <w:r>
        <w:rPr>
          <w:rFonts w:ascii="Calibri" w:eastAsia="Calibri" w:hAnsi="Calibri" w:cs="Calibri"/>
          <w:sz w:val="22"/>
          <w:szCs w:val="22"/>
        </w:rPr>
        <w:t>-blind reader.</w:t>
      </w:r>
    </w:p>
    <w:p w14:paraId="02CBE70A" w14:textId="121EAC92" w:rsidR="002E0C1C" w:rsidRDefault="00000000">
      <w:pPr>
        <w:spacing w:after="160" w:line="288" w:lineRule="auto"/>
      </w:pPr>
      <w:r>
        <w:rPr>
          <w:rFonts w:ascii="Calibri" w:eastAsia="Calibri" w:hAnsi="Calibri" w:cs="Calibri"/>
          <w:sz w:val="22"/>
          <w:szCs w:val="22"/>
        </w:rPr>
        <w:t xml:space="preserve">Printing the number inside each cell, in addition to </w:t>
      </w:r>
      <w:r w:rsidR="00AC0AE6">
        <w:rPr>
          <w:rFonts w:ascii="Calibri" w:eastAsia="Calibri" w:hAnsi="Calibri" w:cs="Calibri"/>
          <w:sz w:val="22"/>
          <w:szCs w:val="22"/>
        </w:rPr>
        <w:t>color</w:t>
      </w:r>
      <w:r>
        <w:rPr>
          <w:rFonts w:ascii="Calibri" w:eastAsia="Calibri" w:hAnsi="Calibri" w:cs="Calibri"/>
          <w:sz w:val="22"/>
          <w:szCs w:val="22"/>
        </w:rPr>
        <w:t xml:space="preserve">, means the finding does not rely on </w:t>
      </w:r>
      <w:r w:rsidR="00AC0AE6">
        <w:rPr>
          <w:rFonts w:ascii="Calibri" w:eastAsia="Calibri" w:hAnsi="Calibri" w:cs="Calibri"/>
          <w:sz w:val="22"/>
          <w:szCs w:val="22"/>
        </w:rPr>
        <w:t>color</w:t>
      </w:r>
      <w:r>
        <w:rPr>
          <w:rFonts w:ascii="Calibri" w:eastAsia="Calibri" w:hAnsi="Calibri" w:cs="Calibri"/>
          <w:sz w:val="22"/>
          <w:szCs w:val="22"/>
        </w:rPr>
        <w:t xml:space="preserve"> perception alone — a reader can confirm, for instance, that Tuesday 10am (2,846 transactions) is the single busiest cell, without needing to compare shades precisely.</w:t>
      </w:r>
    </w:p>
    <w:p w14:paraId="636B2B12" w14:textId="77777777" w:rsidR="002E0C1C" w:rsidRDefault="00000000">
      <w:pPr>
        <w:pStyle w:val="Heading2"/>
        <w:spacing w:before="280" w:after="120"/>
      </w:pPr>
      <w:r>
        <w:rPr>
          <w:rFonts w:ascii="Georgia" w:eastAsia="Georgia" w:hAnsi="Georgia" w:cs="Georgia"/>
          <w:b/>
          <w:bCs/>
          <w:color w:val="3B2A1E"/>
          <w:sz w:val="24"/>
          <w:szCs w:val="24"/>
        </w:rPr>
        <w:t>Interaction</w:t>
      </w:r>
    </w:p>
    <w:p w14:paraId="2160337A" w14:textId="77777777" w:rsidR="002E0C1C" w:rsidRDefault="00000000">
      <w:pPr>
        <w:spacing w:after="160" w:line="288" w:lineRule="auto"/>
      </w:pPr>
      <w:r>
        <w:rPr>
          <w:rFonts w:ascii="Calibri" w:eastAsia="Calibri" w:hAnsi="Calibri" w:cs="Calibri"/>
          <w:sz w:val="22"/>
          <w:szCs w:val="22"/>
        </w:rPr>
        <w:t>Hovering a hour column highlights that hour across all seven days, and clicking pins the highlight in place. This supports the specific comparison a manager is likely to want — “how does 10am compare across the week?” — without adding a permanent extra control to the base view.</w:t>
      </w:r>
    </w:p>
    <w:p w14:paraId="02A382F3" w14:textId="4CC1DDBA" w:rsidR="002E0C1C" w:rsidRDefault="00000000">
      <w:pPr>
        <w:pStyle w:val="Heading1"/>
        <w:pBdr>
          <w:bottom w:val="single" w:sz="6" w:space="4" w:color="C9A98C"/>
        </w:pBdr>
        <w:spacing w:before="360" w:after="160"/>
      </w:pPr>
      <w:r>
        <w:rPr>
          <w:rFonts w:ascii="Georgia" w:eastAsia="Georgia" w:hAnsi="Georgia" w:cs="Georgia"/>
          <w:b/>
          <w:bCs/>
          <w:color w:val="8A3B1F"/>
          <w:sz w:val="30"/>
          <w:szCs w:val="30"/>
        </w:rPr>
        <w:t xml:space="preserve">5. Chart 2 — “Where the money lands”: Store Location Map </w:t>
      </w:r>
      <w:r w:rsidR="00AC0AE6">
        <w:rPr>
          <w:rFonts w:ascii="Georgia" w:eastAsia="Georgia" w:hAnsi="Georgia" w:cs="Georgia"/>
          <w:b/>
          <w:bCs/>
          <w:color w:val="8A3B1F"/>
          <w:sz w:val="30"/>
          <w:szCs w:val="30"/>
        </w:rPr>
        <w:t>Visualization</w:t>
      </w:r>
    </w:p>
    <w:p w14:paraId="55E35D86" w14:textId="77777777" w:rsidR="002E0C1C" w:rsidRDefault="00000000">
      <w:pPr>
        <w:pStyle w:val="Heading2"/>
        <w:spacing w:before="280" w:after="120"/>
      </w:pPr>
      <w:r>
        <w:rPr>
          <w:rFonts w:ascii="Georgia" w:eastAsia="Georgia" w:hAnsi="Georgia" w:cs="Georgia"/>
          <w:b/>
          <w:bCs/>
          <w:color w:val="3B2A1E"/>
          <w:sz w:val="24"/>
          <w:szCs w:val="24"/>
        </w:rPr>
        <w:t>Chart type and encoding</w:t>
      </w:r>
    </w:p>
    <w:p w14:paraId="0E87AED5" w14:textId="68A73A99" w:rsidR="002E0C1C" w:rsidRDefault="00000000">
      <w:pPr>
        <w:spacing w:after="160" w:line="288" w:lineRule="auto"/>
      </w:pPr>
      <w:r>
        <w:rPr>
          <w:rFonts w:ascii="Calibri" w:eastAsia="Calibri" w:hAnsi="Calibri" w:cs="Calibri"/>
          <w:sz w:val="22"/>
          <w:szCs w:val="22"/>
        </w:rPr>
        <w:t xml:space="preserve">Chart 2 is a Store Location Map </w:t>
      </w:r>
      <w:r w:rsidR="00AC0AE6">
        <w:rPr>
          <w:rFonts w:ascii="Calibri" w:eastAsia="Calibri" w:hAnsi="Calibri" w:cs="Calibri"/>
          <w:sz w:val="22"/>
          <w:szCs w:val="22"/>
        </w:rPr>
        <w:t>visualization</w:t>
      </w:r>
      <w:r>
        <w:rPr>
          <w:rFonts w:ascii="Calibri" w:eastAsia="Calibri" w:hAnsi="Calibri" w:cs="Calibri"/>
          <w:sz w:val="22"/>
          <w:szCs w:val="22"/>
        </w:rPr>
        <w:t xml:space="preserve">: a proportional-symbol map that places one circle at each store's real geographic coordinates on a simplified Manhattan-area basemap, with circle area proportional to that store's total revenue (implemented with a square-root radius scale, so it is genuinely the area, not the radius, that tracks revenue) and </w:t>
      </w:r>
      <w:r w:rsidR="00AC0AE6">
        <w:rPr>
          <w:rFonts w:ascii="Calibri" w:eastAsia="Calibri" w:hAnsi="Calibri" w:cs="Calibri"/>
          <w:sz w:val="22"/>
          <w:szCs w:val="22"/>
        </w:rPr>
        <w:t>colored</w:t>
      </w:r>
      <w:r>
        <w:rPr>
          <w:rFonts w:ascii="Calibri" w:eastAsia="Calibri" w:hAnsi="Calibri" w:cs="Calibri"/>
          <w:sz w:val="22"/>
          <w:szCs w:val="22"/>
        </w:rPr>
        <w:t xml:space="preserve"> consistently per store — Hell’s Kitchen in red, Astoria in amber, Lower Manhattan in teal. A ranked list beside the map repeats each store's revenue, transaction share and a proportional bar, and a highlight ring appears around a store's circle whenever it is hovered or selected.</w:t>
      </w:r>
    </w:p>
    <w:p w14:paraId="064AE0FF" w14:textId="77777777" w:rsidR="002E0C1C" w:rsidRDefault="00000000">
      <w:pPr>
        <w:pStyle w:val="Heading2"/>
        <w:spacing w:before="280" w:after="120"/>
      </w:pPr>
      <w:r>
        <w:rPr>
          <w:rFonts w:ascii="Georgia" w:eastAsia="Georgia" w:hAnsi="Georgia" w:cs="Georgia"/>
          <w:b/>
          <w:bCs/>
          <w:color w:val="3B2A1E"/>
          <w:sz w:val="24"/>
          <w:szCs w:val="24"/>
        </w:rPr>
        <w:t>Why this chart type</w:t>
      </w:r>
    </w:p>
    <w:p w14:paraId="01A65249" w14:textId="77777777" w:rsidR="002E0C1C" w:rsidRDefault="00000000">
      <w:pPr>
        <w:spacing w:after="160" w:line="288" w:lineRule="auto"/>
      </w:pPr>
      <w:r>
        <w:rPr>
          <w:rFonts w:ascii="Calibri" w:eastAsia="Calibri" w:hAnsi="Calibri" w:cs="Calibri"/>
          <w:sz w:val="22"/>
          <w:szCs w:val="22"/>
        </w:rPr>
        <w:t>Because the question is explicitly geographic (“where”), anchoring the values to a simplified map of their real locations was preferred over a plain bar chart, which would communicate the ranking but discard the spatial context a store manager actually reasons in.</w:t>
      </w:r>
    </w:p>
    <w:p w14:paraId="64AF5E1C" w14:textId="77777777" w:rsidR="002E0C1C" w:rsidRDefault="00000000">
      <w:pPr>
        <w:spacing w:after="160" w:line="288" w:lineRule="auto"/>
      </w:pPr>
      <w:r>
        <w:rPr>
          <w:rFonts w:ascii="Calibri" w:eastAsia="Calibri" w:hAnsi="Calibri" w:cs="Calibri"/>
          <w:sz w:val="22"/>
          <w:szCs w:val="22"/>
        </w:rPr>
        <w:lastRenderedPageBreak/>
        <w:t>Encoding revenue as circle area rather than radius was a specific accuracy decision: scaling radius linearly with value is a common map-design error that exaggerates the perceived difference between values, since the resulting area grows with the square of the radius. Using area keeps the visual comparison between the three circles proportionally honest.</w:t>
      </w:r>
    </w:p>
    <w:p w14:paraId="36BA3CBA" w14:textId="77777777" w:rsidR="002E0C1C" w:rsidRDefault="00000000">
      <w:pPr>
        <w:spacing w:after="160" w:line="288" w:lineRule="auto"/>
      </w:pPr>
      <w:r>
        <w:rPr>
          <w:rFonts w:ascii="Calibri" w:eastAsia="Calibri" w:hAnsi="Calibri" w:cs="Calibri"/>
          <w:sz w:val="22"/>
          <w:szCs w:val="22"/>
        </w:rPr>
        <w:t>The adjacent ranked list is a deliberate redundant encoding, not decoration: the map supports an exploratory, spatial reading, while the list supports a precise, analytical reading (exact dollar figures, percentage share, and the numeric spread between the top and bottom store). Stating the spread explicitly — $6,454, or 2.8% — pre-empts a reader assuming three visibly different-sized circles represent a larger gap than actually exists.</w:t>
      </w:r>
    </w:p>
    <w:p w14:paraId="21B887BC" w14:textId="77777777" w:rsidR="002E0C1C" w:rsidRDefault="00000000">
      <w:pPr>
        <w:pStyle w:val="Heading2"/>
        <w:spacing w:before="280" w:after="120"/>
      </w:pPr>
      <w:r>
        <w:rPr>
          <w:rFonts w:ascii="Georgia" w:eastAsia="Georgia" w:hAnsi="Georgia" w:cs="Georgia"/>
          <w:b/>
          <w:bCs/>
          <w:color w:val="3B2A1E"/>
          <w:sz w:val="24"/>
          <w:szCs w:val="24"/>
        </w:rPr>
        <w:t>Interaction and cross-dashboard consistency</w:t>
      </w:r>
    </w:p>
    <w:p w14:paraId="3F3BFACF" w14:textId="344FA104" w:rsidR="002E0C1C" w:rsidRDefault="00000000">
      <w:pPr>
        <w:spacing w:after="160" w:line="288" w:lineRule="auto"/>
      </w:pPr>
      <w:r>
        <w:rPr>
          <w:rFonts w:ascii="Calibri" w:eastAsia="Calibri" w:hAnsi="Calibri" w:cs="Calibri"/>
          <w:sz w:val="22"/>
          <w:szCs w:val="22"/>
        </w:rPr>
        <w:t xml:space="preserve">Clicking a store, either on the map or in the ranked list, filters the entire dashboard to that store, letting a manager see a single location's queue pattern and value relationship without navigating away from the page. The same three store </w:t>
      </w:r>
      <w:r w:rsidR="00AC0AE6">
        <w:rPr>
          <w:rFonts w:ascii="Calibri" w:eastAsia="Calibri" w:hAnsi="Calibri" w:cs="Calibri"/>
          <w:sz w:val="22"/>
          <w:szCs w:val="22"/>
        </w:rPr>
        <w:t>colors</w:t>
      </w:r>
      <w:r>
        <w:rPr>
          <w:rFonts w:ascii="Calibri" w:eastAsia="Calibri" w:hAnsi="Calibri" w:cs="Calibri"/>
          <w:sz w:val="22"/>
          <w:szCs w:val="22"/>
        </w:rPr>
        <w:t xml:space="preserve"> are reused on the map, the ranked list and the Chart 3 legend, so the </w:t>
      </w:r>
      <w:r w:rsidR="00AC0AE6">
        <w:rPr>
          <w:rFonts w:ascii="Calibri" w:eastAsia="Calibri" w:hAnsi="Calibri" w:cs="Calibri"/>
          <w:sz w:val="22"/>
          <w:szCs w:val="22"/>
        </w:rPr>
        <w:t>color</w:t>
      </w:r>
      <w:r>
        <w:rPr>
          <w:rFonts w:ascii="Calibri" w:eastAsia="Calibri" w:hAnsi="Calibri" w:cs="Calibri"/>
          <w:sz w:val="22"/>
          <w:szCs w:val="22"/>
        </w:rPr>
        <w:t xml:space="preserve"> code is learned once and remains valid everywhere on the page.</w:t>
      </w:r>
    </w:p>
    <w:p w14:paraId="7B11A3EC" w14:textId="77777777" w:rsidR="002E0C1C" w:rsidRDefault="00000000">
      <w:pPr>
        <w:pStyle w:val="Heading1"/>
        <w:pBdr>
          <w:bottom w:val="single" w:sz="6" w:space="4" w:color="C9A98C"/>
        </w:pBdr>
        <w:spacing w:before="360" w:after="160"/>
      </w:pPr>
      <w:r>
        <w:rPr>
          <w:rFonts w:ascii="Georgia" w:eastAsia="Georgia" w:hAnsi="Georgia" w:cs="Georgia"/>
          <w:b/>
          <w:bCs/>
          <w:color w:val="8A3B1F"/>
          <w:sz w:val="30"/>
          <w:szCs w:val="30"/>
        </w:rPr>
        <w:t>6. Chart 3 — “How much a cup is worth” (Scatter plot with regression)</w:t>
      </w:r>
    </w:p>
    <w:p w14:paraId="6ECA94EF" w14:textId="77777777" w:rsidR="002E0C1C" w:rsidRDefault="00000000">
      <w:pPr>
        <w:pStyle w:val="Heading2"/>
        <w:spacing w:before="280" w:after="120"/>
      </w:pPr>
      <w:r>
        <w:rPr>
          <w:rFonts w:ascii="Georgia" w:eastAsia="Georgia" w:hAnsi="Georgia" w:cs="Georgia"/>
          <w:b/>
          <w:bCs/>
          <w:color w:val="3B2A1E"/>
          <w:sz w:val="24"/>
          <w:szCs w:val="24"/>
        </w:rPr>
        <w:t>Chart type and encoding</w:t>
      </w:r>
    </w:p>
    <w:p w14:paraId="6CC08CEF" w14:textId="666721D5" w:rsidR="002E0C1C" w:rsidRDefault="00000000">
      <w:pPr>
        <w:spacing w:after="160" w:line="288" w:lineRule="auto"/>
      </w:pPr>
      <w:r>
        <w:rPr>
          <w:rFonts w:ascii="Calibri" w:eastAsia="Calibri" w:hAnsi="Calibri" w:cs="Calibri"/>
          <w:sz w:val="22"/>
          <w:szCs w:val="22"/>
        </w:rPr>
        <w:t xml:space="preserve">A scatter plot plots units sold per day (x-axis) against revenue per day (y-axis), with one point per store per trading day (543 store-days in total), point size mapped to that day's transaction count, and </w:t>
      </w:r>
      <w:r w:rsidR="00AC0AE6">
        <w:rPr>
          <w:rFonts w:ascii="Calibri" w:eastAsia="Calibri" w:hAnsi="Calibri" w:cs="Calibri"/>
          <w:sz w:val="22"/>
          <w:szCs w:val="22"/>
        </w:rPr>
        <w:t>color</w:t>
      </w:r>
      <w:r>
        <w:rPr>
          <w:rFonts w:ascii="Calibri" w:eastAsia="Calibri" w:hAnsi="Calibri" w:cs="Calibri"/>
          <w:sz w:val="22"/>
          <w:szCs w:val="22"/>
        </w:rPr>
        <w:t xml:space="preserve"> mapped to store. A linear trend line is overlaid with its equation, R² and correlation coefficient reported alongside.</w:t>
      </w:r>
    </w:p>
    <w:p w14:paraId="31EB8D42" w14:textId="77777777" w:rsidR="002E0C1C" w:rsidRDefault="00000000">
      <w:pPr>
        <w:pStyle w:val="Heading2"/>
        <w:spacing w:before="280" w:after="120"/>
      </w:pPr>
      <w:r>
        <w:rPr>
          <w:rFonts w:ascii="Georgia" w:eastAsia="Georgia" w:hAnsi="Georgia" w:cs="Georgia"/>
          <w:b/>
          <w:bCs/>
          <w:color w:val="3B2A1E"/>
          <w:sz w:val="24"/>
          <w:szCs w:val="24"/>
        </w:rPr>
        <w:t>Why this chart type</w:t>
      </w:r>
    </w:p>
    <w:p w14:paraId="3496EE20" w14:textId="77777777" w:rsidR="002E0C1C" w:rsidRDefault="00000000">
      <w:pPr>
        <w:spacing w:after="160" w:line="288" w:lineRule="auto"/>
      </w:pPr>
      <w:r>
        <w:rPr>
          <w:rFonts w:ascii="Calibri" w:eastAsia="Calibri" w:hAnsi="Calibri" w:cs="Calibri"/>
          <w:sz w:val="22"/>
          <w:szCs w:val="22"/>
        </w:rPr>
        <w:t>The question “how much is a cup worth” is a question about the relationship between two continuous variables — volume and revenue — at the finest grain the data supports (one store-day), so a scatter plot was chosen over a bar or line chart, either of which would require aggregating away the day-to-day variation that this question is actually about.</w:t>
      </w:r>
    </w:p>
    <w:p w14:paraId="1D3A109A" w14:textId="77777777" w:rsidR="002E0C1C" w:rsidRDefault="00000000">
      <w:pPr>
        <w:spacing w:after="160" w:line="288" w:lineRule="auto"/>
      </w:pPr>
      <w:r>
        <w:rPr>
          <w:rFonts w:ascii="Calibri" w:eastAsia="Calibri" w:hAnsi="Calibri" w:cs="Calibri"/>
          <w:sz w:val="22"/>
          <w:szCs w:val="22"/>
        </w:rPr>
        <w:t>The trend line converts a visual pattern into a decision-usable number: the fitted equation, y = 3.20x + 23.59, states directly that each additional unit sold is associated with roughly $3.20 of extra daily revenue — answering the chart's research question in a form a manager could use for a rough forecast.</w:t>
      </w:r>
    </w:p>
    <w:p w14:paraId="579BA8A7" w14:textId="77777777" w:rsidR="002E0C1C" w:rsidRDefault="00000000">
      <w:pPr>
        <w:spacing w:after="160" w:line="288" w:lineRule="auto"/>
      </w:pPr>
      <w:r>
        <w:rPr>
          <w:rFonts w:ascii="Calibri" w:eastAsia="Calibri" w:hAnsi="Calibri" w:cs="Calibri"/>
          <w:sz w:val="22"/>
          <w:szCs w:val="22"/>
        </w:rPr>
        <w:t>R² (0.939) and correlation (+0.969) are reported as numbers rather than left for the reader to estimate visually, both for transparency and because they flag how tight the relationship is; a few visible outliers (for example, a point around 200 units with revenue above $2,000) sit far enough from the line to be worth investigating separately, such as a promotional day or a large catering order.</w:t>
      </w:r>
    </w:p>
    <w:p w14:paraId="09A1FE2A" w14:textId="77777777" w:rsidR="002E0C1C" w:rsidRDefault="00000000">
      <w:pPr>
        <w:spacing w:after="160" w:line="288" w:lineRule="auto"/>
      </w:pPr>
      <w:r>
        <w:rPr>
          <w:rFonts w:ascii="Calibri" w:eastAsia="Calibri" w:hAnsi="Calibri" w:cs="Calibri"/>
          <w:sz w:val="22"/>
          <w:szCs w:val="22"/>
        </w:rPr>
        <w:t>Point size (transaction count) is a secondary encoding that distinguishes a high-value day from simply a busy one: two points at the same x-y position could otherwise represent very different transaction volumes.</w:t>
      </w:r>
    </w:p>
    <w:p w14:paraId="26A04F86" w14:textId="77777777" w:rsidR="002E0C1C" w:rsidRDefault="00000000">
      <w:pPr>
        <w:pStyle w:val="Heading2"/>
        <w:spacing w:before="280" w:after="120"/>
      </w:pPr>
      <w:r>
        <w:rPr>
          <w:rFonts w:ascii="Georgia" w:eastAsia="Georgia" w:hAnsi="Georgia" w:cs="Georgia"/>
          <w:b/>
          <w:bCs/>
          <w:color w:val="3B2A1E"/>
          <w:sz w:val="24"/>
          <w:szCs w:val="24"/>
        </w:rPr>
        <w:lastRenderedPageBreak/>
        <w:t>Interaction</w:t>
      </w:r>
    </w:p>
    <w:p w14:paraId="6F179F58" w14:textId="77777777" w:rsidR="002E0C1C" w:rsidRDefault="00000000">
      <w:pPr>
        <w:spacing w:after="160" w:line="288" w:lineRule="auto"/>
      </w:pPr>
      <w:r>
        <w:rPr>
          <w:rFonts w:ascii="Calibri" w:eastAsia="Calibri" w:hAnsi="Calibri" w:cs="Calibri"/>
          <w:sz w:val="22"/>
          <w:szCs w:val="22"/>
        </w:rPr>
        <w:t>A drag-to-zoom control lets a reader isolate the densest cluster of points (roughly 200–700 units per day), where the vast majority of trading days fall, without needing a second, separately-scaled chart.</w:t>
      </w:r>
    </w:p>
    <w:p w14:paraId="7848E0BC" w14:textId="77777777" w:rsidR="002E0C1C" w:rsidRDefault="00000000">
      <w:pPr>
        <w:pStyle w:val="Heading1"/>
        <w:pBdr>
          <w:bottom w:val="single" w:sz="6" w:space="4" w:color="C9A98C"/>
        </w:pBdr>
        <w:spacing w:before="360" w:after="160"/>
      </w:pPr>
      <w:r>
        <w:rPr>
          <w:rFonts w:ascii="Georgia" w:eastAsia="Georgia" w:hAnsi="Georgia" w:cs="Georgia"/>
          <w:b/>
          <w:bCs/>
          <w:color w:val="8A3B1F"/>
          <w:sz w:val="30"/>
          <w:szCs w:val="30"/>
        </w:rPr>
        <w:t>7. Cross-Chart Consistency and Ethical Considerations</w:t>
      </w:r>
    </w:p>
    <w:p w14:paraId="1EE2908C" w14:textId="4582A752" w:rsidR="002E0C1C" w:rsidRDefault="00000000">
      <w:pPr>
        <w:pStyle w:val="ListParagraph"/>
        <w:numPr>
          <w:ilvl w:val="0"/>
          <w:numId w:val="2"/>
        </w:numPr>
        <w:spacing w:after="90" w:line="276" w:lineRule="auto"/>
      </w:pPr>
      <w:r>
        <w:rPr>
          <w:rFonts w:ascii="Calibri" w:eastAsia="Calibri" w:hAnsi="Calibri" w:cs="Calibri"/>
          <w:sz w:val="22"/>
          <w:szCs w:val="22"/>
        </w:rPr>
        <w:t xml:space="preserve">A single store </w:t>
      </w:r>
      <w:r w:rsidR="00AC0AE6">
        <w:rPr>
          <w:rFonts w:ascii="Calibri" w:eastAsia="Calibri" w:hAnsi="Calibri" w:cs="Calibri"/>
          <w:sz w:val="22"/>
          <w:szCs w:val="22"/>
        </w:rPr>
        <w:t>color</w:t>
      </w:r>
      <w:r>
        <w:rPr>
          <w:rFonts w:ascii="Calibri" w:eastAsia="Calibri" w:hAnsi="Calibri" w:cs="Calibri"/>
          <w:sz w:val="22"/>
          <w:szCs w:val="22"/>
        </w:rPr>
        <w:t xml:space="preserve"> palette (red / amber / teal) is used identically across the heatmap's absence of store-splitting, the map, the ranked list and the scatter legend, so a reader is never asked to learn more than one </w:t>
      </w:r>
      <w:r w:rsidR="00AC0AE6">
        <w:rPr>
          <w:rFonts w:ascii="Calibri" w:eastAsia="Calibri" w:hAnsi="Calibri" w:cs="Calibri"/>
          <w:sz w:val="22"/>
          <w:szCs w:val="22"/>
        </w:rPr>
        <w:t>color</w:t>
      </w:r>
      <w:r>
        <w:rPr>
          <w:rFonts w:ascii="Calibri" w:eastAsia="Calibri" w:hAnsi="Calibri" w:cs="Calibri"/>
          <w:sz w:val="22"/>
          <w:szCs w:val="22"/>
        </w:rPr>
        <w:t xml:space="preserve"> code.</w:t>
      </w:r>
    </w:p>
    <w:p w14:paraId="74D01543" w14:textId="77777777" w:rsidR="002E0C1C" w:rsidRDefault="00000000">
      <w:pPr>
        <w:pStyle w:val="ListParagraph"/>
        <w:numPr>
          <w:ilvl w:val="0"/>
          <w:numId w:val="2"/>
        </w:numPr>
        <w:spacing w:after="90" w:line="276" w:lineRule="auto"/>
      </w:pPr>
      <w:r>
        <w:rPr>
          <w:rFonts w:ascii="Calibri" w:eastAsia="Calibri" w:hAnsi="Calibri" w:cs="Calibri"/>
          <w:sz w:val="22"/>
          <w:szCs w:val="22"/>
        </w:rPr>
        <w:t>Every KPI and chart value is drawn directly from the cleaned transaction table (149,116 rows) rather than a separately rounded figure, and the dashboard footer states this explicitly — addressing the project's data-attribution requirement.</w:t>
      </w:r>
    </w:p>
    <w:p w14:paraId="6DCC9356" w14:textId="4EA0EE51" w:rsidR="002E0C1C" w:rsidRDefault="00000000">
      <w:pPr>
        <w:pStyle w:val="ListParagraph"/>
        <w:numPr>
          <w:ilvl w:val="0"/>
          <w:numId w:val="2"/>
        </w:numPr>
        <w:spacing w:after="90" w:line="276" w:lineRule="auto"/>
      </w:pPr>
      <w:r>
        <w:rPr>
          <w:rFonts w:ascii="Calibri" w:eastAsia="Calibri" w:hAnsi="Calibri" w:cs="Calibri"/>
          <w:sz w:val="22"/>
          <w:szCs w:val="22"/>
        </w:rPr>
        <w:t>The scatter plot's axes start at zero and the map uses area (not radius) for its proportional symbols; both choices were made specifically to avoid the two most common misleading-</w:t>
      </w:r>
      <w:r w:rsidR="00AC0AE6">
        <w:rPr>
          <w:rFonts w:ascii="Calibri" w:eastAsia="Calibri" w:hAnsi="Calibri" w:cs="Calibri"/>
          <w:sz w:val="22"/>
          <w:szCs w:val="22"/>
        </w:rPr>
        <w:t>visualization</w:t>
      </w:r>
      <w:r>
        <w:rPr>
          <w:rFonts w:ascii="Calibri" w:eastAsia="Calibri" w:hAnsi="Calibri" w:cs="Calibri"/>
          <w:sz w:val="22"/>
          <w:szCs w:val="22"/>
        </w:rPr>
        <w:t xml:space="preserve"> pitfalls identified during the ethical review — truncated axes and mis-scaled proportional symbols.</w:t>
      </w:r>
    </w:p>
    <w:p w14:paraId="5C3D4EF0" w14:textId="77777777" w:rsidR="002E0C1C" w:rsidRDefault="00000000">
      <w:pPr>
        <w:pStyle w:val="ListParagraph"/>
        <w:numPr>
          <w:ilvl w:val="0"/>
          <w:numId w:val="2"/>
        </w:numPr>
        <w:spacing w:after="90" w:line="276" w:lineRule="auto"/>
      </w:pPr>
      <w:r>
        <w:rPr>
          <w:rFonts w:ascii="Calibri" w:eastAsia="Calibri" w:hAnsi="Calibri" w:cs="Calibri"/>
          <w:sz w:val="22"/>
          <w:szCs w:val="22"/>
        </w:rPr>
        <w:t>The footer discloses that the basemap is “simplified geometry… not a tile service,” making clear to the reader that the map is schematic rather than survey-accurate, which is an appropriate limitation to state given the map is used for relative comparison, not navigation.</w:t>
      </w:r>
    </w:p>
    <w:p w14:paraId="370A4167" w14:textId="504D48AD" w:rsidR="002E0C1C" w:rsidRDefault="00000000">
      <w:pPr>
        <w:pStyle w:val="ListParagraph"/>
        <w:numPr>
          <w:ilvl w:val="0"/>
          <w:numId w:val="2"/>
        </w:numPr>
        <w:spacing w:after="90" w:line="276" w:lineRule="auto"/>
      </w:pPr>
      <w:r>
        <w:rPr>
          <w:rFonts w:ascii="Calibri" w:eastAsia="Calibri" w:hAnsi="Calibri" w:cs="Calibri"/>
          <w:sz w:val="22"/>
          <w:szCs w:val="22"/>
        </w:rPr>
        <w:t xml:space="preserve">Supporting both a light and a dark theme, and testing the layout across desktop, tablet and phone widths, were treated as part of the same ethical/quality bar as the encoding choices above — a dashboard that is unreadable to a </w:t>
      </w:r>
      <w:r w:rsidR="00AC0AE6">
        <w:rPr>
          <w:rFonts w:ascii="Calibri" w:eastAsia="Calibri" w:hAnsi="Calibri" w:cs="Calibri"/>
          <w:sz w:val="22"/>
          <w:szCs w:val="22"/>
        </w:rPr>
        <w:t>color</w:t>
      </w:r>
      <w:r>
        <w:rPr>
          <w:rFonts w:ascii="Calibri" w:eastAsia="Calibri" w:hAnsi="Calibri" w:cs="Calibri"/>
          <w:sz w:val="22"/>
          <w:szCs w:val="22"/>
        </w:rPr>
        <w:t>-blind visitor, a visitor in bright daylight, or a visitor on a phone is not a neutral limitation, it is a form of the same misleading-by-omission problem the checklist asks the team to guard against.</w:t>
      </w:r>
    </w:p>
    <w:p w14:paraId="1F7BDBB2" w14:textId="77777777" w:rsidR="002E0C1C" w:rsidRDefault="00000000">
      <w:pPr>
        <w:pStyle w:val="Heading1"/>
        <w:pBdr>
          <w:bottom w:val="single" w:sz="6" w:space="4" w:color="C9A98C"/>
        </w:pBdr>
        <w:spacing w:before="360" w:after="160"/>
      </w:pPr>
      <w:r>
        <w:rPr>
          <w:rFonts w:ascii="Georgia" w:eastAsia="Georgia" w:hAnsi="Georgia" w:cs="Georgia"/>
          <w:b/>
          <w:bCs/>
          <w:color w:val="8A3B1F"/>
          <w:sz w:val="30"/>
          <w:szCs w:val="30"/>
        </w:rPr>
        <w:t>8. Summary: Question → Chart → Encoding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600"/>
        <w:gridCol w:w="1700"/>
        <w:gridCol w:w="3300"/>
      </w:tblGrid>
      <w:tr w:rsidR="002E0C1C" w14:paraId="62B1BE4C" w14:textId="77777777">
        <w:trPr>
          <w:tblHeader/>
        </w:trPr>
        <w:tc>
          <w:tcPr>
            <w:tcW w:w="1500" w:type="dxa"/>
            <w:shd w:val="clear" w:color="auto" w:fill="8A3B1F"/>
            <w:tcMar>
              <w:top w:w="80" w:type="dxa"/>
              <w:left w:w="100" w:type="dxa"/>
              <w:bottom w:w="80" w:type="dxa"/>
              <w:right w:w="100" w:type="dxa"/>
            </w:tcMar>
          </w:tcPr>
          <w:p w14:paraId="6DA7F5E2" w14:textId="77777777" w:rsidR="002E0C1C" w:rsidRDefault="00000000">
            <w:r>
              <w:rPr>
                <w:rFonts w:ascii="Calibri" w:eastAsia="Calibri" w:hAnsi="Calibri" w:cs="Calibri"/>
                <w:b/>
                <w:bCs/>
                <w:color w:val="FFFFFF"/>
              </w:rPr>
              <w:t>Chart</w:t>
            </w:r>
          </w:p>
        </w:tc>
        <w:tc>
          <w:tcPr>
            <w:tcW w:w="2600" w:type="dxa"/>
            <w:shd w:val="clear" w:color="auto" w:fill="8A3B1F"/>
            <w:tcMar>
              <w:top w:w="80" w:type="dxa"/>
              <w:left w:w="100" w:type="dxa"/>
              <w:bottom w:w="80" w:type="dxa"/>
              <w:right w:w="100" w:type="dxa"/>
            </w:tcMar>
          </w:tcPr>
          <w:p w14:paraId="5F90BE1C" w14:textId="77777777" w:rsidR="002E0C1C" w:rsidRDefault="00000000">
            <w:r>
              <w:rPr>
                <w:rFonts w:ascii="Calibri" w:eastAsia="Calibri" w:hAnsi="Calibri" w:cs="Calibri"/>
                <w:b/>
                <w:bCs/>
                <w:color w:val="FFFFFF"/>
              </w:rPr>
              <w:t>Research Question</w:t>
            </w:r>
          </w:p>
        </w:tc>
        <w:tc>
          <w:tcPr>
            <w:tcW w:w="1700" w:type="dxa"/>
            <w:shd w:val="clear" w:color="auto" w:fill="8A3B1F"/>
            <w:tcMar>
              <w:top w:w="80" w:type="dxa"/>
              <w:left w:w="100" w:type="dxa"/>
              <w:bottom w:w="80" w:type="dxa"/>
              <w:right w:w="100" w:type="dxa"/>
            </w:tcMar>
          </w:tcPr>
          <w:p w14:paraId="4EDA1E4C" w14:textId="77777777" w:rsidR="002E0C1C" w:rsidRDefault="00000000">
            <w:r>
              <w:rPr>
                <w:rFonts w:ascii="Calibri" w:eastAsia="Calibri" w:hAnsi="Calibri" w:cs="Calibri"/>
                <w:b/>
                <w:bCs/>
                <w:color w:val="FFFFFF"/>
              </w:rPr>
              <w:t>Chart Type</w:t>
            </w:r>
          </w:p>
        </w:tc>
        <w:tc>
          <w:tcPr>
            <w:tcW w:w="3300" w:type="dxa"/>
            <w:shd w:val="clear" w:color="auto" w:fill="8A3B1F"/>
            <w:tcMar>
              <w:top w:w="80" w:type="dxa"/>
              <w:left w:w="100" w:type="dxa"/>
              <w:bottom w:w="80" w:type="dxa"/>
              <w:right w:w="100" w:type="dxa"/>
            </w:tcMar>
          </w:tcPr>
          <w:p w14:paraId="20C9398E" w14:textId="77777777" w:rsidR="002E0C1C" w:rsidRDefault="00000000">
            <w:r>
              <w:rPr>
                <w:rFonts w:ascii="Calibri" w:eastAsia="Calibri" w:hAnsi="Calibri" w:cs="Calibri"/>
                <w:b/>
                <w:bCs/>
                <w:color w:val="FFFFFF"/>
              </w:rPr>
              <w:t>Key Encoding</w:t>
            </w:r>
          </w:p>
        </w:tc>
      </w:tr>
      <w:tr w:rsidR="002E0C1C" w14:paraId="2FED5C0B" w14:textId="77777777">
        <w:tc>
          <w:tcPr>
            <w:tcW w:w="1500" w:type="dxa"/>
            <w:shd w:val="clear" w:color="auto" w:fill="F4ECE3"/>
            <w:tcMar>
              <w:top w:w="80" w:type="dxa"/>
              <w:left w:w="100" w:type="dxa"/>
              <w:bottom w:w="80" w:type="dxa"/>
              <w:right w:w="100" w:type="dxa"/>
            </w:tcMar>
          </w:tcPr>
          <w:p w14:paraId="57DE4EE9" w14:textId="77777777" w:rsidR="002E0C1C" w:rsidRDefault="00000000">
            <w:r>
              <w:rPr>
                <w:rFonts w:ascii="Calibri" w:eastAsia="Calibri" w:hAnsi="Calibri" w:cs="Calibri"/>
                <w:color w:val="1A1A1A"/>
              </w:rPr>
              <w:t>Chart 1 – When</w:t>
            </w:r>
          </w:p>
        </w:tc>
        <w:tc>
          <w:tcPr>
            <w:tcW w:w="2600" w:type="dxa"/>
            <w:shd w:val="clear" w:color="auto" w:fill="F4ECE3"/>
            <w:tcMar>
              <w:top w:w="80" w:type="dxa"/>
              <w:left w:w="100" w:type="dxa"/>
              <w:bottom w:w="80" w:type="dxa"/>
              <w:right w:w="100" w:type="dxa"/>
            </w:tcMar>
          </w:tcPr>
          <w:p w14:paraId="068630AB" w14:textId="77777777" w:rsidR="002E0C1C" w:rsidRDefault="00000000">
            <w:r>
              <w:rPr>
                <w:rFonts w:ascii="Calibri" w:eastAsia="Calibri" w:hAnsi="Calibri" w:cs="Calibri"/>
                <w:color w:val="1A1A1A"/>
              </w:rPr>
              <w:t>When do stores experience peak and quiet periods?</w:t>
            </w:r>
          </w:p>
        </w:tc>
        <w:tc>
          <w:tcPr>
            <w:tcW w:w="1700" w:type="dxa"/>
            <w:shd w:val="clear" w:color="auto" w:fill="F4ECE3"/>
            <w:tcMar>
              <w:top w:w="80" w:type="dxa"/>
              <w:left w:w="100" w:type="dxa"/>
              <w:bottom w:w="80" w:type="dxa"/>
              <w:right w:w="100" w:type="dxa"/>
            </w:tcMar>
          </w:tcPr>
          <w:p w14:paraId="6505B270" w14:textId="77777777" w:rsidR="002E0C1C" w:rsidRDefault="00000000">
            <w:r>
              <w:rPr>
                <w:rFonts w:ascii="Calibri" w:eastAsia="Calibri" w:hAnsi="Calibri" w:cs="Calibri"/>
                <w:color w:val="1A1A1A"/>
              </w:rPr>
              <w:t>Matrix heatmap (day × hour)</w:t>
            </w:r>
          </w:p>
        </w:tc>
        <w:tc>
          <w:tcPr>
            <w:tcW w:w="3300" w:type="dxa"/>
            <w:shd w:val="clear" w:color="auto" w:fill="F4ECE3"/>
            <w:tcMar>
              <w:top w:w="80" w:type="dxa"/>
              <w:left w:w="100" w:type="dxa"/>
              <w:bottom w:w="80" w:type="dxa"/>
              <w:right w:w="100" w:type="dxa"/>
            </w:tcMar>
          </w:tcPr>
          <w:p w14:paraId="269B53DF" w14:textId="1513706F" w:rsidR="002E0C1C" w:rsidRDefault="00AC0AE6">
            <w:r>
              <w:rPr>
                <w:rFonts w:ascii="Calibri" w:eastAsia="Calibri" w:hAnsi="Calibri" w:cs="Calibri"/>
                <w:color w:val="1A1A1A"/>
              </w:rPr>
              <w:t>Color + printed value = transaction count per cell; sequential ramp</w:t>
            </w:r>
          </w:p>
        </w:tc>
      </w:tr>
      <w:tr w:rsidR="002E0C1C" w14:paraId="133FC092" w14:textId="77777777">
        <w:tc>
          <w:tcPr>
            <w:tcW w:w="1500" w:type="dxa"/>
            <w:tcMar>
              <w:top w:w="80" w:type="dxa"/>
              <w:left w:w="100" w:type="dxa"/>
              <w:bottom w:w="80" w:type="dxa"/>
              <w:right w:w="100" w:type="dxa"/>
            </w:tcMar>
          </w:tcPr>
          <w:p w14:paraId="3FF0D728" w14:textId="77777777" w:rsidR="002E0C1C" w:rsidRDefault="00000000">
            <w:r>
              <w:rPr>
                <w:rFonts w:ascii="Calibri" w:eastAsia="Calibri" w:hAnsi="Calibri" w:cs="Calibri"/>
                <w:color w:val="1A1A1A"/>
              </w:rPr>
              <w:t>Chart 2 – Where</w:t>
            </w:r>
          </w:p>
        </w:tc>
        <w:tc>
          <w:tcPr>
            <w:tcW w:w="2600" w:type="dxa"/>
            <w:tcMar>
              <w:top w:w="80" w:type="dxa"/>
              <w:left w:w="100" w:type="dxa"/>
              <w:bottom w:w="80" w:type="dxa"/>
              <w:right w:w="100" w:type="dxa"/>
            </w:tcMar>
          </w:tcPr>
          <w:p w14:paraId="157AE61C" w14:textId="77777777" w:rsidR="002E0C1C" w:rsidRDefault="00000000">
            <w:r>
              <w:rPr>
                <w:rFonts w:ascii="Calibri" w:eastAsia="Calibri" w:hAnsi="Calibri" w:cs="Calibri"/>
                <w:color w:val="1A1A1A"/>
              </w:rPr>
              <w:t>How is revenue distributed across the three locations?</w:t>
            </w:r>
          </w:p>
        </w:tc>
        <w:tc>
          <w:tcPr>
            <w:tcW w:w="1700" w:type="dxa"/>
            <w:tcMar>
              <w:top w:w="80" w:type="dxa"/>
              <w:left w:w="100" w:type="dxa"/>
              <w:bottom w:w="80" w:type="dxa"/>
              <w:right w:w="100" w:type="dxa"/>
            </w:tcMar>
          </w:tcPr>
          <w:p w14:paraId="26DA8C13" w14:textId="0EDDCBF0" w:rsidR="002E0C1C" w:rsidRDefault="00000000">
            <w:r>
              <w:rPr>
                <w:rFonts w:ascii="Calibri" w:eastAsia="Calibri" w:hAnsi="Calibri" w:cs="Calibri"/>
                <w:color w:val="1A1A1A"/>
              </w:rPr>
              <w:t xml:space="preserve">Store Location Map </w:t>
            </w:r>
            <w:r w:rsidR="00AC0AE6">
              <w:rPr>
                <w:rFonts w:ascii="Calibri" w:eastAsia="Calibri" w:hAnsi="Calibri" w:cs="Calibri"/>
                <w:color w:val="1A1A1A"/>
              </w:rPr>
              <w:t>visualization</w:t>
            </w:r>
            <w:r>
              <w:rPr>
                <w:rFonts w:ascii="Calibri" w:eastAsia="Calibri" w:hAnsi="Calibri" w:cs="Calibri"/>
                <w:color w:val="1A1A1A"/>
              </w:rPr>
              <w:t xml:space="preserve"> (proportional-symbol map)</w:t>
            </w:r>
          </w:p>
        </w:tc>
        <w:tc>
          <w:tcPr>
            <w:tcW w:w="3300" w:type="dxa"/>
            <w:tcMar>
              <w:top w:w="80" w:type="dxa"/>
              <w:left w:w="100" w:type="dxa"/>
              <w:bottom w:w="80" w:type="dxa"/>
              <w:right w:w="100" w:type="dxa"/>
            </w:tcMar>
          </w:tcPr>
          <w:p w14:paraId="293C8ED1" w14:textId="4558DBA9" w:rsidR="002E0C1C" w:rsidRDefault="00000000">
            <w:r>
              <w:rPr>
                <w:rFonts w:ascii="Calibri" w:eastAsia="Calibri" w:hAnsi="Calibri" w:cs="Calibri"/>
                <w:color w:val="1A1A1A"/>
              </w:rPr>
              <w:t xml:space="preserve">Circle area = revenue (sqrt scale); consistent per-store </w:t>
            </w:r>
            <w:r w:rsidR="00AC0AE6">
              <w:rPr>
                <w:rFonts w:ascii="Calibri" w:eastAsia="Calibri" w:hAnsi="Calibri" w:cs="Calibri"/>
                <w:color w:val="1A1A1A"/>
              </w:rPr>
              <w:t>color</w:t>
            </w:r>
            <w:r>
              <w:rPr>
                <w:rFonts w:ascii="Calibri" w:eastAsia="Calibri" w:hAnsi="Calibri" w:cs="Calibri"/>
                <w:color w:val="1A1A1A"/>
              </w:rPr>
              <w:t>; ranked list for precision</w:t>
            </w:r>
          </w:p>
        </w:tc>
      </w:tr>
      <w:tr w:rsidR="002E0C1C" w14:paraId="728218F4" w14:textId="77777777">
        <w:tc>
          <w:tcPr>
            <w:tcW w:w="1500" w:type="dxa"/>
            <w:shd w:val="clear" w:color="auto" w:fill="F4ECE3"/>
            <w:tcMar>
              <w:top w:w="80" w:type="dxa"/>
              <w:left w:w="100" w:type="dxa"/>
              <w:bottom w:w="80" w:type="dxa"/>
              <w:right w:w="100" w:type="dxa"/>
            </w:tcMar>
          </w:tcPr>
          <w:p w14:paraId="0FCB4FF3" w14:textId="77777777" w:rsidR="002E0C1C" w:rsidRDefault="00000000">
            <w:r>
              <w:rPr>
                <w:rFonts w:ascii="Calibri" w:eastAsia="Calibri" w:hAnsi="Calibri" w:cs="Calibri"/>
                <w:color w:val="1A1A1A"/>
              </w:rPr>
              <w:t>Chart 3 – How much</w:t>
            </w:r>
          </w:p>
        </w:tc>
        <w:tc>
          <w:tcPr>
            <w:tcW w:w="2600" w:type="dxa"/>
            <w:shd w:val="clear" w:color="auto" w:fill="F4ECE3"/>
            <w:tcMar>
              <w:top w:w="80" w:type="dxa"/>
              <w:left w:w="100" w:type="dxa"/>
              <w:bottom w:w="80" w:type="dxa"/>
              <w:right w:w="100" w:type="dxa"/>
            </w:tcMar>
          </w:tcPr>
          <w:p w14:paraId="05C6C585" w14:textId="77777777" w:rsidR="002E0C1C" w:rsidRDefault="00000000">
            <w:r>
              <w:rPr>
                <w:rFonts w:ascii="Calibri" w:eastAsia="Calibri" w:hAnsi="Calibri" w:cs="Calibri"/>
                <w:color w:val="1A1A1A"/>
              </w:rPr>
              <w:t>How does volume convert into revenue, and how consistently?</w:t>
            </w:r>
          </w:p>
        </w:tc>
        <w:tc>
          <w:tcPr>
            <w:tcW w:w="1700" w:type="dxa"/>
            <w:shd w:val="clear" w:color="auto" w:fill="F4ECE3"/>
            <w:tcMar>
              <w:top w:w="80" w:type="dxa"/>
              <w:left w:w="100" w:type="dxa"/>
              <w:bottom w:w="80" w:type="dxa"/>
              <w:right w:w="100" w:type="dxa"/>
            </w:tcMar>
          </w:tcPr>
          <w:p w14:paraId="3594212F" w14:textId="77777777" w:rsidR="002E0C1C" w:rsidRDefault="00000000">
            <w:r>
              <w:rPr>
                <w:rFonts w:ascii="Calibri" w:eastAsia="Calibri" w:hAnsi="Calibri" w:cs="Calibri"/>
                <w:color w:val="1A1A1A"/>
              </w:rPr>
              <w:t>Scatter plot with linear regression</w:t>
            </w:r>
          </w:p>
        </w:tc>
        <w:tc>
          <w:tcPr>
            <w:tcW w:w="3300" w:type="dxa"/>
            <w:shd w:val="clear" w:color="auto" w:fill="F4ECE3"/>
            <w:tcMar>
              <w:top w:w="80" w:type="dxa"/>
              <w:left w:w="100" w:type="dxa"/>
              <w:bottom w:w="80" w:type="dxa"/>
              <w:right w:w="100" w:type="dxa"/>
            </w:tcMar>
          </w:tcPr>
          <w:p w14:paraId="0EC9E5D0" w14:textId="167C3FCC" w:rsidR="002E0C1C" w:rsidRDefault="00000000">
            <w:r>
              <w:rPr>
                <w:rFonts w:ascii="Calibri" w:eastAsia="Calibri" w:hAnsi="Calibri" w:cs="Calibri"/>
                <w:color w:val="1A1A1A"/>
              </w:rPr>
              <w:t xml:space="preserve">Position = units vs. revenue; size = transactions; </w:t>
            </w:r>
            <w:r w:rsidR="00AC0AE6">
              <w:rPr>
                <w:rFonts w:ascii="Calibri" w:eastAsia="Calibri" w:hAnsi="Calibri" w:cs="Calibri"/>
                <w:color w:val="1A1A1A"/>
              </w:rPr>
              <w:t>color</w:t>
            </w:r>
            <w:r>
              <w:rPr>
                <w:rFonts w:ascii="Calibri" w:eastAsia="Calibri" w:hAnsi="Calibri" w:cs="Calibri"/>
                <w:color w:val="1A1A1A"/>
              </w:rPr>
              <w:t xml:space="preserve"> = store; trend line + R²</w:t>
            </w:r>
          </w:p>
        </w:tc>
      </w:tr>
    </w:tbl>
    <w:p w14:paraId="040431EB" w14:textId="77777777" w:rsidR="002E0C1C" w:rsidRDefault="002E0C1C">
      <w:pPr>
        <w:spacing w:before="200" w:after="240"/>
      </w:pPr>
    </w:p>
    <w:p w14:paraId="2FFBBFCA" w14:textId="77777777" w:rsidR="002E0C1C" w:rsidRDefault="00000000">
      <w:pPr>
        <w:pStyle w:val="Heading1"/>
        <w:pBdr>
          <w:bottom w:val="single" w:sz="6" w:space="4" w:color="C9A98C"/>
        </w:pBdr>
        <w:spacing w:before="360" w:after="160"/>
      </w:pPr>
      <w:r>
        <w:rPr>
          <w:rFonts w:ascii="Georgia" w:eastAsia="Georgia" w:hAnsi="Georgia" w:cs="Georgia"/>
          <w:b/>
          <w:bCs/>
          <w:color w:val="8A3B1F"/>
          <w:sz w:val="30"/>
          <w:szCs w:val="30"/>
        </w:rPr>
        <w:t>9. Conclusion</w:t>
      </w:r>
    </w:p>
    <w:p w14:paraId="67F983CB" w14:textId="4929D42A" w:rsidR="002E0C1C" w:rsidRDefault="00000000">
      <w:pPr>
        <w:spacing w:after="160" w:line="288" w:lineRule="auto"/>
      </w:pPr>
      <w:r>
        <w:rPr>
          <w:rFonts w:ascii="Calibri" w:eastAsia="Calibri" w:hAnsi="Calibri" w:cs="Calibri"/>
          <w:sz w:val="22"/>
          <w:szCs w:val="22"/>
        </w:rPr>
        <w:t xml:space="preserve">Each of the three charts was chosen to match the structure of its own research question — a matrix for a two-dimensional time question, a map for a spatial question, and a scatter plot for a relationship question — </w:t>
      </w:r>
      <w:r>
        <w:rPr>
          <w:rFonts w:ascii="Calibri" w:eastAsia="Calibri" w:hAnsi="Calibri" w:cs="Calibri"/>
          <w:sz w:val="22"/>
          <w:szCs w:val="22"/>
        </w:rPr>
        <w:lastRenderedPageBreak/>
        <w:t xml:space="preserve">rather than defaulting to a single familiar chart type for all three. Linking them through one shared filter set and one consistent </w:t>
      </w:r>
      <w:r w:rsidR="00AC0AE6">
        <w:rPr>
          <w:rFonts w:ascii="Calibri" w:eastAsia="Calibri" w:hAnsi="Calibri" w:cs="Calibri"/>
          <w:sz w:val="22"/>
          <w:szCs w:val="22"/>
        </w:rPr>
        <w:t>color</w:t>
      </w:r>
      <w:r>
        <w:rPr>
          <w:rFonts w:ascii="Calibri" w:eastAsia="Calibri" w:hAnsi="Calibri" w:cs="Calibri"/>
          <w:sz w:val="22"/>
          <w:szCs w:val="22"/>
        </w:rPr>
        <w:t xml:space="preserve"> and typographic system ensures that, together, they answer the overarching question of how time, location and volume combine to shape revenue across the three stores, while the written takeaways and reported statistics (percentages, dollar spreads, R²) keep each finding stated in a form the target audience can act on directly.</w:t>
      </w:r>
    </w:p>
    <w:sectPr w:rsidR="002E0C1C">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Iskoola Pota">
    <w:panose1 w:val="020B0502040204020203"/>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F7983"/>
    <w:multiLevelType w:val="hybridMultilevel"/>
    <w:tmpl w:val="B58C43DC"/>
    <w:lvl w:ilvl="0" w:tplc="9B4662AE">
      <w:start w:val="1"/>
      <w:numFmt w:val="bullet"/>
      <w:lvlText w:val="•"/>
      <w:lvlJc w:val="left"/>
      <w:pPr>
        <w:ind w:left="431" w:hanging="259"/>
      </w:pPr>
    </w:lvl>
    <w:lvl w:ilvl="1" w:tplc="3E9EC834">
      <w:start w:val="1"/>
      <w:numFmt w:val="bullet"/>
      <w:lvlText w:val="◦"/>
      <w:lvlJc w:val="left"/>
      <w:pPr>
        <w:ind w:left="863" w:hanging="259"/>
      </w:pPr>
    </w:lvl>
    <w:lvl w:ilvl="2" w:tplc="EE0AB562">
      <w:numFmt w:val="decimal"/>
      <w:lvlText w:val=""/>
      <w:lvlJc w:val="left"/>
    </w:lvl>
    <w:lvl w:ilvl="3" w:tplc="F6D8658C">
      <w:numFmt w:val="decimal"/>
      <w:lvlText w:val=""/>
      <w:lvlJc w:val="left"/>
    </w:lvl>
    <w:lvl w:ilvl="4" w:tplc="431C121E">
      <w:numFmt w:val="decimal"/>
      <w:lvlText w:val=""/>
      <w:lvlJc w:val="left"/>
    </w:lvl>
    <w:lvl w:ilvl="5" w:tplc="8B84CE8A">
      <w:numFmt w:val="decimal"/>
      <w:lvlText w:val=""/>
      <w:lvlJc w:val="left"/>
    </w:lvl>
    <w:lvl w:ilvl="6" w:tplc="110C74CA">
      <w:numFmt w:val="decimal"/>
      <w:lvlText w:val=""/>
      <w:lvlJc w:val="left"/>
    </w:lvl>
    <w:lvl w:ilvl="7" w:tplc="02B4EB48">
      <w:numFmt w:val="decimal"/>
      <w:lvlText w:val=""/>
      <w:lvlJc w:val="left"/>
    </w:lvl>
    <w:lvl w:ilvl="8" w:tplc="E04A1330">
      <w:numFmt w:val="decimal"/>
      <w:lvlText w:val=""/>
      <w:lvlJc w:val="left"/>
    </w:lvl>
  </w:abstractNum>
  <w:abstractNum w:abstractNumId="1" w15:restartNumberingAfterBreak="0">
    <w:nsid w:val="5D5D08CE"/>
    <w:multiLevelType w:val="hybridMultilevel"/>
    <w:tmpl w:val="0256E35E"/>
    <w:lvl w:ilvl="0" w:tplc="3E84D668">
      <w:start w:val="1"/>
      <w:numFmt w:val="bullet"/>
      <w:lvlText w:val="●"/>
      <w:lvlJc w:val="left"/>
      <w:pPr>
        <w:ind w:left="720" w:hanging="360"/>
      </w:pPr>
    </w:lvl>
    <w:lvl w:ilvl="1" w:tplc="D0F00DAC">
      <w:start w:val="1"/>
      <w:numFmt w:val="bullet"/>
      <w:lvlText w:val="○"/>
      <w:lvlJc w:val="left"/>
      <w:pPr>
        <w:ind w:left="1440" w:hanging="360"/>
      </w:pPr>
    </w:lvl>
    <w:lvl w:ilvl="2" w:tplc="C8EECE82">
      <w:start w:val="1"/>
      <w:numFmt w:val="bullet"/>
      <w:lvlText w:val="■"/>
      <w:lvlJc w:val="left"/>
      <w:pPr>
        <w:ind w:left="2160" w:hanging="360"/>
      </w:pPr>
    </w:lvl>
    <w:lvl w:ilvl="3" w:tplc="0212B704">
      <w:start w:val="1"/>
      <w:numFmt w:val="bullet"/>
      <w:lvlText w:val="●"/>
      <w:lvlJc w:val="left"/>
      <w:pPr>
        <w:ind w:left="2880" w:hanging="360"/>
      </w:pPr>
    </w:lvl>
    <w:lvl w:ilvl="4" w:tplc="90E87B0E">
      <w:start w:val="1"/>
      <w:numFmt w:val="bullet"/>
      <w:lvlText w:val="○"/>
      <w:lvlJc w:val="left"/>
      <w:pPr>
        <w:ind w:left="3600" w:hanging="360"/>
      </w:pPr>
    </w:lvl>
    <w:lvl w:ilvl="5" w:tplc="2C365D06">
      <w:start w:val="1"/>
      <w:numFmt w:val="bullet"/>
      <w:lvlText w:val="■"/>
      <w:lvlJc w:val="left"/>
      <w:pPr>
        <w:ind w:left="4320" w:hanging="360"/>
      </w:pPr>
    </w:lvl>
    <w:lvl w:ilvl="6" w:tplc="38E8AC4E">
      <w:start w:val="1"/>
      <w:numFmt w:val="bullet"/>
      <w:lvlText w:val="●"/>
      <w:lvlJc w:val="left"/>
      <w:pPr>
        <w:ind w:left="5040" w:hanging="360"/>
      </w:pPr>
    </w:lvl>
    <w:lvl w:ilvl="7" w:tplc="B1EC19E4">
      <w:start w:val="1"/>
      <w:numFmt w:val="bullet"/>
      <w:lvlText w:val="●"/>
      <w:lvlJc w:val="left"/>
      <w:pPr>
        <w:ind w:left="5760" w:hanging="360"/>
      </w:pPr>
    </w:lvl>
    <w:lvl w:ilvl="8" w:tplc="8D2C556C">
      <w:start w:val="1"/>
      <w:numFmt w:val="bullet"/>
      <w:lvlText w:val="●"/>
      <w:lvlJc w:val="left"/>
      <w:pPr>
        <w:ind w:left="6480" w:hanging="360"/>
      </w:pPr>
    </w:lvl>
  </w:abstractNum>
  <w:num w:numId="1" w16cid:durableId="307129354">
    <w:abstractNumId w:val="1"/>
    <w:lvlOverride w:ilvl="0">
      <w:startOverride w:val="1"/>
    </w:lvlOverride>
  </w:num>
  <w:num w:numId="2" w16cid:durableId="17617542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C1C"/>
    <w:rsid w:val="002E0C1C"/>
    <w:rsid w:val="003F3EB9"/>
    <w:rsid w:val="00AC0AE6"/>
    <w:rsid w:val="00C04DF9"/>
    <w:rsid w:val="00EA7531"/>
    <w:rsid w:val="00F1551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63CF3"/>
  <w15:docId w15:val="{0F5CFC6B-B916-4CDD-A7FA-B98796B42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2131</Words>
  <Characters>12149</Characters>
  <Application>Microsoft Office Word</Application>
  <DocSecurity>0</DocSecurity>
  <Lines>101</Lines>
  <Paragraphs>28</Paragraphs>
  <ScaleCrop>false</ScaleCrop>
  <Company/>
  <LinksUpToDate>false</LinksUpToDate>
  <CharactersWithSpaces>14252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Imasha Ilamperuma</cp:lastModifiedBy>
  <cp:revision>4</cp:revision>
  <dcterms:created xsi:type="dcterms:W3CDTF">2026-09-21T08:04:00Z</dcterms:created>
  <dcterms:modified xsi:type="dcterms:W3CDTF">2026-09-22T10:42:00Z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56ac557-f879-4314-a0dd-31320f1fd83e_Enabled">
    <vt:lpwstr>true</vt:lpwstr>
  </property>
  <property fmtid="{D5CDD505-2E9C-101B-9397-08002B2CF9AE}" pid="3" name="MSIP_Label_956ac557-f879-4314-a0dd-31320f1fd83e_SetDate">
    <vt:lpwstr>2026-09-21T08:17:16Z</vt:lpwstr>
  </property>
  <property fmtid="{D5CDD505-2E9C-101B-9397-08002B2CF9AE}" pid="4" name="MSIP_Label_956ac557-f879-4314-a0dd-31320f1fd83e_Method">
    <vt:lpwstr>Standard</vt:lpwstr>
  </property>
  <property fmtid="{D5CDD505-2E9C-101B-9397-08002B2CF9AE}" pid="5" name="MSIP_Label_956ac557-f879-4314-a0dd-31320f1fd83e_Name">
    <vt:lpwstr>956ac557-f879-4314-a0dd-31320f1fd83e</vt:lpwstr>
  </property>
  <property fmtid="{D5CDD505-2E9C-101B-9397-08002B2CF9AE}" pid="6" name="MSIP_Label_956ac557-f879-4314-a0dd-31320f1fd83e_SiteId">
    <vt:lpwstr>97424943-93ed-421f-81ce-f245fd53a717</vt:lpwstr>
  </property>
  <property fmtid="{D5CDD505-2E9C-101B-9397-08002B2CF9AE}" pid="7" name="MSIP_Label_956ac557-f879-4314-a0dd-31320f1fd83e_ActionId">
    <vt:lpwstr>4b87c672-522d-48bc-869c-c5d4d105f246</vt:lpwstr>
  </property>
  <property fmtid="{D5CDD505-2E9C-101B-9397-08002B2CF9AE}" pid="8" name="MSIP_Label_956ac557-f879-4314-a0dd-31320f1fd83e_ContentBits">
    <vt:lpwstr>0</vt:lpwstr>
  </property>
  <property fmtid="{D5CDD505-2E9C-101B-9397-08002B2CF9AE}" pid="9" name="MSIP_Label_956ac557-f879-4314-a0dd-31320f1fd83e_Tag">
    <vt:lpwstr>10, 3, 0, 1</vt:lpwstr>
  </property>
</Properties>
</file>