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 w:after="160"/>
      </w:pPr>
      <w:r>
        <w:rPr>
          <w:rFonts w:ascii="Calibri" w:hAnsi="Calibri"/>
          <w:b/>
          <w:color w:val="008C95"/>
          <w:sz w:val="20"/>
        </w:rPr>
        <w:t>DOCUMENTO MAESTRO DEL PROYECTO</w:t>
      </w:r>
    </w:p>
    <w:p>
      <w:pPr>
        <w:spacing w:after="120"/>
      </w:pPr>
      <w:r>
        <w:rPr>
          <w:rFonts w:ascii="Calibri" w:hAnsi="Calibri"/>
          <w:b/>
          <w:color w:val="0B2545"/>
          <w:sz w:val="60"/>
        </w:rPr>
        <w:t>AI Tools Arena</w:t>
      </w:r>
    </w:p>
    <w:p>
      <w:pPr>
        <w:spacing w:after="360"/>
      </w:pPr>
      <w:r>
        <w:rPr>
          <w:rFonts w:ascii="Calibri" w:hAnsi="Calibri"/>
          <w:color w:val="1F4D78"/>
          <w:sz w:val="30"/>
        </w:rPr>
        <w:t>Informe técnico-funcional para diseño, presupuesto e implementación desde cero</w:t>
      </w:r>
    </w:p>
    <w:p>
      <w:pPr>
        <w:spacing w:before="120" w:after="200" w:line="264" w:lineRule="auto"/>
        <w:ind w:left="202" w:right="144"/>
        <w:shd w:fill="E8F5F6"/>
        <w:pBdr>
          <w:left w:val="single" w:sz="18" w:space="8" w:color="008C95"/>
        </w:pBdr>
      </w:pPr>
      <w:r>
        <w:rPr>
          <w:rFonts w:ascii="Calibri" w:hAnsi="Calibri"/>
          <w:b/>
          <w:color w:val="0B2545"/>
          <w:sz w:val="22"/>
        </w:rPr>
        <w:t xml:space="preserve">Propósito: </w:t>
      </w:r>
      <w:r>
        <w:rPr>
          <w:rFonts w:ascii="Calibri" w:hAnsi="Calibri"/>
          <w:color w:val="1D2939"/>
          <w:sz w:val="22"/>
        </w:rPr>
        <w:t>Definir con suficiente precisión el producto, sus reglas de negocio, experiencia, arquitectura, datos, integraciones, seguridad, fases y criterios de aceptación para que una empresa de desarrollo pueda preparar una propuesta técnica y económica comparable.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20"/>
              </w:rPr>
              <w:t>Campo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20"/>
              </w:rPr>
              <w:t>Definición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20"/>
              </w:rPr>
              <w:t>Promotor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20"/>
              </w:rPr>
              <w:t>Juan / entidad jurídica por determinar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20"/>
              </w:rPr>
              <w:t>Mercado inicial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20"/>
              </w:rPr>
              <w:t>España; idioma español; arquitectura preparada para internacionalización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20"/>
              </w:rPr>
              <w:t>Vertical inicial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20"/>
              </w:rPr>
              <w:t>Agentes de IA y automatización para profesionales, autónomos y pymes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20"/>
              </w:rPr>
              <w:t>Modelo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20"/>
              </w:rPr>
              <w:t>Freemium, temporada fundadora gratuita, suscripciones, campañas patrocinadas y directorio de especialistas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20"/>
              </w:rPr>
              <w:t>Versión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20"/>
              </w:rPr>
              <w:t>1.0 - documento para solicitud de propuesta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20"/>
              </w:rPr>
              <w:t>Fecha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20"/>
              </w:rPr>
              <w:t>26 de agosto de 2026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20"/>
              </w:rPr>
              <w:t>Estado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20"/>
              </w:rPr>
              <w:t>Borrador avanzado sujeto a validación comercial, jurídica y presupuestaria</w:t>
            </w:r>
          </w:p>
        </w:tc>
      </w:tr>
    </w:tbl>
    <w:p>
      <w:pPr>
        <w:spacing w:after="80"/>
      </w:pPr>
    </w:p>
    <w:p>
      <w:pPr>
        <w:keepLines w:val="0"/>
        <w:spacing w:after="120" w:line="264" w:lineRule="auto"/>
      </w:pPr>
      <w:r>
        <w:rPr>
          <w:rFonts w:ascii="Calibri" w:hAnsi="Calibri"/>
          <w:i/>
          <w:color w:val="667085"/>
          <w:sz w:val="22"/>
        </w:rPr>
        <w:t>Confidencialidad: este documento contiene una propuesta empresarial y especificaciones preliminares. Antes de compartir información sensible adicional, el promotor podrá solicitar un acuerdo de confidencialidad.</w:t>
      </w:r>
    </w:p>
    <w:p>
      <w:r>
        <w:br w:type="page"/>
      </w:r>
    </w:p>
    <w:p>
      <w:pPr>
        <w:pStyle w:val="Heading1"/>
      </w:pPr>
      <w:r>
        <w:t>Control del documento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000"/>
        <w:gridCol w:w="1500"/>
        <w:gridCol w:w="2500"/>
        <w:gridCol w:w="4360"/>
      </w:tblGrid>
      <w:tr>
        <w:trPr>
          <w:tblHeader w:val="true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18"/>
              </w:rPr>
              <w:t>Versión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18"/>
              </w:rPr>
              <w:t>Fecha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18"/>
              </w:rPr>
              <w:t>Autor/propietario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18"/>
              </w:rPr>
              <w:t>Descripción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8"/>
              </w:rPr>
              <w:t>1.0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8"/>
              </w:rPr>
              <w:t>26/08/2026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8"/>
              </w:rPr>
              <w:t>Promotor de AI Tools Arena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8"/>
              </w:rPr>
              <w:t>Primera especificación integral para solicitar propuesta de desarrollo.</w:t>
            </w:r>
          </w:p>
        </w:tc>
      </w:tr>
    </w:tbl>
    <w:p>
      <w:pPr>
        <w:spacing w:after="80"/>
      </w:pPr>
    </w:p>
    <w:p>
      <w:pPr>
        <w:pStyle w:val="Heading2"/>
      </w:pPr>
      <w:r>
        <w:t>Instrucciones para la empresa ofertante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Identificar claramente qué requisitos se incluyen en el precio fijo, cuáles se consideran opcionales y cuáles requieren descubrimiento adicional.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Proponer alternativas cuando exista una solución más simple o económica, explicando el impacto sobre alcance, plazo, seguridad y escalabilidad.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No presuponer que una posición comunitaria puede comprarse: ranking orgánico y publicidad patrocinada son sistemas distintos.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Presentar estimaciones por fase, perfiles asignados, dedicación, calendario, dependencias y condiciones de garantía.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Declarar servicios de terceros, licencias, costes recurrentes y límites de uso previstos.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Señalar cualquier incompatibilidad técnica o jurídica detectada y mantener un registro de supuestos y decisiones.</w:t>
      </w:r>
    </w:p>
    <w:p>
      <w:pPr>
        <w:pStyle w:val="Heading1"/>
      </w:pPr>
      <w:r>
        <w:t>Mapa del documento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400"/>
        <w:gridCol w:w="7960"/>
      </w:tblGrid>
      <w:tr>
        <w:trPr>
          <w:tblHeader w:val="true"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  <w:t>Bloque</w:t>
            </w:r>
          </w:p>
        </w:tc>
        <w:tc>
          <w:tcPr>
            <w:tcW w:type="dxa" w:w="79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  <w:t>Contenido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9"/>
              </w:rPr>
              <w:t>Parte I</w:t>
            </w:r>
          </w:p>
        </w:tc>
        <w:tc>
          <w:tcPr>
            <w:tcW w:type="dxa" w:w="7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9"/>
              </w:rPr>
              <w:t>Visión, oportunidad, objetivos, público y modelo de negocio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9"/>
              </w:rPr>
              <w:t>Parte II</w:t>
            </w:r>
          </w:p>
        </w:tc>
        <w:tc>
          <w:tcPr>
            <w:tcW w:type="dxa" w:w="7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9"/>
              </w:rPr>
              <w:t>Alcance funcional, roles, experiencia, módulos y reglas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9"/>
              </w:rPr>
              <w:t>Parte III</w:t>
            </w:r>
          </w:p>
        </w:tc>
        <w:tc>
          <w:tcPr>
            <w:tcW w:type="dxa" w:w="7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9"/>
              </w:rPr>
              <w:t>Arquitectura, datos, API, integraciones y requisitos no funcionales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9"/>
              </w:rPr>
              <w:t>Parte IV</w:t>
            </w:r>
          </w:p>
        </w:tc>
        <w:tc>
          <w:tcPr>
            <w:tcW w:type="dxa" w:w="7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9"/>
              </w:rPr>
              <w:t>Seguridad, privacidad, cumplimiento, moderación y prevención del fraude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9"/>
              </w:rPr>
              <w:t>Parte V</w:t>
            </w:r>
          </w:p>
        </w:tc>
        <w:tc>
          <w:tcPr>
            <w:tcW w:type="dxa" w:w="7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9"/>
              </w:rPr>
              <w:t>Analítica, SEO, accesibilidad, notificaciones y operación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9"/>
              </w:rPr>
              <w:t>Parte VI</w:t>
            </w:r>
          </w:p>
        </w:tc>
        <w:tc>
          <w:tcPr>
            <w:tcW w:type="dxa" w:w="7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9"/>
              </w:rPr>
              <w:t>Roadmap, pruebas, despliegue, entregables, estimación y aceptación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9"/>
              </w:rPr>
              <w:t>Anexos</w:t>
            </w:r>
          </w:p>
        </w:tc>
        <w:tc>
          <w:tcPr>
            <w:tcW w:type="dxa" w:w="7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9"/>
              </w:rPr>
              <w:t>Historias de usuario, eventos, estados, formularios, riesgos, decisiones y glosario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>Resumen ejecutivo</w:t>
      </w:r>
    </w:p>
    <w:p>
      <w:pPr>
        <w:keepLines w:val="0"/>
        <w:spacing w:after="120" w:line="264" w:lineRule="auto"/>
      </w:pPr>
      <w:r>
        <w:rPr>
          <w:rFonts w:ascii="Calibri" w:hAnsi="Calibri"/>
          <w:i w:val="0"/>
          <w:color w:val="1D2939"/>
          <w:sz w:val="22"/>
        </w:rPr>
        <w:t>AI Tools Arena se concibe como una plataforma española de descubrimiento, evaluación y lanzamiento competitivo de agentes de inteligencia artificial y herramientas de automatización. Su diferencia frente a un directorio convencional reside en convertir la visibilidad en un evento recurrente: las herramientas participan en temporadas, reciben votos y valoraciones, generan demostraciones y pueden contratar espacios patrocinados identificados de forma inequívoca.</w:t>
      </w:r>
    </w:p>
    <w:p>
      <w:pPr>
        <w:keepLines w:val="0"/>
        <w:spacing w:after="120" w:line="264" w:lineRule="auto"/>
      </w:pPr>
      <w:r>
        <w:rPr>
          <w:rFonts w:ascii="Calibri" w:hAnsi="Calibri"/>
          <w:i w:val="0"/>
          <w:color w:val="1D2939"/>
          <w:sz w:val="22"/>
        </w:rPr>
        <w:t>El producto servirá simultáneamente a tres grupos. Las empresas usuarias encontrarán soluciones aplicables a problemas reales; las marcas y desarrolladores de herramientas obtendrán exposición y datos de mercado; y los especialistas freelance o agencias podrán ofrecer servicios de implantación. El MVP no actuará como pasarela de contratación ni custodiará pagos entre clientes y especialistas: generará solicitudes y permitirá contacto controlado.</w:t>
      </w:r>
    </w:p>
    <w:p>
      <w:pPr>
        <w:keepLines w:val="0"/>
        <w:spacing w:after="120" w:line="264" w:lineRule="auto"/>
      </w:pPr>
      <w:r>
        <w:rPr>
          <w:rFonts w:ascii="Calibri" w:hAnsi="Calibri"/>
          <w:i w:val="0"/>
          <w:color w:val="1D2939"/>
          <w:sz w:val="22"/>
        </w:rPr>
        <w:t>Para resolver el problema de arranque sin audiencia, se propone una Founding Season de seis semanas. Entre 20 y 30 herramientas y entre 10 y 15 especialistas accederán gratuitamente a funciones equivalentes a un plan profesional. A cambio, deberán completar su información, facilitar una prueba o demostración, movilizar a su comunidad de forma legítima y aceptar la medición. Al terminar, cada participante recibirá un informe con impresiones, visitas, clics, votos, guardados, valoraciones y oportunidades atribuidas. La conversión a planes de pago dependerá de evidencia, no de promesas.</w:t>
      </w:r>
    </w:p>
    <w:p>
      <w:pPr>
        <w:spacing w:before="120" w:after="200" w:line="264" w:lineRule="auto"/>
        <w:ind w:left="202" w:right="144"/>
        <w:shd w:fill="E8F5F6"/>
        <w:pBdr>
          <w:left w:val="single" w:sz="18" w:space="8" w:color="008C95"/>
        </w:pBdr>
      </w:pPr>
      <w:r>
        <w:rPr>
          <w:rFonts w:ascii="Calibri" w:hAnsi="Calibri"/>
          <w:b/>
          <w:color w:val="0B2545"/>
          <w:sz w:val="22"/>
        </w:rPr>
        <w:t xml:space="preserve">Decisión central: </w:t>
      </w:r>
      <w:r>
        <w:rPr>
          <w:rFonts w:ascii="Calibri" w:hAnsi="Calibri"/>
          <w:color w:val="1D2939"/>
          <w:sz w:val="22"/>
        </w:rPr>
        <w:t>El ranking de comunidad se calcula con actividad verificada y nunca se vende. La monetización procede de suscripciones, verificación, campañas, patrocinios y servicios de captación, todos ellos etiquetados como publicidad cuando corresponda.</w:t>
      </w:r>
    </w:p>
    <w:p>
      <w:pPr>
        <w:pStyle w:val="Heading2"/>
      </w:pPr>
      <w:r>
        <w:t>Recomendación de implementación</w:t>
      </w:r>
    </w:p>
    <w:p>
      <w:pPr>
        <w:keepLines w:val="0"/>
        <w:spacing w:after="120" w:line="264" w:lineRule="auto"/>
      </w:pPr>
      <w:r>
        <w:rPr>
          <w:rFonts w:ascii="Calibri" w:hAnsi="Calibri"/>
          <w:i w:val="0"/>
          <w:color w:val="1D2939"/>
          <w:sz w:val="22"/>
        </w:rPr>
        <w:t>Construir un monolito modular web responsive, con frontend y backend desacoplables pero desplegables inicialmente como una solución simple. La primera entrega debe privilegiar velocidad de aprendizaje, trazabilidad y seguridad frente a microservicios prematuros. La arquitectura deberá soportar internacionalización, colas de trabajo, analítica por eventos, auditoría y sustitución de proveedores externos.</w:t>
      </w:r>
    </w:p>
    <w:p>
      <w:pPr>
        <w:pStyle w:val="Heading2"/>
      </w:pPr>
      <w:r>
        <w:t>Resultado esperado del MVP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Registrar, verificar y publicar herramientas y especialistas.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Permitir a usuarios descubrir, filtrar, guardar, votar y valorar.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Ejecutar temporadas comunitarias y mostrar resultados transparentes.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Gestionar una posición patrocinada con reglas, pagos y trazabilidad.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Capturar solicitudes de demostración o implantación y atribuirlas.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Entregar paneles de resultados a marcas, especialistas y administración.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Operar contenidos, moderación, fraude, privacidad y soporte desde un backoffice.</w:t>
      </w:r>
    </w:p>
    <w:p>
      <w:pPr>
        <w:pStyle w:val="Heading1"/>
      </w:pPr>
      <w:r>
        <w:t>PARTE I. Definición estratégica</w:t>
      </w:r>
    </w:p>
    <w:p>
      <w:pPr>
        <w:pStyle w:val="Heading2"/>
      </w:pPr>
      <w:r>
        <w:t>1. Visión del producto</w:t>
      </w:r>
    </w:p>
    <w:p>
      <w:pPr>
        <w:keepLines w:val="0"/>
        <w:spacing w:after="120" w:line="264" w:lineRule="auto"/>
      </w:pPr>
      <w:r>
        <w:rPr>
          <w:rFonts w:ascii="Calibri" w:hAnsi="Calibri"/>
          <w:i w:val="0"/>
          <w:color w:val="1D2939"/>
          <w:sz w:val="22"/>
        </w:rPr>
        <w:t>Visión: convertirse primero en la plataforma de referencia en España para descubrir agentes de IA y automatizaciones empresariales útiles, verificadas y comprensibles; posteriormente, escalar al mercado hispanohablante y a una edición internacional en inglés.</w:t>
      </w:r>
    </w:p>
    <w:p>
      <w:pPr>
        <w:keepLines w:val="0"/>
        <w:spacing w:after="120" w:line="264" w:lineRule="auto"/>
      </w:pPr>
      <w:r>
        <w:rPr>
          <w:rFonts w:ascii="Calibri" w:hAnsi="Calibri"/>
          <w:i w:val="0"/>
          <w:color w:val="1D2939"/>
          <w:sz w:val="22"/>
        </w:rPr>
        <w:t>Categoría de producto: plataforma de descubrimiento y adquisición B2B con componentes de directorio, comunidad, competición, publicidad, analítica y generación de oportunidades.</w:t>
      </w:r>
    </w:p>
    <w:p>
      <w:pPr>
        <w:pStyle w:val="Heading3"/>
      </w:pPr>
      <w:r>
        <w:t>1.1 Propuesta de valor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650"/>
        <w:gridCol w:w="3300"/>
        <w:gridCol w:w="4410"/>
      </w:tblGrid>
      <w:tr>
        <w:trPr>
          <w:tblHeader w:val="true"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17"/>
              </w:rPr>
              <w:t>Segmento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17"/>
              </w:rPr>
              <w:t>Problema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17"/>
              </w:rPr>
              <w:t>Propuesta de AI Tools Arena</w:t>
            </w:r>
          </w:p>
        </w:tc>
      </w:tr>
      <w:t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Pyme o profesional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Exceso de herramientas, dificultad para evaluar encaje, idioma, coste, RGPD e implantación.</w:t>
            </w:r>
          </w:p>
        </w:tc>
        <w:tc>
          <w:tcPr>
            <w:tcW w:type="dxa" w:w="4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Descubrimiento por problema, comparaciones, demostraciones, votos y acceso a especialistas.</w:t>
            </w:r>
          </w:p>
        </w:tc>
      </w:tr>
      <w:t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Marca de herramienta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Dificultad para entrar en España, conseguir usuarios iniciales y demostrar rendimiento del marketing.</w:t>
            </w:r>
          </w:p>
        </w:tc>
        <w:tc>
          <w:tcPr>
            <w:tcW w:type="dxa" w:w="4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Perfil localizado, temporada de lanzamiento, comunidad, contenido, métricas y campañas medibles.</w:t>
            </w:r>
          </w:p>
        </w:tc>
      </w:tr>
      <w:t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Freelance/agencia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Falta de visibilidad y de oportunidades cualificadas para implantar soluciones de IA.</w:t>
            </w:r>
          </w:p>
        </w:tc>
        <w:tc>
          <w:tcPr>
            <w:tcW w:type="dxa" w:w="4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Perfil por capacidades, relación con herramientas, casos, solicitudes y reputación.</w:t>
            </w:r>
          </w:p>
        </w:tc>
      </w:tr>
      <w:t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Administrador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Necesidad de operar un ecosistema confiable y monetizable.</w:t>
            </w:r>
          </w:p>
        </w:tc>
        <w:tc>
          <w:tcPr>
            <w:tcW w:type="dxa" w:w="4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Backoffice, moderación, fraude, pagos, analítica, contenidos y reglas configurables.</w:t>
            </w:r>
          </w:p>
        </w:tc>
      </w:tr>
    </w:tbl>
    <w:p>
      <w:pPr>
        <w:spacing w:after="80"/>
      </w:pPr>
    </w:p>
    <w:p>
      <w:pPr>
        <w:pStyle w:val="Heading3"/>
      </w:pPr>
      <w:r>
        <w:t>1.2 Principios de producto</w:t>
      </w:r>
    </w:p>
    <w:p>
      <w:pPr>
        <w:keepLines w:val="0"/>
        <w:spacing w:after="120" w:line="264" w:lineRule="auto"/>
      </w:pPr>
      <w:r>
        <w:rPr>
          <w:rFonts w:ascii="Calibri" w:hAnsi="Calibri"/>
          <w:b/>
          <w:color w:val="1D2939"/>
          <w:sz w:val="22"/>
        </w:rPr>
        <w:t>Utilidad antes que volumen.</w:t>
      </w:r>
      <w:r>
        <w:rPr>
          <w:rFonts w:ascii="Calibri" w:hAnsi="Calibri"/>
          <w:i w:val="0"/>
          <w:color w:val="1D2939"/>
          <w:sz w:val="22"/>
        </w:rPr>
        <w:t xml:space="preserve"> No maximizar el número de fichas; priorizar herramientas activas, comprensibles y relevantes.</w:t>
      </w:r>
    </w:p>
    <w:p>
      <w:pPr>
        <w:keepLines w:val="0"/>
        <w:spacing w:after="120" w:line="264" w:lineRule="auto"/>
      </w:pPr>
      <w:r>
        <w:rPr>
          <w:rFonts w:ascii="Calibri" w:hAnsi="Calibri"/>
          <w:b/>
          <w:color w:val="1D2939"/>
          <w:sz w:val="22"/>
        </w:rPr>
        <w:t>Transparencia comercial.</w:t>
      </w:r>
      <w:r>
        <w:rPr>
          <w:rFonts w:ascii="Calibri" w:hAnsi="Calibri"/>
          <w:i w:val="0"/>
          <w:color w:val="1D2939"/>
          <w:sz w:val="22"/>
        </w:rPr>
        <w:t xml:space="preserve"> Todo espacio pagado deberá estar etiquetado y mostrar quién lo financia cuando corresponda.</w:t>
      </w:r>
    </w:p>
    <w:p>
      <w:pPr>
        <w:keepLines w:val="0"/>
        <w:spacing w:after="120" w:line="264" w:lineRule="auto"/>
      </w:pPr>
      <w:r>
        <w:rPr>
          <w:rFonts w:ascii="Calibri" w:hAnsi="Calibri"/>
          <w:b/>
          <w:color w:val="1D2939"/>
          <w:sz w:val="22"/>
        </w:rPr>
        <w:t>Ranking no vendible.</w:t>
      </w:r>
      <w:r>
        <w:rPr>
          <w:rFonts w:ascii="Calibri" w:hAnsi="Calibri"/>
          <w:i w:val="0"/>
          <w:color w:val="1D2939"/>
          <w:sz w:val="22"/>
        </w:rPr>
        <w:t xml:space="preserve"> Los votos y la posición orgánica no pueden comprarse ni alterarse manualmente sin auditoría.</w:t>
      </w:r>
    </w:p>
    <w:p>
      <w:pPr>
        <w:keepLines w:val="0"/>
        <w:spacing w:after="120" w:line="264" w:lineRule="auto"/>
      </w:pPr>
      <w:r>
        <w:rPr>
          <w:rFonts w:ascii="Calibri" w:hAnsi="Calibri"/>
          <w:b/>
          <w:color w:val="1D2939"/>
          <w:sz w:val="22"/>
        </w:rPr>
        <w:t>Prueba sobre promesa.</w:t>
      </w:r>
      <w:r>
        <w:rPr>
          <w:rFonts w:ascii="Calibri" w:hAnsi="Calibri"/>
          <w:i w:val="0"/>
          <w:color w:val="1D2939"/>
          <w:sz w:val="22"/>
        </w:rPr>
        <w:t xml:space="preserve"> Las afirmaciones deben apoyarse en demostraciones, fuentes o declaraciones atribuibles al proveedor.</w:t>
      </w:r>
    </w:p>
    <w:p>
      <w:pPr>
        <w:keepLines w:val="0"/>
        <w:spacing w:after="120" w:line="264" w:lineRule="auto"/>
      </w:pPr>
      <w:r>
        <w:rPr>
          <w:rFonts w:ascii="Calibri" w:hAnsi="Calibri"/>
          <w:b/>
          <w:color w:val="1D2939"/>
          <w:sz w:val="22"/>
        </w:rPr>
        <w:t>Privacidad desde el diseño.</w:t>
      </w:r>
      <w:r>
        <w:rPr>
          <w:rFonts w:ascii="Calibri" w:hAnsi="Calibri"/>
          <w:i w:val="0"/>
          <w:color w:val="1D2939"/>
          <w:sz w:val="22"/>
        </w:rPr>
        <w:t xml:space="preserve"> Minimización de datos, consentimiento granular, retención definida y controles de derechos.</w:t>
      </w:r>
    </w:p>
    <w:p>
      <w:pPr>
        <w:keepLines w:val="0"/>
        <w:spacing w:after="120" w:line="264" w:lineRule="auto"/>
      </w:pPr>
      <w:r>
        <w:rPr>
          <w:rFonts w:ascii="Calibri" w:hAnsi="Calibri"/>
          <w:b/>
          <w:color w:val="1D2939"/>
          <w:sz w:val="22"/>
        </w:rPr>
        <w:t>Operación manual asistida.</w:t>
      </w:r>
      <w:r>
        <w:rPr>
          <w:rFonts w:ascii="Calibri" w:hAnsi="Calibri"/>
          <w:i w:val="0"/>
          <w:color w:val="1D2939"/>
          <w:sz w:val="22"/>
        </w:rPr>
        <w:t xml:space="preserve"> El MVP debe permitir revisión humana y automatizar gradualmente los cuellos de botella.</w:t>
      </w:r>
    </w:p>
    <w:p>
      <w:pPr>
        <w:keepLines w:val="0"/>
        <w:spacing w:after="120" w:line="264" w:lineRule="auto"/>
      </w:pPr>
      <w:r>
        <w:rPr>
          <w:rFonts w:ascii="Calibri" w:hAnsi="Calibri"/>
          <w:b/>
          <w:color w:val="1D2939"/>
          <w:sz w:val="22"/>
        </w:rPr>
        <w:t>Internacionalización preparada.</w:t>
      </w:r>
      <w:r>
        <w:rPr>
          <w:rFonts w:ascii="Calibri" w:hAnsi="Calibri"/>
          <w:i w:val="0"/>
          <w:color w:val="1D2939"/>
          <w:sz w:val="22"/>
        </w:rPr>
        <w:t xml:space="preserve"> Textos, monedas, zonas horarias y taxonomías no deben quedar fijados rígidamente a España.</w:t>
      </w:r>
    </w:p>
    <w:p>
      <w:pPr>
        <w:pStyle w:val="Heading2"/>
      </w:pPr>
      <w:r>
        <w:t>2. Objetivos y exclusiones</w:t>
      </w:r>
    </w:p>
    <w:p>
      <w:pPr>
        <w:pStyle w:val="Heading3"/>
      </w:pPr>
      <w:r>
        <w:t>2.1 Objetivos del primer año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Validar disposición de las marcas a pagar por exposición y adquisición en España.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Construir una comunidad capaz de producir votos, valoraciones y señales de intención confiables.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Demostrar que al menos una parte de los participantes gratuitos renueva o compra una campaña.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Crear una base estructurada de herramientas localizadas al mercado español.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Generar oportunidades de implantación para especialistas y agencias.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Establecer procesos reproducibles de alta, revisión, competición, reporte y soporte.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Preparar el producto para expansión hispanohablante sin reescritura fundamental.</w:t>
      </w:r>
    </w:p>
    <w:p>
      <w:pPr>
        <w:pStyle w:val="Heading3"/>
      </w:pPr>
      <w:r>
        <w:t>2.2 Fuera de alcance del MVP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Intermediación contractual o custodia de pagos entre empresas y especialistas.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Marketplace completo con escrow, hitos, disputas y reparto automático de fondos.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Aplicaciones móviles nativas; el producto será web responsive y PWA opcional.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Sistema propio de inteligencia artificial para tomar decisiones empresariales de alto impacto.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Certificación legal o técnica exhaustiva de cada herramienta.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Garantías de resultados, ventas, cumplimiento normativo o ausencia de riesgos.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Ranking basado exclusivamente en cantidad pagada sin etiqueta publicitaria.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Publicidad comportamental basada en categorías sensibles de datos.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Traducción automática masiva sin revisión editorial.</w:t>
      </w:r>
    </w:p>
    <w:p>
      <w:pPr>
        <w:pStyle w:val="Heading2"/>
      </w:pPr>
      <w:r>
        <w:t>3. Mercado inicial y público</w:t>
      </w:r>
    </w:p>
    <w:p>
      <w:pPr>
        <w:keepLines w:val="0"/>
        <w:spacing w:after="120" w:line="264" w:lineRule="auto"/>
      </w:pPr>
      <w:r>
        <w:rPr>
          <w:rFonts w:ascii="Calibri" w:hAnsi="Calibri"/>
          <w:i w:val="0"/>
          <w:color w:val="1D2939"/>
          <w:sz w:val="22"/>
        </w:rPr>
        <w:t>El lanzamiento se enfocará en España. Según el INE, en el primer trimestre de 2025 utilizaba IA el 21,1% de las empresas de diez o más empleados y el 13,39% de las empresas de menos de diez empleados. El dato sugiere adopción creciente y, a la vez, un amplio segmento que necesita orientación. La plataforma deberá traducir capacidades técnicas a beneficios operativos y no dirigirse únicamente a usuarios avanzados.</w:t>
      </w:r>
    </w:p>
    <w:p>
      <w:pPr>
        <w:pStyle w:val="Heading3"/>
      </w:pPr>
      <w:r>
        <w:t>3.1 Segmentación prioritaria de demanda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900"/>
        <w:gridCol w:w="3100"/>
        <w:gridCol w:w="5360"/>
      </w:tblGrid>
      <w:tr>
        <w:trPr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18"/>
              </w:rPr>
              <w:t>Prioridad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18"/>
              </w:rPr>
              <w:t>Segmento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18"/>
              </w:rPr>
              <w:t>Necesidades iniciales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8"/>
              </w:rPr>
              <w:t>P1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8"/>
              </w:rPr>
              <w:t>Agencias de marketing, automatización y consultoría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8"/>
              </w:rPr>
              <w:t>Prospección, contenidos, reporting, CRM, atención y operaciones.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8"/>
              </w:rPr>
              <w:t>P1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8"/>
              </w:rPr>
              <w:t>Inmobiliarias y agentes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8"/>
              </w:rPr>
              <w:t>Captación, seguimiento, anuncios, valoración, documentos y atención.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8"/>
              </w:rPr>
              <w:t>P1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8"/>
              </w:rPr>
              <w:t>Profesionales y micropymes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8"/>
              </w:rPr>
              <w:t>Ahorro de tiempo, correo, documentos, agenda, ventas y soporte.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8"/>
              </w:rPr>
              <w:t>P2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8"/>
              </w:rPr>
              <w:t>E-commerce y servicios locales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8"/>
              </w:rPr>
              <w:t>Atención, catálogo, campañas, reseñas, analítica y fidelización.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8"/>
              </w:rPr>
              <w:t>P2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8"/>
              </w:rPr>
              <w:t>Pymes de 10-249 empleados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8"/>
              </w:rPr>
              <w:t>Integraciones, gobierno, seguridad, implantación y soporte.</w:t>
            </w:r>
          </w:p>
        </w:tc>
      </w:tr>
    </w:tbl>
    <w:p>
      <w:pPr>
        <w:spacing w:after="80"/>
      </w:pPr>
    </w:p>
    <w:p>
      <w:pPr>
        <w:pStyle w:val="Heading3"/>
      </w:pPr>
      <w:r>
        <w:t>3.2 Oferta elegible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SaaS de agentes de IA, automatización, atención, ventas, marketing, documentos y productividad.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Herramientas españolas o extranjeras con uso razonable desde España.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Soluciones con web operativa, responsable identificable y condiciones accesibles.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Productos B2B, B2C profesional o API, gratuitos, freemium o de pago.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Integradores, consultores, freelancers y agencias con experiencia demostrable.</w:t>
      </w:r>
    </w:p>
    <w:p>
      <w:pPr>
        <w:pStyle w:val="Heading2"/>
      </w:pPr>
      <w:r>
        <w:t>4. Modelo de negocio</w:t>
      </w:r>
    </w:p>
    <w:p>
      <w:pPr>
        <w:keepLines w:val="0"/>
        <w:spacing w:after="120" w:line="264" w:lineRule="auto"/>
      </w:pPr>
      <w:r>
        <w:rPr>
          <w:rFonts w:ascii="Calibri" w:hAnsi="Calibri"/>
          <w:i w:val="0"/>
          <w:color w:val="1D2939"/>
          <w:sz w:val="22"/>
        </w:rPr>
        <w:t>El modelo combinará recurrencia y campañas. El plan gratuito garantiza amplitud y renovación del catálogo; los planes profesionales monetizan datos, presentación y captación; la Arena patrocinada monetiza atención concentrada; y el directorio de especialistas monetiza visibilidad y oportunidades.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2200"/>
        <w:gridCol w:w="2100"/>
        <w:gridCol w:w="32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17"/>
              </w:rPr>
              <w:t>Línea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17"/>
              </w:rPr>
              <w:t>Cliente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17"/>
              </w:rPr>
              <w:t>Cobro inicial orientativo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17"/>
              </w:rPr>
              <w:t>Momento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Ficha Free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Herramienta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0 EUR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Permanente, sujeta a actividad y moderación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Pro herramienta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Marca/desarrollador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29 EUR/mes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Tras temporada fundadora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Growth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Marca con adquisición activa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79 EUR/mes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Cuando existan datos y leads suficientes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Arena patrocinada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Marca aprobada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Desde 19 EUR en piloto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Por conquista/campaña; fuera de suscripción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Patrocinio de categoría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Marca o partner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Desde 499 EUR/semana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Fase de tracción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Especialista Pro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Freelance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19 EUR/mes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Tras validación de demanda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Agencia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Agencia/consultora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49 EUR/mes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Tras validación de demanda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Lead/servicio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Especialista o herramienta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Por definir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No incluido inicialmente</w:t>
            </w:r>
          </w:p>
        </w:tc>
      </w:tr>
    </w:tbl>
    <w:p>
      <w:pPr>
        <w:spacing w:after="80"/>
      </w:pPr>
    </w:p>
    <w:p>
      <w:pPr>
        <w:spacing w:before="120" w:after="200" w:line="264" w:lineRule="auto"/>
        <w:ind w:left="202" w:right="144"/>
        <w:shd w:fill="E8F5F6"/>
        <w:pBdr>
          <w:left w:val="single" w:sz="18" w:space="8" w:color="008C95"/>
        </w:pBdr>
      </w:pPr>
      <w:r>
        <w:rPr>
          <w:rFonts w:ascii="Calibri" w:hAnsi="Calibri"/>
          <w:b/>
          <w:color w:val="0B2545"/>
          <w:sz w:val="22"/>
        </w:rPr>
        <w:t xml:space="preserve">Nota comercial: </w:t>
      </w:r>
      <w:r>
        <w:rPr>
          <w:rFonts w:ascii="Calibri" w:hAnsi="Calibri"/>
          <w:color w:val="1D2939"/>
          <w:sz w:val="22"/>
        </w:rPr>
        <w:t>Los precios son hipótesis de validación, deben administrarse desde configuración y no quedar embebidos en el código. La facturación y fiscalidad requieren revisión profesional.</w:t>
      </w:r>
    </w:p>
    <w:p>
      <w:pPr>
        <w:pStyle w:val="Heading3"/>
      </w:pPr>
      <w:r>
        <w:t>4.1 Founding Season gratuita</w:t>
      </w:r>
    </w:p>
    <w:p>
      <w:pPr>
        <w:keepLines w:val="0"/>
        <w:spacing w:after="120" w:line="264" w:lineRule="auto"/>
      </w:pPr>
      <w:r>
        <w:rPr>
          <w:rFonts w:ascii="Calibri" w:hAnsi="Calibri"/>
          <w:i w:val="0"/>
          <w:color w:val="1D2939"/>
          <w:sz w:val="22"/>
        </w:rPr>
        <w:t>Programa limitado de seis semanas para cohortes seleccionadas. No se configurará como prueba automática abierta e indefinida. La administración invitará o aprobará participantes y asignará fecha de inicio, fecha de fin, beneficios, obligaciones y estado de conversión.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Cohorte objetivo: 20-30 herramientas y 10-15 especialistas.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Beneficios: perfil completo, verificación provisional, una participación, analítica, publicaciones y reporte.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Obligaciones: datos completos, enlace funcional, respuesta a incidencias, participación y cumplimiento de reglas.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Conversión: oferta fundadora opcional, sin renovación automática salvo consentimiento contractual explícito.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Resultado: informe individual y entrevista de cierre con motivos de compra o rechazo.</w:t>
      </w:r>
    </w:p>
    <w:p>
      <w:r>
        <w:br w:type="page"/>
      </w:r>
    </w:p>
    <w:p>
      <w:pPr>
        <w:pStyle w:val="Heading1"/>
      </w:pPr>
      <w:r>
        <w:t>PARTE II. Alcance funcional</w:t>
      </w:r>
    </w:p>
    <w:p>
      <w:pPr>
        <w:pStyle w:val="Heading2"/>
      </w:pPr>
      <w:r>
        <w:t>5. Roles y permisos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18"/>
              </w:rPr>
              <w:t>Rol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18"/>
              </w:rPr>
              <w:t>Capacidades principales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8"/>
              </w:rPr>
              <w:t>Visitante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8"/>
              </w:rPr>
              <w:t>Navegar, buscar, ver perfiles y contenidos públicos; sin votar ni valorar.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8"/>
              </w:rPr>
              <w:t>Usuario comunidad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8"/>
              </w:rPr>
              <w:t>Guardar, votar, valorar, denunciar, seguir categorías y gestionar consentimientos.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8"/>
              </w:rPr>
              <w:t>Representante de herramienta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8"/>
              </w:rPr>
              <w:t>Crear/reclamar herramienta, editar borrador, ver analítica, responder y contratar.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8"/>
              </w:rPr>
              <w:t>Especialista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8"/>
              </w:rPr>
              <w:t>Gestionar perfil profesional, capacidades, herramientas, casos, disponibilidad y solicitudes.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8"/>
              </w:rPr>
              <w:t>Agencia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8"/>
              </w:rPr>
              <w:t>Gestionar organización, miembros, especialistas, servicios y solicitudes.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8"/>
              </w:rPr>
              <w:t>Moderador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8"/>
              </w:rPr>
              <w:t>Revisar contenidos, votos, reseñas, denuncias y evidencias sin acceso financiero total.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8"/>
              </w:rPr>
              <w:t>Editor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8"/>
              </w:rPr>
              <w:t>Gestionar taxonomías, contenidos, colecciones, temporadas y comunicaciones.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8"/>
              </w:rPr>
              <w:t>Finanzas/soporte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8"/>
              </w:rPr>
              <w:t>Consultar clientes, pagos, facturas, reembolsos y casos de soporte autorizados.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8"/>
              </w:rPr>
              <w:t>Administrador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8"/>
              </w:rPr>
              <w:t>Configuración global, permisos, fraude, campañas, auditoría e integraciones.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8"/>
              </w:rPr>
              <w:t>Superadministrador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8"/>
              </w:rPr>
              <w:t>Acceso excepcional a seguridad, permisos y acciones críticas con registro reforzado.</w:t>
            </w:r>
          </w:p>
        </w:tc>
      </w:tr>
    </w:tbl>
    <w:p>
      <w:pPr>
        <w:spacing w:after="80"/>
      </w:pPr>
    </w:p>
    <w:p>
      <w:pPr>
        <w:pStyle w:val="Heading3"/>
      </w:pPr>
      <w:r>
        <w:t>5.1 Reglas RBAC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Aplicar mínimo privilegio y separar administración editorial, financiera y de seguridad.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Impedir que una marca modifique directamente puntuaciones, estados de verificación o datos atribuidos a terceros.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Registrar actor, acción, entidad, valores relevantes, fecha, IP resumida y motivo en acciones sensibles.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Exigir autenticación reforzada a administradores y recuperación segura de cuenta.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Permitir invitación y revocación de miembros de una organización.</w:t>
      </w:r>
    </w:p>
    <w:p>
      <w:pPr>
        <w:pStyle w:val="Heading2"/>
      </w:pPr>
      <w:r>
        <w:t>6. Arquitectura de información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18"/>
              </w:rPr>
              <w:t>Área pública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18"/>
              </w:rPr>
              <w:t>Contenido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8"/>
              </w:rPr>
              <w:t>Inicio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8"/>
              </w:rPr>
              <w:t>Trono patrocinado, campeón comunitario, temporada activa, categorías, novedades y CTA.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8"/>
              </w:rPr>
              <w:t>Explorar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8"/>
              </w:rPr>
              <w:t>Buscador, filtros, listados, colecciones y comparaciones.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8"/>
              </w:rPr>
              <w:t>Herramientas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8"/>
              </w:rPr>
              <w:t>Fichas, demostraciones, precios, integraciones, reseñas, datos para España y CTA.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8"/>
              </w:rPr>
              <w:t>Arena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8"/>
              </w:rPr>
              <w:t>Reglas, temporada, participantes, clasificación, historial y patrocinio.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8"/>
              </w:rPr>
              <w:t>Especialistas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8"/>
              </w:rPr>
              <w:t>Directorio, filtros, perfiles, casos y solicitud de ayuda.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8"/>
              </w:rPr>
              <w:t>Recursos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8"/>
              </w:rPr>
              <w:t>Guías, casos de uso, comparativas, noticias y newsletter.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8"/>
              </w:rPr>
              <w:t>Confianza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8"/>
              </w:rPr>
              <w:t>Metodología, publicidad, moderación, privacidad, términos y contacto.</w:t>
            </w:r>
          </w:p>
        </w:tc>
      </w:tr>
    </w:tbl>
    <w:p>
      <w:pPr>
        <w:spacing w:after="80"/>
      </w:pPr>
    </w:p>
    <w:p>
      <w:pPr>
        <w:pStyle w:val="Heading2"/>
      </w:pPr>
      <w:r>
        <w:t>7. Recorridos prioritarios</w:t>
      </w:r>
    </w:p>
    <w:p>
      <w:pPr>
        <w:pStyle w:val="Heading3"/>
      </w:pPr>
      <w:r>
        <w:t>Empresa busca solución</w:t>
      </w:r>
    </w:p>
    <w:p>
      <w:pPr>
        <w:keepLines w:val="0"/>
        <w:spacing w:after="120" w:line="264" w:lineRule="auto"/>
      </w:pPr>
      <w:r>
        <w:rPr>
          <w:rFonts w:ascii="Calibri" w:hAnsi="Calibri"/>
          <w:i w:val="0"/>
          <w:color w:val="1D2939"/>
          <w:sz w:val="22"/>
        </w:rPr>
        <w:t>Problema -&gt; búsqueda guiada -&gt; filtros -&gt; perfil -&gt; comparación -&gt; prueba -&gt; especialista o demo -&gt; seguimiento.</w:t>
      </w:r>
    </w:p>
    <w:p>
      <w:pPr>
        <w:pStyle w:val="Heading3"/>
      </w:pPr>
      <w:r>
        <w:t>Marca solicita alta</w:t>
      </w:r>
    </w:p>
    <w:p>
      <w:pPr>
        <w:keepLines w:val="0"/>
        <w:spacing w:after="120" w:line="264" w:lineRule="auto"/>
      </w:pPr>
      <w:r>
        <w:rPr>
          <w:rFonts w:ascii="Calibri" w:hAnsi="Calibri"/>
          <w:i w:val="0"/>
          <w:color w:val="1D2939"/>
          <w:sz w:val="22"/>
        </w:rPr>
        <w:t>Cuenta -&gt; organización -&gt; ficha -&gt; evidencias -&gt; revisión -&gt; publicación -&gt; temporada -&gt; analítica -&gt; conversión.</w:t>
      </w:r>
    </w:p>
    <w:p>
      <w:pPr>
        <w:pStyle w:val="Heading3"/>
      </w:pPr>
      <w:r>
        <w:t>Comunidad vota</w:t>
      </w:r>
    </w:p>
    <w:p>
      <w:pPr>
        <w:keepLines w:val="0"/>
        <w:spacing w:after="120" w:line="264" w:lineRule="auto"/>
      </w:pPr>
      <w:r>
        <w:rPr>
          <w:rFonts w:ascii="Calibri" w:hAnsi="Calibri"/>
          <w:i w:val="0"/>
          <w:color w:val="1D2939"/>
          <w:sz w:val="22"/>
        </w:rPr>
        <w:t>Registro/verificación -&gt; explorar temporada -&gt; confirmar experiencia -&gt; votar -&gt; motivo opcional -&gt; control antifraude -&gt; resultado.</w:t>
      </w:r>
    </w:p>
    <w:p>
      <w:pPr>
        <w:pStyle w:val="Heading3"/>
      </w:pPr>
      <w:r>
        <w:t>Marca conquista patrocinio</w:t>
      </w:r>
    </w:p>
    <w:p>
      <w:pPr>
        <w:keepLines w:val="0"/>
        <w:spacing w:after="120" w:line="264" w:lineRule="auto"/>
      </w:pPr>
      <w:r>
        <w:rPr>
          <w:rFonts w:ascii="Calibri" w:hAnsi="Calibri"/>
          <w:i w:val="0"/>
          <w:color w:val="1D2939"/>
          <w:sz w:val="22"/>
        </w:rPr>
        <w:t>Elegibilidad -&gt; importe -&gt; vista previa -&gt; aceptación -&gt; pago -&gt; activación -&gt; medición -&gt; finalización/reemplazo -&gt; informe.</w:t>
      </w:r>
    </w:p>
    <w:p>
      <w:pPr>
        <w:pStyle w:val="Heading3"/>
      </w:pPr>
      <w:r>
        <w:t>Especialista recibe oportunidad</w:t>
      </w:r>
    </w:p>
    <w:p>
      <w:pPr>
        <w:keepLines w:val="0"/>
        <w:spacing w:after="120" w:line="264" w:lineRule="auto"/>
      </w:pPr>
      <w:r>
        <w:rPr>
          <w:rFonts w:ascii="Calibri" w:hAnsi="Calibri"/>
          <w:i w:val="0"/>
          <w:color w:val="1D2939"/>
          <w:sz w:val="22"/>
        </w:rPr>
        <w:t>Perfil -&gt; herramientas/casos -&gt; solicitud -&gt; aceptación o rechazo -&gt; contacto -&gt; cierre manual -&gt; valoración posterior.</w:t>
      </w:r>
    </w:p>
    <w:p>
      <w:pPr>
        <w:pStyle w:val="Heading3"/>
      </w:pPr>
      <w:r>
        <w:t>Moderación</w:t>
      </w:r>
    </w:p>
    <w:p>
      <w:pPr>
        <w:keepLines w:val="0"/>
        <w:spacing w:after="120" w:line="264" w:lineRule="auto"/>
      </w:pPr>
      <w:r>
        <w:rPr>
          <w:rFonts w:ascii="Calibri" w:hAnsi="Calibri"/>
          <w:i w:val="0"/>
          <w:color w:val="1D2939"/>
          <w:sz w:val="22"/>
        </w:rPr>
        <w:t>Alerta/denuncia -&gt; priorización -&gt; evidencia -&gt; decisión -&gt; notificación -&gt; apelación -&gt; auditoría.</w:t>
      </w:r>
    </w:p>
    <w:p>
      <w:pPr>
        <w:pStyle w:val="Heading2"/>
      </w:pPr>
      <w:r>
        <w:t>8. Módulo de autenticación y cuentas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300"/>
        <w:gridCol w:w="8060"/>
      </w:tblGrid>
      <w:tr>
        <w:trPr>
          <w:tblHeader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18"/>
              </w:rPr>
              <w:t>ID</w:t>
            </w:r>
          </w:p>
        </w:tc>
        <w:tc>
          <w:tcPr>
            <w:tcW w:type="dxa" w:w="80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18"/>
              </w:rPr>
              <w:t>Requisito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8"/>
              </w:rPr>
              <w:t>AUTH-001</w:t>
            </w:r>
          </w:p>
        </w:tc>
        <w:tc>
          <w:tcPr>
            <w:tcW w:type="dxa" w:w="8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8"/>
              </w:rPr>
              <w:t>Registro por correo con verificación y aceptación versionada de términos.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8"/>
              </w:rPr>
              <w:t>AUTH-002</w:t>
            </w:r>
          </w:p>
        </w:tc>
        <w:tc>
          <w:tcPr>
            <w:tcW w:type="dxa" w:w="8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8"/>
              </w:rPr>
              <w:t>Inicio de sesión seguro, cierre de sesiones y recuperación de contraseña.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8"/>
              </w:rPr>
              <w:t>AUTH-003</w:t>
            </w:r>
          </w:p>
        </w:tc>
        <w:tc>
          <w:tcPr>
            <w:tcW w:type="dxa" w:w="8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8"/>
              </w:rPr>
              <w:t>OAuth opcional con proveedores aprobados, sin hacerlo requisito.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8"/>
              </w:rPr>
              <w:t>AUTH-004</w:t>
            </w:r>
          </w:p>
        </w:tc>
        <w:tc>
          <w:tcPr>
            <w:tcW w:type="dxa" w:w="8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8"/>
              </w:rPr>
              <w:t>Autenticación multifactor obligatoria para administración y opcional para usuarios.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8"/>
              </w:rPr>
              <w:t>AUTH-005</w:t>
            </w:r>
          </w:p>
        </w:tc>
        <w:tc>
          <w:tcPr>
            <w:tcW w:type="dxa" w:w="8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8"/>
              </w:rPr>
              <w:t>Cuenta personal separada de organización; un usuario puede pertenecer a varias organizaciones.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8"/>
              </w:rPr>
              <w:t>AUTH-006</w:t>
            </w:r>
          </w:p>
        </w:tc>
        <w:tc>
          <w:tcPr>
            <w:tcW w:type="dxa" w:w="8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8"/>
              </w:rPr>
              <w:t>Gestión de perfil, idioma, comunicaciones, consentimientos, exportación y eliminación.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8"/>
              </w:rPr>
              <w:t>AUTH-007</w:t>
            </w:r>
          </w:p>
        </w:tc>
        <w:tc>
          <w:tcPr>
            <w:tcW w:type="dxa" w:w="8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8"/>
              </w:rPr>
              <w:t>Rate limiting, protección de formularios y detección de credenciales comprometidas cuando el proveedor lo permita.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8"/>
              </w:rPr>
              <w:t>AUTH-008</w:t>
            </w:r>
          </w:p>
        </w:tc>
        <w:tc>
          <w:tcPr>
            <w:tcW w:type="dxa" w:w="8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8"/>
              </w:rPr>
              <w:t>Bloqueo, suspensión temporal, cierre administrativo y registro de causa.</w:t>
            </w:r>
          </w:p>
        </w:tc>
      </w:tr>
    </w:tbl>
    <w:p>
      <w:pPr>
        <w:spacing w:after="80"/>
      </w:pPr>
    </w:p>
    <w:p>
      <w:pPr>
        <w:pStyle w:val="Heading2"/>
      </w:pPr>
      <w:r>
        <w:t>9. Herramientas: alta, reclamación y perfil</w:t>
      </w:r>
    </w:p>
    <w:p>
      <w:pPr>
        <w:pStyle w:val="Heading3"/>
      </w:pPr>
      <w:r>
        <w:t>9.1 Estados</w:t>
      </w:r>
    </w:p>
    <w:p>
      <w:pPr>
        <w:keepLines w:val="0"/>
        <w:spacing w:after="120" w:line="264" w:lineRule="auto"/>
      </w:pPr>
      <w:r>
        <w:rPr>
          <w:rFonts w:ascii="Calibri" w:hAnsi="Calibri"/>
          <w:i w:val="0"/>
          <w:color w:val="1D2939"/>
          <w:sz w:val="22"/>
        </w:rPr>
        <w:t>draft -&gt; submitted -&gt; needs_changes -&gt; under_review -&gt; approved -&gt; published -&gt; suspended -&gt; archived. Los cambios de estado deben quedar auditados y generar notificaciones configurables.</w:t>
      </w:r>
    </w:p>
    <w:p>
      <w:pPr>
        <w:pStyle w:val="Heading3"/>
      </w:pPr>
      <w:r>
        <w:t>9.2 Campos mínimos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18"/>
              </w:rPr>
              <w:t>Grupo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18"/>
              </w:rPr>
              <w:t>Campos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8"/>
              </w:rPr>
              <w:t>Identidad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8"/>
              </w:rPr>
              <w:t>Nombre, slug, logo, empresa, dominio, país, fecha de lanzamiento, responsable.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8"/>
              </w:rPr>
              <w:t>Propuesta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8"/>
              </w:rPr>
              <w:t>Resumen corto, descripción, problemas resueltos, sectores, público y diferenciadores.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8"/>
              </w:rPr>
              <w:t>Producto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8"/>
              </w:rPr>
              <w:t>Categorías, modalidades, plataformas, API, integraciones, idiomas y capturas.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8"/>
              </w:rPr>
              <w:t>Comercial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8"/>
              </w:rPr>
              <w:t>Precios, moneda, prueba gratuita, descuentos, afiliación y URL atribuible.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8"/>
              </w:rPr>
              <w:t>España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8"/>
              </w:rPr>
              <w:t>Interfaz/soporte en español, IVA/factura, alojamiento, DPA y declaración RGPD.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8"/>
              </w:rPr>
              <w:t>Confianza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8"/>
              </w:rPr>
              <w:t>Términos, privacidad, seguridad, datos tratados, estado operativo y evidencias.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8"/>
              </w:rPr>
              <w:t>Contenido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8"/>
              </w:rPr>
              <w:t>Vídeo, demo, casos, guías, preguntas frecuentes y cambios.</w:t>
            </w:r>
          </w:p>
        </w:tc>
      </w:tr>
    </w:tbl>
    <w:p>
      <w:pPr>
        <w:spacing w:after="80"/>
      </w:pPr>
    </w:p>
    <w:p>
      <w:pPr>
        <w:pStyle w:val="Heading3"/>
      </w:pPr>
      <w:r>
        <w:t>9.3 Reglas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Un dominio principal no debe producir duplicados; la administración puede fusionar fichas.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Reclamar una ficha exige correo corporativo o evidencia alternativa revisada.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Los cambios en nombre, dominio, precio o afirmaciones sensibles pueden volver a revisión.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La ficha indicará fecha de última comprobación y origen de la información.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Una herramienta inactiva o insegura puede suspenderse sin eliminar el historial público necesario.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La verificación significa identidad/información revisada, no garantía de calidad ni cumplimiento.</w:t>
      </w:r>
    </w:p>
    <w:p>
      <w:pPr>
        <w:pStyle w:val="Heading2"/>
      </w:pPr>
      <w:r>
        <w:t>10. Buscador, filtros y comparación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Búsqueda por nombre, necesidad, sector, función, integración y texto estructurado.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Sinónimos en español y normalización de términos: chatbot/agente/asistente; CRM/gestión comercial.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Filtros combinables: precio, prueba, idioma, soporte, dificultad, plataforma, API, integraciones, verificación y valoración.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Orden por relevancia, novedad, comunidad, popularidad y patrocinio claramente identificado.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Comparar entre dos y cuatro herramientas mediante atributos equivalentes y fuentes fechadas.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URLs indexables para categorías relevantes; combinaciones arbitrarias no deben crear contenido SEO duplicado.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Registro de búsquedas sin resultados para orientar catálogo y contenidos, respetando privacidad.</w:t>
      </w:r>
    </w:p>
    <w:p>
      <w:pPr>
        <w:pStyle w:val="Heading2"/>
      </w:pPr>
      <w:r>
        <w:t>11. Comunidad, votos y valoraciones</w:t>
      </w:r>
    </w:p>
    <w:p>
      <w:pPr>
        <w:keepLines w:val="0"/>
        <w:spacing w:after="120" w:line="264" w:lineRule="auto"/>
      </w:pPr>
      <w:r>
        <w:rPr>
          <w:rFonts w:ascii="Calibri" w:hAnsi="Calibri"/>
          <w:i w:val="0"/>
          <w:color w:val="1D2939"/>
          <w:sz w:val="22"/>
        </w:rPr>
        <w:t>El voto es una señal de preferencia dentro de una temporada. La valoración expresa experiencia en dimensiones concretas. Ambos objetos se almacenan por separado. El sistema mostrará reglas, tamaño de muestra y posibles limitaciones; no presentará diferencias mínimas como conclusiones definitivas.</w:t>
      </w:r>
    </w:p>
    <w:p>
      <w:pPr>
        <w:pStyle w:val="Heading3"/>
      </w:pPr>
      <w:r>
        <w:t>11.1 Votación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Solo usuarios con correo verificado.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Un voto activo por usuario y categoría/temporada, modificable hasta el cierre; conservar historial de cambios para fraude.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La administración puede invalidar votos con motivo, regla detectada y auditoría.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La marca puede compartir un enlace de campaña, pero no ofrecer contraprestación prohibida por votar.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El recuento público puede retrasarse o mostrarse agregado para reducir manipulación.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Empates: mayor número de valoraciones verificadas, después mayor diversidad de votantes y, finalmente, fecha más temprana de participación; reglas configurables.</w:t>
      </w:r>
    </w:p>
    <w:p>
      <w:pPr>
        <w:pStyle w:val="Heading3"/>
      </w:pPr>
      <w:r>
        <w:t>11.2 Valoraciones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1500"/>
        <w:gridCol w:w="60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18"/>
              </w:rPr>
              <w:t>Dimensión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18"/>
              </w:rPr>
              <w:t>Escala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18"/>
              </w:rPr>
              <w:t>Pregunta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8"/>
              </w:rPr>
              <w:t>Facilidad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8"/>
              </w:rPr>
              <w:t>1-5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8"/>
              </w:rPr>
              <w:t>¿Se puede empezar sin conocimientos avanzados?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8"/>
              </w:rPr>
              <w:t>Resultado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8"/>
              </w:rPr>
              <w:t>1-5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8"/>
              </w:rPr>
              <w:t>¿La salida cumple la tarea anunciada?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8"/>
              </w:rPr>
              <w:t>Calidad-precio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8"/>
              </w:rPr>
              <w:t>1-5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8"/>
              </w:rPr>
              <w:t>¿El valor percibido corresponde al coste?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8"/>
              </w:rPr>
              <w:t>Español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8"/>
              </w:rPr>
              <w:t>1-5/No aplica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8"/>
              </w:rPr>
              <w:t>¿Interfaz y soporte son adecuados?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8"/>
              </w:rPr>
              <w:t>Integración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8"/>
              </w:rPr>
              <w:t>1-5/No aplica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8"/>
              </w:rPr>
              <w:t>¿Conecta con el entorno de trabajo?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8"/>
              </w:rPr>
              <w:t>Recomendación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8"/>
              </w:rPr>
              <w:t>0-10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8"/>
              </w:rPr>
              <w:t>¿La recomendaría para el caso declarado?</w:t>
            </w:r>
          </w:p>
        </w:tc>
      </w:tr>
    </w:tbl>
    <w:p>
      <w:pPr>
        <w:spacing w:after="80"/>
      </w:pPr>
    </w:p>
    <w:p>
      <w:pPr>
        <w:pStyle w:val="ATABullet"/>
      </w:pPr>
      <w:r>
        <w:rPr>
          <w:rFonts w:ascii="Calibri" w:hAnsi="Calibri"/>
          <w:color w:val="1D2939"/>
          <w:sz w:val="22"/>
        </w:rPr>
        <w:t>Solicitar relación del usuario con la herramienta: la ha probado, es cliente, es empleado/partner o solo la conoce.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Mostrar conflictos declarados y excluir empleados del cálculo público cuando la metodología lo determine.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Moderación previa o posterior según riesgo; bloqueo de insultos, datos personales y afirmaciones no verificables.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Derecho de respuesta de la marca sin poder editar la opinión.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Proceso de denuncia y apelación con plazos internos definidos.</w:t>
      </w:r>
    </w:p>
    <w:p>
      <w:pPr>
        <w:pStyle w:val="Heading2"/>
      </w:pPr>
      <w:r>
        <w:t>12. Ranking comunitario</w:t>
      </w:r>
    </w:p>
    <w:p>
      <w:pPr>
        <w:keepLines w:val="0"/>
        <w:spacing w:after="120" w:line="264" w:lineRule="auto"/>
      </w:pPr>
      <w:r>
        <w:rPr>
          <w:rFonts w:ascii="Calibri" w:hAnsi="Calibri"/>
          <w:i w:val="0"/>
          <w:color w:val="1D2939"/>
          <w:sz w:val="22"/>
        </w:rPr>
        <w:t>La primera versión debe utilizar una fórmula simple, explicable y configurable. No se recomienda entrenar un modelo opaco. La puntuación mostrada puede combinar votos válidos, calidad de valoraciones, actividad y factor temporal, pero el ganador de cada temporada deberá poder reconstruirse desde eventos auditados.</w:t>
      </w:r>
    </w:p>
    <w:p>
      <w:pPr>
        <w:spacing w:before="120" w:after="200" w:line="264" w:lineRule="auto"/>
        <w:ind w:left="202" w:right="144"/>
        <w:shd w:fill="E8F5F6"/>
        <w:pBdr>
          <w:left w:val="single" w:sz="18" w:space="8" w:color="008C95"/>
        </w:pBdr>
      </w:pPr>
      <w:r>
        <w:rPr>
          <w:rFonts w:ascii="Calibri" w:hAnsi="Calibri"/>
          <w:b/>
          <w:color w:val="0B2545"/>
          <w:sz w:val="22"/>
        </w:rPr>
        <w:t xml:space="preserve">Fórmula inicial sugerida: </w:t>
      </w:r>
      <w:r>
        <w:rPr>
          <w:rFonts w:ascii="Calibri" w:hAnsi="Calibri"/>
          <w:color w:val="1D2939"/>
          <w:sz w:val="22"/>
        </w:rPr>
        <w:t>Puntuación = votos válidos normalizados por categoría + componente limitado de valoraciones verificadas. Aplicar un mínimo de muestra y no mezclar clics pagados con preferencia comunitaria. Cualquier ponderación deberá publicarse en lenguaje comprensible.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Guardar la versión de la fórmula aplicada a cada temporada.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Permitir recalcular en modo simulación antes de publicar cambios.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Distinguir ranking de temporada, histórico, tendencia y selección editorial.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No permitir edición directa de puntos; solo invalidación de eventos o nueva versión de cálculo.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Publicar fecha de actualización y número de votos válidos.</w:t>
      </w:r>
    </w:p>
    <w:p>
      <w:pPr>
        <w:pStyle w:val="Heading2"/>
      </w:pPr>
      <w:r>
        <w:t>13. Arena patrocinada</w:t>
      </w:r>
    </w:p>
    <w:p>
      <w:pPr>
        <w:keepLines w:val="0"/>
        <w:spacing w:after="120" w:line="264" w:lineRule="auto"/>
      </w:pPr>
      <w:r>
        <w:rPr>
          <w:rFonts w:ascii="Calibri" w:hAnsi="Calibri"/>
          <w:i w:val="0"/>
          <w:color w:val="1D2939"/>
          <w:sz w:val="22"/>
        </w:rPr>
        <w:t>La Arena patrocinada es inventario publicitario, no una subasta de calidad. Solo participan herramientas aprobadas. La interfaz deberá mostrar “Patrocinado”, anunciante, vigencia y motivo de visualización. Durante el piloto, el administrador podrá elegir precio fijo, incremento o campaña programada.</w:t>
      </w:r>
    </w:p>
    <w:p>
      <w:pPr>
        <w:pStyle w:val="Heading3"/>
      </w:pPr>
      <w:r>
        <w:t>13.1 Máquina de estados</w:t>
      </w:r>
    </w:p>
    <w:p>
      <w:pPr>
        <w:keepLines w:val="0"/>
        <w:spacing w:after="120" w:line="264" w:lineRule="auto"/>
      </w:pPr>
      <w:r>
        <w:rPr>
          <w:rFonts w:ascii="Calibri" w:hAnsi="Calibri"/>
          <w:i w:val="0"/>
          <w:color w:val="1D2939"/>
          <w:sz w:val="22"/>
        </w:rPr>
        <w:t>eligible -&gt; draft_campaign -&gt; pending_review -&gt; awaiting_payment -&gt; scheduled -&gt; active -&gt; dethroned/completed -&gt; reporting -&gt; archived; con cancelled, rejected, payment_failed y refunded como excepciones.</w:t>
      </w:r>
    </w:p>
    <w:p>
      <w:pPr>
        <w:pStyle w:val="Heading3"/>
      </w:pPr>
      <w:r>
        <w:t>13.2 Reglas del piloto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18"/>
              </w:rPr>
              <w:t>Regla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18"/>
              </w:rPr>
              <w:t>Definición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8"/>
              </w:rPr>
              <w:t>Precio inicial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8"/>
              </w:rPr>
              <w:t>19 EUR, configurable por temporada.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8"/>
              </w:rPr>
              <w:t>Incremento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8"/>
              </w:rPr>
              <w:t>5 EUR o porcentaje configurable; mostrar total antes de pagar.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8"/>
              </w:rPr>
              <w:t>Duración máxima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8"/>
              </w:rPr>
              <w:t>Hasta fin de temporada; la duración mínima no se garantiza salvo paquete específico.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8"/>
              </w:rPr>
              <w:t>Activación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8"/>
              </w:rPr>
              <w:t>Tras pago confirmado y revisión del material.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8"/>
              </w:rPr>
              <w:t>Sustitución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8"/>
              </w:rPr>
              <w:t>La campaña anterior finaliza al activarse otra válida; registrar segundos de exposición.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8"/>
              </w:rPr>
              <w:t>Reembolso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8"/>
              </w:rPr>
              <w:t>Reglas contractuales; fallos técnicos materiales deben poder compensarse o reprogramarse.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8"/>
              </w:rPr>
              <w:t>Métricas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8"/>
              </w:rPr>
              <w:t>Impresiones válidas, vistas, clics, conversiones atribuidas, tiempo y fuente.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8"/>
              </w:rPr>
              <w:t>Límites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8"/>
              </w:rPr>
              <w:t>Topes por cuenta/temporada, geografía y categoría configurables.</w:t>
            </w:r>
          </w:p>
        </w:tc>
      </w:tr>
    </w:tbl>
    <w:p>
      <w:pPr>
        <w:spacing w:after="80"/>
      </w:pPr>
    </w:p>
    <w:p>
      <w:pPr>
        <w:pStyle w:val="Heading3"/>
      </w:pPr>
      <w:r>
        <w:t>13.3 Concurrencia de pagos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Reservar el importe/posición durante un periodo breve con transacción o bloqueo distribuido.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Confirmar el precio vigente en servidor inmediatamente antes de crear el pago.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Procesar webhooks de forma idempotente y no confiar en el retorno del navegador.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Si dos pagos compiten, activar únicamente el primero que cumpla reglas; cancelar o devolver el otro según condiciones visibles.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No actualizar la portada hasta tener estado de pago y campaña consistentes.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Registrar cada transición y permitir reconciliación financiera.</w:t>
      </w:r>
    </w:p>
    <w:p>
      <w:pPr>
        <w:pStyle w:val="Heading2"/>
      </w:pPr>
      <w:r>
        <w:t>14. Suscripciones y facturación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Catálogo de planes, precios, impuestos, moneda, periodicidad, prueba y promociones configurable.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Alta, cambio, cancelación, reactivación, impago, periodo de gracia y cierre de beneficios.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Portal de cliente para método de pago, facturas y datos fiscales.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Webhooks firmados, idempotencia y reconciliación diaria de eventos críticos.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No activar renovación de Founding Season sin consentimiento explícito y registro.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Separar derechos de suscripción de derechos comprados por campaña.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Exportación contable y soporte de factura conforme a la solución fiscal elegida.</w:t>
      </w:r>
    </w:p>
    <w:p>
      <w:pPr>
        <w:pStyle w:val="Heading2"/>
      </w:pPr>
      <w:r>
        <w:t>15. Directorio de especialistas</w:t>
      </w:r>
    </w:p>
    <w:p>
      <w:pPr>
        <w:keepLines w:val="0"/>
        <w:spacing w:after="120" w:line="264" w:lineRule="auto"/>
      </w:pPr>
      <w:r>
        <w:rPr>
          <w:rFonts w:ascii="Calibri" w:hAnsi="Calibri"/>
          <w:i w:val="0"/>
          <w:color w:val="1D2939"/>
          <w:sz w:val="22"/>
        </w:rPr>
        <w:t>El MVP incluirá descubrimiento y solicitud, no contratación cerrada. El objetivo es comprobar si las empresas que descubren herramientas necesitan implantación y qué perfiles resuelven esa demanda.</w:t>
      </w:r>
    </w:p>
    <w:p>
      <w:pPr>
        <w:pStyle w:val="Heading3"/>
      </w:pPr>
      <w:r>
        <w:t>15.1 Perfil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Identidad profesional o agencia, ubicación, remoto/presencial e idiomas.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Servicios, sectores, herramientas, plataformas, certificaciones y nivel declarado.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Tarifa orientativa o modalidad de presupuesto, sin obligación de precio público.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Casos de éxito con aprobación del cliente y ocultación de datos sensibles.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Disponibilidad, zona horaria, tamaño de proyecto y tiempo de respuesta.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Relación con herramientas: independiente, partner declarado o certificado verificable.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Valoraciones de clientes, moderadas y vinculadas a una interacción identificable cuando sea posible.</w:t>
      </w:r>
    </w:p>
    <w:p>
      <w:pPr>
        <w:pStyle w:val="Heading3"/>
      </w:pPr>
      <w:r>
        <w:t>15.2 Solicitud de ayuda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18"/>
              </w:rPr>
              <w:t>Campo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18"/>
              </w:rPr>
              <w:t>Contenido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8"/>
              </w:rPr>
              <w:t>Problema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8"/>
              </w:rPr>
              <w:t>Descripción y objetivo esperado.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8"/>
              </w:rPr>
              <w:t>Contexto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8"/>
              </w:rPr>
              <w:t>Sector, tamaño, herramientas existentes y nivel técnico.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8"/>
              </w:rPr>
              <w:t>Alcance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8"/>
              </w:rPr>
              <w:t>Asesoría, configuración, integración, formación o mantenimiento.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8"/>
              </w:rPr>
              <w:t>Presupuesto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8"/>
              </w:rPr>
              <w:t>Rango opcional, no cantidad obligatoria.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8"/>
              </w:rPr>
              <w:t>Plazo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8"/>
              </w:rPr>
              <w:t>Urgente, 30 días, 90 días o flexible.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8"/>
              </w:rPr>
              <w:t>Contacto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8"/>
              </w:rPr>
              <w:t>Datos mínimos, consentimiento y canal preferido.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8"/>
              </w:rPr>
              <w:t>Asignación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8"/>
              </w:rPr>
              <w:t>Especialista elegido o matching manual por administración.</w:t>
            </w:r>
          </w:p>
        </w:tc>
      </w:tr>
    </w:tbl>
    <w:p>
      <w:pPr>
        <w:spacing w:after="80"/>
      </w:pPr>
    </w:p>
    <w:p>
      <w:pPr>
        <w:pStyle w:val="ATABullet"/>
      </w:pPr>
      <w:r>
        <w:rPr>
          <w:rFonts w:ascii="Calibri" w:hAnsi="Calibri"/>
          <w:color w:val="1D2939"/>
          <w:sz w:val="22"/>
        </w:rPr>
        <w:t>Mostrar antes del envío quién recibirá los datos.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No revelar datos de contacto a terceros no autorizados.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Permitir aceptar, rechazar, marcar no cualificado, contactar y cerrar.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Registrar resultado declarado sin afirmar que la plataforma verificó el contrato.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Añadir mecanismos contra spam y límite de solicitudes.</w:t>
      </w:r>
    </w:p>
    <w:p>
      <w:pPr>
        <w:pStyle w:val="Heading2"/>
      </w:pPr>
      <w:r>
        <w:t>16. Analítica y paneles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18"/>
              </w:rPr>
              <w:t>Panel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18"/>
              </w:rPr>
              <w:t>Métricas y acciones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8"/>
              </w:rPr>
              <w:t>Marca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8"/>
              </w:rPr>
              <w:t>Impresiones, perfil, clics, guardados, votos, reseñas, conversiones, campañas, fuentes y exportación.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8"/>
              </w:rPr>
              <w:t>Especialista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8"/>
              </w:rPr>
              <w:t>Vistas, clics, solicitudes, aceptación, respuesta, resultados declarados y perfil.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8"/>
              </w:rPr>
              <w:t>Usuario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8"/>
              </w:rPr>
              <w:t>Guardados, votos, reseñas, seguimientos, privacidad y comunicaciones.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8"/>
              </w:rPr>
              <w:t>Administrador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8"/>
              </w:rPr>
              <w:t>Adquisición, activación, cohortes, fraude, contenido, ingresos, churn, embudo, soporte y salud.</w:t>
            </w:r>
          </w:p>
        </w:tc>
      </w:tr>
    </w:tbl>
    <w:p>
      <w:pPr>
        <w:spacing w:after="80"/>
      </w:pPr>
    </w:p>
    <w:p>
      <w:pPr>
        <w:keepLines w:val="0"/>
        <w:spacing w:after="120" w:line="264" w:lineRule="auto"/>
      </w:pPr>
      <w:r>
        <w:rPr>
          <w:rFonts w:ascii="Calibri" w:hAnsi="Calibri"/>
          <w:i w:val="0"/>
          <w:color w:val="1D2939"/>
          <w:sz w:val="22"/>
        </w:rPr>
        <w:t>Cada gráfico deberá indicar intervalo, zona horaria, definición, filtros y fecha de actualización. Las cifras de analítica de producto no tienen por qué coincidir con facturación; ambas fuentes deben reconciliarse mediante identificadores y eventos.</w:t>
      </w:r>
    </w:p>
    <w:p>
      <w:pPr>
        <w:pStyle w:val="Heading2"/>
      </w:pPr>
      <w:r>
        <w:t>17. Notificaciones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4300"/>
        <w:gridCol w:w="33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17"/>
              </w:rPr>
              <w:t>Grupo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17"/>
              </w:rPr>
              <w:t>Eventos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17"/>
              </w:rPr>
              <w:t>Regla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Cuenta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Verificación, recuperación, invitación y seguridad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Transaccional; no desactivable cuando sea esencial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Herramienta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Revisión, cambios, publicación y suspensión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Transaccional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Arena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Inicio, activación, destronamiento, cierre e informe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Transaccional/campaña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Comunidad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Temporadas, seguidos y resultados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Preferencias del usuario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Especialistas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Nueva solicitud, recordatorio, cierre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Transaccional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Marketing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Newsletter y promociones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Consentimiento independiente</w:t>
            </w:r>
          </w:p>
        </w:tc>
      </w:tr>
    </w:tbl>
    <w:p>
      <w:pPr>
        <w:spacing w:after="80"/>
      </w:pPr>
    </w:p>
    <w:p>
      <w:pPr>
        <w:pStyle w:val="ATABullet"/>
      </w:pPr>
      <w:r>
        <w:rPr>
          <w:rFonts w:ascii="Calibri" w:hAnsi="Calibri"/>
          <w:color w:val="1D2939"/>
          <w:sz w:val="22"/>
        </w:rPr>
        <w:t>Plantillas editables, versionadas y localizadas.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Cola de envío, reintentos, rebotes, quejas, supresión y trazabilidad.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Preferencias por categoría y canal; centro de notificaciones en web en fase posterior.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No incluir datos sensibles o credenciales en correos.</w:t>
      </w:r>
    </w:p>
    <w:p>
      <w:pPr>
        <w:pStyle w:val="Heading2"/>
      </w:pPr>
      <w:r>
        <w:t>18. Backoffice y CMS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Dashboard de trabajo: colas de revisión, denuncias, fraude, pagos fallidos y soporte.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CRUD de herramientas, especialistas, categorías, integraciones, sectores y etiquetas.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Gestión de temporadas, participantes, reglas, precios, estados, ganadores y publicaciones.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Moderación de votos, reseñas, comentarios, casos, logos, vídeos y enlaces.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Gestión de usuarios, organizaciones, roles, consentimientos y solicitudes de derechos.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Gestión de planes, cupones, campañas, facturas, reembolsos y conciliación.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CMS para páginas, guías, preguntas frecuentes, banners, navegación y SEO.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Configuración de textos legales versionados, países, monedas, idiomas y zonas horarias.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Auditoría, exportaciones, flags de funcionalidad y modo de mantenimiento.</w:t>
      </w:r>
    </w:p>
    <w:p>
      <w:pPr>
        <w:pStyle w:val="Heading2"/>
      </w:pPr>
      <w:r>
        <w:t>19. Soporte, denuncias y apelaciones</w:t>
      </w:r>
    </w:p>
    <w:p>
      <w:pPr>
        <w:keepLines w:val="0"/>
        <w:spacing w:after="120" w:line="264" w:lineRule="auto"/>
      </w:pPr>
      <w:r>
        <w:rPr>
          <w:rFonts w:ascii="Calibri" w:hAnsi="Calibri"/>
          <w:i w:val="0"/>
          <w:color w:val="1D2939"/>
          <w:sz w:val="22"/>
        </w:rPr>
        <w:t>El producto deberá ofrecer formularios estructurados y un sistema de casos, aunque inicialmente pueda integrarse con una herramienta externa. Cada caso tendrá categoría, prioridad, entidad afectada, evidencia, responsable, SLA interno, decisión y comunicaciones. Las acciones de moderación deben permitir apelación y revisión por una persona distinta cuando sea viable.</w:t>
      </w:r>
    </w:p>
    <w:p>
      <w:pPr>
        <w:pStyle w:val="Heading1"/>
      </w:pPr>
      <w:r>
        <w:t>PARTE III. Diseño técnico</w:t>
      </w:r>
    </w:p>
    <w:p>
      <w:pPr>
        <w:pStyle w:val="Heading2"/>
      </w:pPr>
      <w:r>
        <w:t>20. Enfoque arquitectónico</w:t>
      </w:r>
    </w:p>
    <w:p>
      <w:pPr>
        <w:spacing w:before="120" w:after="200" w:line="264" w:lineRule="auto"/>
        <w:ind w:left="202" w:right="144"/>
        <w:shd w:fill="E8F5F6"/>
        <w:pBdr>
          <w:left w:val="single" w:sz="18" w:space="8" w:color="008C95"/>
        </w:pBdr>
      </w:pPr>
      <w:r>
        <w:rPr>
          <w:rFonts w:ascii="Calibri" w:hAnsi="Calibri"/>
          <w:b/>
          <w:color w:val="0B2545"/>
          <w:sz w:val="22"/>
        </w:rPr>
        <w:t xml:space="preserve">Recomendación: </w:t>
      </w:r>
      <w:r>
        <w:rPr>
          <w:rFonts w:ascii="Calibri" w:hAnsi="Calibri"/>
          <w:color w:val="1D2939"/>
          <w:sz w:val="22"/>
        </w:rPr>
        <w:t>Monolito modular en TypeScript con límites de dominio claros, API versionada, PostgreSQL y procesos asíncronos. Separar servicios solo cuando una necesidad medida lo justifique.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00"/>
        <w:gridCol w:w="2800"/>
        <w:gridCol w:w="50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17"/>
              </w:rPr>
              <w:t>Capa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17"/>
              </w:rPr>
              <w:t>Recomendación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17"/>
              </w:rPr>
              <w:t>Responsabilidad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Frontend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Next.js o equivalente SSR/SSG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Experiencia web, SEO, paneles, i18n y accesibilidad.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Backend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NestJS o módulos de servidor equivalentes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Reglas, API, autenticación, pagos, moderación y trabajos.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Datos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PostgreSQL gestionado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Datos transaccionales, relaciones, búsquedas iniciales y auditoría.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Cache/colas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Redis gestionado o servicio compatible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Rate limit, locks, sesiones opcionales, tareas y notificaciones.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Objetos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S3 compatible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Logos, capturas, documentos y exportaciones.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Búsqueda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PostgreSQL FTS inicialmente; motor dedicado después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Texto, filtros y relevancia.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CDN/WAF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Proveedor gestionado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Cache, TLS, protección y distribución.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Observabilidad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Errores, logs, métricas y trazas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Diagnóstico, alertas y capacidad.</w:t>
            </w:r>
          </w:p>
        </w:tc>
      </w:tr>
    </w:tbl>
    <w:p>
      <w:pPr>
        <w:spacing w:after="80"/>
      </w:pPr>
    </w:p>
    <w:p>
      <w:pPr>
        <w:pStyle w:val="Heading3"/>
      </w:pPr>
      <w:r>
        <w:t>20.1 Dominios lógicos</w:t>
      </w:r>
    </w:p>
    <w:p>
      <w:pPr>
        <w:keepLines w:val="0"/>
        <w:spacing w:after="120" w:line="264" w:lineRule="auto"/>
      </w:pPr>
      <w:r>
        <w:rPr>
          <w:rFonts w:ascii="Calibri" w:hAnsi="Calibri"/>
          <w:i w:val="0"/>
          <w:color w:val="1D2939"/>
          <w:sz w:val="22"/>
        </w:rPr>
        <w:t>Identity &amp; Access, Organizations, Catalog, Taxonomy, Community, Seasons, Sponsored Arena, Billing, Experts &amp; Leads, Content, Moderation, Notifications, Analytics, Administration, Audit &amp; Compliance.</w:t>
      </w:r>
    </w:p>
    <w:p>
      <w:pPr>
        <w:pStyle w:val="Heading3"/>
      </w:pPr>
      <w:r>
        <w:t>20.2 Principios técnicos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Contratos de API explícitos y documentación OpenAPI.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Configuración por entorno y secretos fuera del repositorio.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Idempotencia en pagos, notificaciones, importaciones y eventos críticos.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UTC en almacenamiento; zona horaria de negocio configurable para temporadas.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Soft delete solo donde exista necesidad de recuperación; anonimización real para derechos cuando corresponda.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Feature flags para Founding Season, pagos, rankings y nuevas geografías.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Outbox/eventos fiables para tareas asíncronas que no deben perderse.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Dependencias externas encapsuladas detrás de adaptadores sustituibles.</w:t>
      </w:r>
    </w:p>
    <w:p>
      <w:pPr>
        <w:pStyle w:val="Heading2"/>
      </w:pPr>
      <w:r>
        <w:t>21. Modelo de datos conceptual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17"/>
              </w:rPr>
              <w:t>Entidad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17"/>
              </w:rPr>
              <w:t>Responsabilidad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User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Cuenta, estado, idioma, zona, seguridad y preferencias.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Organization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Empresa, fiscalidad, miembros, roles y propiedad de activos.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Tool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Producto, dominio, empresa, estado, slug y visibilidad.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ToolVersion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Cambios de ficha, fuente, aprobación y vigencia.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Category/Tag/UseCase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Taxonomía jerárquica y traducciones.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Integration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Servicios con los que conecta una herramienta.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ToolClaim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Solicitud de propiedad y evidencia.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Verification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Tipo, evidencia, revisor, resultado y caducidad.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Season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Categoría, reglas, fechas, fórmula, estado y ganadores.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SeasonEntry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Herramienta, elegibilidad, estado, invitación y métricas.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Vote/VoteEvent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Elección actual, historial, validación y señales de fraude.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Review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Puntuaciones, relación, texto, moderación y respuesta.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SponsoredCampaign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Creativo, reglas, pago, periodo, estado y rendimiento.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Bid/PlacementEvent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Importe, secuencia, posición y transiciones.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Plan/Subscription/Entitlement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Producto comercial, contrato y derechos.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Payment/Invoice/Refund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Referencias del proveedor y conciliación.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ExpertProfile/AgencyProfile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Servicios, herramientas, casos, disponibilidad y verificación.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Lead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Necesidad, consentimiento, asignación, estado y resultado.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Favorite/Follow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Interés del usuario y alertas.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ContentItem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Guías, colecciones, páginas y SEO.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Report/ModerationCase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Denuncia, evidencia, decisión y apelación.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Consent/LegalAcceptance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Texto, versión, base, fecha y prueba.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AnalyticsEvent/Aggregate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Evento seudonimizado y métricas agregadas.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AuditLog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Acción sensible, actor, entidad, cambios y razón.</w:t>
            </w:r>
          </w:p>
        </w:tc>
      </w:tr>
    </w:tbl>
    <w:p>
      <w:pPr>
        <w:spacing w:after="80"/>
      </w:pPr>
    </w:p>
    <w:p>
      <w:pPr>
        <w:pStyle w:val="Heading3"/>
      </w:pPr>
      <w:r>
        <w:t>21.1 Convenciones de datos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Identificadores UUID/ULID; claves externas separadas de IDs de proveedor.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created_at, updated_at y, cuando proceda, deleted_at; timestamps UTC.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Slugs únicos por idioma o estrategia definida; redirecciones permanentes al modificarlos.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Campos monetarios en unidad menor e ISO 4217; nunca float.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Estados como enums controlados y transiciones en servicio de dominio.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Metadatos flexibles solo para extensibilidad; evitar trasladar el modelo principal a JSON sin control.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Índices para estado, publicación, categoría, organización, fechas, fraude y búsquedas.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Particionado o archivo de eventos cuando volumen y retención lo justifiquen.</w:t>
      </w:r>
    </w:p>
    <w:p>
      <w:pPr>
        <w:pStyle w:val="Heading2"/>
      </w:pPr>
      <w:r>
        <w:t>22. API</w:t>
      </w:r>
    </w:p>
    <w:p>
      <w:pPr>
        <w:keepLines w:val="0"/>
        <w:spacing w:after="120" w:line="264" w:lineRule="auto"/>
      </w:pPr>
      <w:r>
        <w:rPr>
          <w:rFonts w:ascii="Calibri" w:hAnsi="Calibri"/>
          <w:i w:val="0"/>
          <w:color w:val="1D2939"/>
          <w:sz w:val="22"/>
        </w:rPr>
        <w:t>API REST bajo /api/v1, autenticación por sesión segura o tokens de corta duración según cliente. Documentación OpenAPI generada y versionada. Los endpoints administrativos estarán separados y protegidos por RBAC. GraphQL no es necesario para el MVP salvo justificación.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600"/>
        <w:gridCol w:w="3900"/>
        <w:gridCol w:w="386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17"/>
              </w:rPr>
              <w:t>Dominio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17"/>
              </w:rPr>
              <w:t>Rutas orientativas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17"/>
              </w:rPr>
              <w:t>Uso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Identity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/auth, /users, /organizations, /memberships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Cuenta, sesiones y miembros.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Catalog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/tools, /categories, /use-cases, /integrations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Exploración y fichas.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Submission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/tool-submissions, /claims, /verifications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Alta y revisión.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Community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/seasons, /entries, /votes, /reviews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Competición orgánica.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Sponsored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/campaigns, /placements, /checkout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Publicidad y pagos.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Experts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/experts, /agencies, /leads, /cases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Implantación y solicitudes.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Billing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/plans, /subscriptions, /invoices, /webhooks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Ingresos y derechos.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Content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/content, /collections, /search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CMS y descubrimiento.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Admin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/admin/*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Operación y configuración.</w:t>
            </w:r>
          </w:p>
        </w:tc>
      </w:tr>
    </w:tbl>
    <w:p>
      <w:pPr>
        <w:spacing w:after="80"/>
      </w:pPr>
    </w:p>
    <w:p>
      <w:pPr>
        <w:pStyle w:val="Heading3"/>
      </w:pPr>
      <w:r>
        <w:t>22.1 Requisitos transversales de API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Validación de entrada, límites de tamaño, listas permitidas y saneamiento contextual.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Paginación por cursor en listados de crecimiento; filtros declarados.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Códigos de error estables, correlation_id y mensajes seguros.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Rate limiting por IP, cuenta, organización y endpoint según riesgo.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Idempotency-Key para checkout, reembolsos, leads y operaciones repetibles.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Autorización por recurso, no solo por ruta.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ETag/Last-Modified o estrategia de cache para contenido público.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Versionado compatible y política de deprecación.</w:t>
      </w:r>
    </w:p>
    <w:p>
      <w:pPr>
        <w:pStyle w:val="Heading2"/>
      </w:pPr>
      <w:r>
        <w:t>23. Integraciones externas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00"/>
        <w:gridCol w:w="2700"/>
        <w:gridCol w:w="51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17"/>
              </w:rPr>
              <w:t>Área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17"/>
              </w:rPr>
              <w:t>Opción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17"/>
              </w:rPr>
              <w:t>Requisito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Pagos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Stripe u otro proveedor aprobado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Suscripciones, cobros, impuestos/facturas según alcance. Confirmar aceptación del modelo.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Correo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Resend, Postmark o equivalente UE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Transaccional, plantillas, rebotes y supresión.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Analítica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PostHog EU o solución equivalente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Eventos, embudos, cohortes y flags con consentimiento.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Errores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Sentry o equivalente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Excepciones, rendimiento y releases; filtrar datos personales.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Almacenamiento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S3 compatible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Activos con escaneo y URLs firmadas.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Captcha/bot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Proveedor con privacidad evaluada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Registro, voto, formularios y fraude.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Social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APIs de LinkedIn/X cuando sea viable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Publicación asistida; permitir operación manual si cambian políticas.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CRM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HubSpot/Brevo u otro en fase posterior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Cohortes, ventas y soporte, con consentimiento.</w:t>
            </w:r>
          </w:p>
        </w:tc>
      </w:tr>
    </w:tbl>
    <w:p>
      <w:pPr>
        <w:spacing w:after="80"/>
      </w:pPr>
    </w:p>
    <w:p>
      <w:pPr>
        <w:spacing w:before="120" w:after="200" w:line="264" w:lineRule="auto"/>
        <w:ind w:left="202" w:right="144"/>
        <w:shd w:fill="E8F5F6"/>
        <w:pBdr>
          <w:left w:val="single" w:sz="18" w:space="8" w:color="008C95"/>
        </w:pBdr>
      </w:pPr>
      <w:r>
        <w:rPr>
          <w:rFonts w:ascii="Calibri" w:hAnsi="Calibri"/>
          <w:b/>
          <w:color w:val="0B2545"/>
          <w:sz w:val="22"/>
        </w:rPr>
        <w:t xml:space="preserve">Condición: </w:t>
      </w:r>
      <w:r>
        <w:rPr>
          <w:rFonts w:ascii="Calibri" w:hAnsi="Calibri"/>
          <w:color w:val="1D2939"/>
          <w:sz w:val="22"/>
        </w:rPr>
        <w:t>La empresa ofertante debe indicar región de datos, subencargados, costes, límites, retención, exportabilidad y plan de sustitución de cada servicio.</w:t>
      </w:r>
    </w:p>
    <w:p>
      <w:pPr>
        <w:pStyle w:val="Heading2"/>
      </w:pPr>
      <w:r>
        <w:t>24. Requisitos no funcionales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17"/>
              </w:rPr>
              <w:t>ID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17"/>
              </w:rPr>
              <w:t>Criterio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NFR-001 Disponibilidad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Objetivo inicial 99,5% mensual, excluyendo mantenimiento comunicado; medir antes de comprometer SLA comercial.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NFR-002 Rendimiento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LCP público objetivo &lt;=2,5 s p75 en móvil; API p95 &lt;=500 ms en lecturas comunes, sin contar terceros.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NFR-003 Capacidad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Diseñar piloto para 100.000 perfiles públicos/mes, 10.000 usuarios registrados y picos de votación; validar en carga.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NFR-004 Escalabilidad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Escalado horizontal del frontend/API y trabajos; evitar estado local no replicable.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NFR-005 Recuperación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RPO inicial &lt;=24 h y RTO &lt;=8 h; mejorar antes de operaciones críticas mayores.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NFR-006 Compatibilidad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Últimas dos versiones estables de navegadores principales; móvil Android/iOS mediante web responsive.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NFR-007 Accesibilidad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Objetivo WCAG 2.2 AA en flujos principales.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NFR-008 Mantenibilidad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Tipado, lint, pruebas, ADR, documentación y dependencias actualizadas.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NFR-009 Observabilidad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Logs estructurados, métricas, errores, trazas críticas, dashboards y alertas accionables.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NFR-010 Portabilidad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Exportación de datos y activos; infraestructura reproducible; no dependencia irreversible.</w:t>
            </w:r>
          </w:p>
        </w:tc>
      </w:tr>
    </w:tbl>
    <w:p>
      <w:pPr>
        <w:spacing w:after="80"/>
      </w:pPr>
    </w:p>
    <w:p>
      <w:pPr>
        <w:pStyle w:val="Heading2"/>
      </w:pPr>
      <w:r>
        <w:t>25. Caché y consistencia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Contenido público cacheable con invalidación por publicación o TTL corto.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Rankings y posiciones patrocinadas requieren fuente transaccional y caché derivada; no decidir ganadores desde caché.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Los contadores públicos pueden ser eventualmente consistentes y mostrar hora de actualización.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Pagos, votos, permisos y estados deben aplicar transacciones y constraints únicos.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Usar locks con vencimiento solo donde proceda; las restricciones de base de datos siguen siendo defensa final.</w:t>
      </w:r>
    </w:p>
    <w:p>
      <w:pPr>
        <w:pStyle w:val="Heading2"/>
      </w:pPr>
      <w:r>
        <w:t>26. Gestión de archivos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Tipos permitidos y tamaños configurables; rechazar ejecutables y dobles extensiones.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Escaneo antivirus/malware antes de publicar cuando el flujo admita archivos.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Procesado de imagen para formatos web, dimensiones y metadatos; conservar original solo si es necesario.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URLs firmadas para privados y CDN para públicos.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Política de copyright: el usuario declara derechos; proceso de retirada.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Alt text obligatorio o sugerido para imágenes relevantes.</w:t>
      </w:r>
    </w:p>
    <w:p>
      <w:pPr>
        <w:pStyle w:val="Heading1"/>
      </w:pPr>
      <w:r>
        <w:t>PARTE IV. Confianza, seguridad y cumplimiento</w:t>
      </w:r>
    </w:p>
    <w:p>
      <w:pPr>
        <w:pStyle w:val="Heading2"/>
      </w:pPr>
      <w:r>
        <w:t>27. Seguridad</w:t>
      </w:r>
    </w:p>
    <w:p>
      <w:pPr>
        <w:keepLines w:val="0"/>
        <w:spacing w:after="120" w:line="264" w:lineRule="auto"/>
      </w:pPr>
      <w:r>
        <w:rPr>
          <w:rFonts w:ascii="Calibri" w:hAnsi="Calibri"/>
          <w:i w:val="0"/>
          <w:color w:val="1D2939"/>
          <w:sz w:val="22"/>
        </w:rPr>
        <w:t>La empresa deberá realizar modelado de amenazas antes de cerrar arquitectura y actualizarlo al introducir pagos, marketplace o IA generativa. Como mínimo deberá contemplar abuso de cuentas, manipulación de votos, secuestro de organizaciones, inyección de contenido, fraude de pagos, filtración de leads y privilegios administrativos.</w:t>
      </w:r>
    </w:p>
    <w:p>
      <w:pPr>
        <w:pStyle w:val="Heading3"/>
      </w:pPr>
      <w:r>
        <w:t>27.1 Controles mínimos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17"/>
              </w:rPr>
              <w:t>Área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17"/>
              </w:rPr>
              <w:t>Controles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Identidad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Hash de contraseñas robusto, MFA admin, sesiones revocables, alertas y recuperación segura.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Aplicación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Validación, encoding, CSRF, CSP, cabeceras, CORS restrictivo, SSRF y subida segura.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Datos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TLS, cifrado gestionado, secretos seguros, acceso mínimo, backups cifrados y logs sin PII innecesaria.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Infraestructura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WAF/CDN, parches, separación de entornos, IAM, inventario y revisión de configuración.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Desarrollo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Code review, SAST, dependencias, secret scanning, pruebas y control de releases.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Operación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Alertas, plan de incidentes, evidencias, contactos, simulacro y comunicación de brechas.</w:t>
            </w:r>
          </w:p>
        </w:tc>
      </w:tr>
    </w:tbl>
    <w:p>
      <w:pPr>
        <w:spacing w:after="80"/>
      </w:pPr>
    </w:p>
    <w:p>
      <w:pPr>
        <w:pStyle w:val="Heading3"/>
      </w:pPr>
      <w:r>
        <w:t>27.2 Acciones críticas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Reembolso, cambio de ganador, invalidación masiva, cambio de propietario, exportación y suplantación administrativa requieren motivo y auditoría.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Confirmación adicional para eliminar, suspender o cambiar permisos de administrador.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No permitir acceso directo de soporte a contraseñas, tokens o métodos de pago.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Sesiones administrativas cortas y acceso condicionado cuando el proveedor lo permita.</w:t>
      </w:r>
    </w:p>
    <w:p>
      <w:pPr>
        <w:pStyle w:val="Heading2"/>
      </w:pPr>
      <w:r>
        <w:t>28. Prevención de fraude y manipulación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17"/>
              </w:rPr>
              <w:t>Superficie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17"/>
              </w:rPr>
              <w:t>Señales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Votos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Cuentas coordinadas, correos desechables, velocidad, IP/dispositivo, patrones y relación con marca.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Reseñas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Duplicados, lenguaje promocional, conflictos no declarados, difamación y datos personales.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Campañas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Tarjetas robadas, chargebacks, autocobro, creativos engañosos y redirecciones.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Herramientas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Suplantación, dominios nuevos, malware, promesas falsas y productos desaparecidos.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Especialistas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Identidad falsa, certificaciones inventadas, spam y captación abusiva.</w:t>
            </w:r>
          </w:p>
        </w:tc>
      </w:tr>
    </w:tbl>
    <w:p>
      <w:pPr>
        <w:spacing w:after="80"/>
      </w:pPr>
    </w:p>
    <w:p>
      <w:pPr>
        <w:keepLines w:val="0"/>
        <w:spacing w:after="120" w:line="264" w:lineRule="auto"/>
      </w:pPr>
      <w:r>
        <w:rPr>
          <w:rFonts w:ascii="Calibri" w:hAnsi="Calibri"/>
          <w:i w:val="0"/>
          <w:color w:val="1D2939"/>
          <w:sz w:val="22"/>
        </w:rPr>
        <w:t>El motor inicial será basado en reglas con puntuación de riesgo. Resultado: permitir, desafiar, retener para revisión o bloquear. No utilizar decisiones automáticas irreversibles sin revisión y vía de recurso. Guardar versión de regla y evidencia mínima.</w:t>
      </w:r>
    </w:p>
    <w:p>
      <w:pPr>
        <w:pStyle w:val="Heading2"/>
      </w:pPr>
      <w:r>
        <w:t>29. Privacidad y protección de datos</w:t>
      </w:r>
    </w:p>
    <w:p>
      <w:pPr>
        <w:keepLines w:val="0"/>
        <w:spacing w:after="120" w:line="264" w:lineRule="auto"/>
      </w:pPr>
      <w:r>
        <w:rPr>
          <w:rFonts w:ascii="Calibri" w:hAnsi="Calibri"/>
          <w:i w:val="0"/>
          <w:color w:val="1D2939"/>
          <w:sz w:val="22"/>
        </w:rPr>
        <w:t>El responsable del tratamiento y las bases jurídicas deberán ser definidos con asesoría. El desarrollo incorporará privacidad desde el diseño y un inventario de tratamientos. Las herramientas externas deberán evaluarse por ubicación, subencargados, transferencias y contratos.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00"/>
        <w:gridCol w:w="2400"/>
        <w:gridCol w:w="2300"/>
        <w:gridCol w:w="31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16"/>
              </w:rPr>
              <w:t>Tratamiento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16"/>
              </w:rPr>
              <w:t>Finalidad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16"/>
              </w:rPr>
              <w:t>Base a validar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16"/>
              </w:rPr>
              <w:t>Retención orientativa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6"/>
              </w:rPr>
              <w:t>Cuenta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6"/>
              </w:rPr>
              <w:t>Identificación, acceso y seguridad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6"/>
              </w:rPr>
              <w:t>Contrato/interés legítimo según análisis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6"/>
              </w:rPr>
              <w:t>Vida de cuenta + periodo legal definido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6"/>
              </w:rPr>
              <w:t>Marketing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6"/>
              </w:rPr>
              <w:t>Newsletter y promociones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6"/>
              </w:rPr>
              <w:t>Consentimiento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6"/>
              </w:rPr>
              <w:t>Hasta retirada o inactividad definida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6"/>
              </w:rPr>
              <w:t>Votos/reseñas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6"/>
              </w:rPr>
              <w:t>Integridad de comunidad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6"/>
              </w:rPr>
              <w:t>Contrato/interés legítimo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6"/>
              </w:rPr>
              <w:t>Mientras sean relevantes; anonimización al cerrar cuenta cuando proceda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6"/>
              </w:rPr>
              <w:t>Leads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6"/>
              </w:rPr>
              <w:t>Poner en contacto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6"/>
              </w:rPr>
              <w:t>Consentimiento/medidas precontractuales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6"/>
              </w:rPr>
              <w:t>Plazo corto y documentado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6"/>
              </w:rPr>
              <w:t>Fraude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6"/>
              </w:rPr>
              <w:t>Seguridad y defensa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6"/>
              </w:rPr>
              <w:t>Interés legítimo/obligación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6"/>
              </w:rPr>
              <w:t>Ventana proporcional y restringida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6"/>
              </w:rPr>
              <w:t>Facturación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6"/>
              </w:rPr>
              <w:t>Cobro y contabilidad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6"/>
              </w:rPr>
              <w:t>Contrato/obligación legal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6"/>
              </w:rPr>
              <w:t>Plazos legales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6"/>
              </w:rPr>
              <w:t>Analítica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6"/>
              </w:rPr>
              <w:t>Mejora del producto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6"/>
              </w:rPr>
              <w:t>Consentimiento o modalidad exenta evaluada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6"/>
              </w:rPr>
              <w:t>Configurada por proveedor y propósito</w:t>
            </w:r>
          </w:p>
        </w:tc>
      </w:tr>
    </w:tbl>
    <w:p>
      <w:pPr>
        <w:spacing w:after="80"/>
      </w:pPr>
    </w:p>
    <w:p>
      <w:pPr>
        <w:pStyle w:val="Heading3"/>
      </w:pPr>
      <w:r>
        <w:t>29.1 Derechos y consentimiento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Centro de privacidad con acceso, rectificación, oposición, portabilidad y eliminación.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Registro versionado de avisos, términos y consentimientos; casillas no premarcadas.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Separar comunicaciones esenciales de marketing.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Banner de cookies con rechazo tan accesible como aceptación y categorías granulares.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Bloquear scripts no esenciales hasta decisión válida cuando sea necesario.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Flujo interno para verificar identidad, localizar datos, responder y conservar evidencia.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Evaluar DPIA si el perfilado antifraude, matching u otras funciones elevan el riesgo.</w:t>
      </w:r>
    </w:p>
    <w:p>
      <w:pPr>
        <w:pStyle w:val="Heading2"/>
      </w:pPr>
      <w:r>
        <w:t>30. Publicidad, DSA y transparencia</w:t>
      </w:r>
    </w:p>
    <w:p>
      <w:pPr>
        <w:keepLines w:val="0"/>
        <w:spacing w:after="120" w:line="264" w:lineRule="auto"/>
      </w:pPr>
      <w:r>
        <w:rPr>
          <w:rFonts w:ascii="Calibri" w:hAnsi="Calibri"/>
          <w:i w:val="0"/>
          <w:color w:val="1D2939"/>
          <w:sz w:val="22"/>
        </w:rPr>
        <w:t>Las posiciones pagadas deberán identificarse como publicidad y explicar quién la financia. El Reglamento de Servicios Digitales prohíbe patrones oscuros y exige transparencia publicitaria en servicios dentro de su ámbito. La clasificación jurídica concreta de la plataforma y sus obligaciones debe validarse antes del lanzamiento.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Etiqueta “Patrocinado” persistente, no solo por color.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Nombre del anunciante y enlace a información de campaña cuando corresponda.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Explicar por qué se muestra y distinguirla del ranking comunitario.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Archivo interno de creativo, anunciante, segmentación, fechas, gasto y métricas.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No segmentar publicidad utilizando datos sensibles.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Prohibir afirmaciones engañosas y permitir denuncia.</w:t>
      </w:r>
    </w:p>
    <w:p>
      <w:pPr>
        <w:pStyle w:val="Heading2"/>
      </w:pPr>
      <w:r>
        <w:t>31. Reglamento europeo de IA</w:t>
      </w:r>
    </w:p>
    <w:p>
      <w:pPr>
        <w:keepLines w:val="0"/>
        <w:spacing w:after="120" w:line="264" w:lineRule="auto"/>
      </w:pPr>
      <w:r>
        <w:rPr>
          <w:rFonts w:ascii="Calibri" w:hAnsi="Calibri"/>
          <w:i w:val="0"/>
          <w:color w:val="1D2939"/>
          <w:sz w:val="22"/>
        </w:rPr>
        <w:t>AI Tools Arena no debe presentarse como certificador del cumplimiento del Reglamento de IA. Deberá informar cuándo un contenido se genera o modifica mediante IA si resulta aplicable, documentar el uso interno de IA y exigir declaraciones responsables a proveedores. La Comisión Europea indica que el Reglamento de IA entró en vigor el 1 de agosto de 2024 y que gran parte de sus disposiciones comenzó a aplicarse el 2 de agosto de 2026, con calendarios específicos para ciertas obligaciones.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Inventariar usos propios de IA: moderación asistida, traducción, clasificación, resumen o matching.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Mantener supervisión humana y registrar proveedor, finalidad, datos y limitaciones.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Etiquetar contenido sintético cuando la norma o el riesgo de confusión lo requiera.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No aceptar afirmaciones de cumplimiento sin evidencia y fecha.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Revisar herramientas dirigidas a empleo, crédito, salud u otras áreas sensibles con criterios reforzados.</w:t>
      </w:r>
    </w:p>
    <w:p>
      <w:pPr>
        <w:pStyle w:val="Heading2"/>
      </w:pPr>
      <w:r>
        <w:t>32. Moderación y política de contenidos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17"/>
              </w:rPr>
              <w:t>Categoría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17"/>
              </w:rPr>
              <w:t>Criterio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Permitido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Descripción verificable, demostración, comparación fundamentada, opinión respetuosa y casos autorizados.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Restringido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Afirmaciones de superioridad no demostradas, descuentos con condiciones ocultas, afiliación no declarada.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Prohibido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Malware, fraude, suplantación, odio, acoso, datos personales, copyright ilícito y manipulación de votos.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Revisión reforzada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Salud, finanzas, empleo, menores, biometría, vigilancia, deepfakes y decisiones de alto impacto.</w:t>
            </w:r>
          </w:p>
        </w:tc>
      </w:tr>
    </w:tbl>
    <w:p>
      <w:pPr>
        <w:spacing w:after="80"/>
      </w:pPr>
    </w:p>
    <w:p>
      <w:pPr>
        <w:pStyle w:val="Heading2"/>
      </w:pPr>
      <w:r>
        <w:t>33. Documentación legal requerida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Aviso legal e identificación del prestador.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Términos para usuarios y comunidad.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Condiciones para marcas, suscripciones y campañas.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Condiciones para especialistas y agencias.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Política de privacidad y cookies.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Metodología de ranking y votación.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Política de publicidad y conflictos de interés.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Normas de reseñas y moderación.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Política de propiedad intelectual y retirada.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Política de reembolso, soporte y reclamaciones.</w:t>
      </w:r>
    </w:p>
    <w:p>
      <w:pPr>
        <w:spacing w:before="120" w:after="200" w:line="264" w:lineRule="auto"/>
        <w:ind w:left="202" w:right="144"/>
        <w:shd w:fill="E8F5F6"/>
        <w:pBdr>
          <w:left w:val="single" w:sz="18" w:space="8" w:color="008C95"/>
        </w:pBdr>
      </w:pPr>
      <w:r>
        <w:rPr>
          <w:rFonts w:ascii="Calibri" w:hAnsi="Calibri"/>
          <w:b/>
          <w:color w:val="0B2545"/>
          <w:sz w:val="22"/>
        </w:rPr>
        <w:t xml:space="preserve">Advertencia: </w:t>
      </w:r>
      <w:r>
        <w:rPr>
          <w:rFonts w:ascii="Calibri" w:hAnsi="Calibri"/>
          <w:color w:val="1D2939"/>
          <w:sz w:val="22"/>
        </w:rPr>
        <w:t>Este informe no sustituye asesoramiento jurídico, fiscal, contable ni de protección de datos. La empresa de desarrollo deberá implementar textos y decisiones entregados por los asesores del promotor, no inventarlos.</w:t>
      </w:r>
    </w:p>
    <w:p>
      <w:pPr>
        <w:pStyle w:val="Heading1"/>
      </w:pPr>
      <w:r>
        <w:t>PARTE V. Medición, experiencia y crecimiento</w:t>
      </w:r>
    </w:p>
    <w:p>
      <w:pPr>
        <w:pStyle w:val="Heading2"/>
      </w:pPr>
      <w:r>
        <w:t>34. Taxonomía de eventos analíticos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16"/>
              </w:rPr>
              <w:t>Dominio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16"/>
              </w:rPr>
              <w:t>Eventos mínimos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6"/>
              </w:rPr>
              <w:t>Acquisition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6"/>
              </w:rPr>
              <w:t>page_view, landing_cta_click, signup_started, signup_completed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6"/>
              </w:rPr>
              <w:t>Discovery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6"/>
              </w:rPr>
              <w:t>search_submitted, filter_applied, no_results, tool_card_viewed, comparison_started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6"/>
              </w:rPr>
              <w:t>Tool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6"/>
              </w:rPr>
              <w:t>tool_profile_viewed, outbound_click, demo_requested, coupon_copied, favorite_added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6"/>
              </w:rPr>
              <w:t>Community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6"/>
              </w:rPr>
              <w:t>season_viewed, vote_started, vote_submitted, vote_changed, review_submitted, report_created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6"/>
              </w:rPr>
              <w:t>Brand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6"/>
              </w:rPr>
              <w:t>submission_started, submission_completed, tool_published, report_viewed, export_requested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6"/>
              </w:rPr>
              <w:t>Sponsored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6"/>
              </w:rPr>
              <w:t>campaign_started, checkout_created, payment_confirmed, placement_started, placement_ended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6"/>
              </w:rPr>
              <w:t>Experts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6"/>
              </w:rPr>
              <w:t>expert_viewed, lead_started, lead_submitted, lead_accepted, lead_closed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6"/>
              </w:rPr>
              <w:t>Retention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6"/>
              </w:rPr>
              <w:t>email_clicked, follow_alert_opened, return_visit, subscription_started, subscription_cancelled</w:t>
            </w:r>
          </w:p>
        </w:tc>
      </w:tr>
    </w:tbl>
    <w:p>
      <w:pPr>
        <w:spacing w:after="80"/>
      </w:pPr>
    </w:p>
    <w:p>
      <w:pPr>
        <w:pStyle w:val="Heading3"/>
      </w:pPr>
      <w:r>
        <w:t>34.1 Esquema común de evento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event_id, event_name, occurred_at, received_at y schema_version.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anonymous_id y user_id seudonimizado cuando proceda; no enviar correo en propiedades.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session_id, page/context, source, campaign y locale.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tool_id, season_id, campaign_id o expert_id cuando aplique.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consent_state y environment para excluir pruebas.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Propiedades limitadas y documentadas; no permitir texto libre con PII en analítica.</w:t>
      </w:r>
    </w:p>
    <w:p>
      <w:pPr>
        <w:pStyle w:val="Heading2"/>
      </w:pPr>
      <w:r>
        <w:t>35. KPIs y criterios de validación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17"/>
              </w:rPr>
              <w:t>Área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17"/>
              </w:rPr>
              <w:t>Indicadores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Oferta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Herramientas aprobadas; % perfil completo; tiempo de revisión; herramientas activas.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Demanda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Usuarios registrados; búsquedas; perfiles vistos; clics; retorno semanal.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Comunidad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Votantes válidos; ratio voto/visita; reseñas; participación por temporada.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Comercial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Marcas que pagan; conversión Free-&gt;Pro; ARPA; renovación; patrocinio.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Leads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Solicitudes; cualificación; aceptación; contacto; cierre declarado.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Confianza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Fraude, denuncias, apelaciones, tiempo de resolución y falsos positivos.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Producto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Activación, retención, errores, rendimiento y soporte.</w:t>
            </w:r>
          </w:p>
        </w:tc>
      </w:tr>
    </w:tbl>
    <w:p>
      <w:pPr>
        <w:spacing w:after="80"/>
      </w:pPr>
    </w:p>
    <w:p>
      <w:pPr>
        <w:spacing w:before="120" w:after="200" w:line="264" w:lineRule="auto"/>
        <w:ind w:left="202" w:right="144"/>
        <w:shd w:fill="E8F5F6"/>
        <w:pBdr>
          <w:left w:val="single" w:sz="18" w:space="8" w:color="008C95"/>
        </w:pBdr>
      </w:pPr>
      <w:r>
        <w:rPr>
          <w:rFonts w:ascii="Calibri" w:hAnsi="Calibri"/>
          <w:b/>
          <w:color w:val="0B2545"/>
          <w:sz w:val="22"/>
        </w:rPr>
        <w:t xml:space="preserve">North Star inicial: </w:t>
      </w:r>
      <w:r>
        <w:rPr>
          <w:rFonts w:ascii="Calibri" w:hAnsi="Calibri"/>
          <w:color w:val="1D2939"/>
          <w:sz w:val="22"/>
        </w:rPr>
        <w:t>Número mensual de conexiones útiles atribuibles: prueba/clic cualificado hacia herramienta, solicitud de demo o solicitud de implantación. Definir exactamente antes de medir.</w:t>
      </w:r>
    </w:p>
    <w:p>
      <w:pPr>
        <w:pStyle w:val="Heading3"/>
      </w:pPr>
      <w:r>
        <w:t>35.1 Umbrales internos del piloto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20 conversaciones con marcas, 10 altas y al menos 5 participantes activos.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Al menos 3 marcas que manifiesten disposición real a pagar.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100 usuarios registrados y 500 visitantes acumulados como mínimo operativo, no como prueba definitiva.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Cinco cambios de posición patrocinada o campañas equivalentes durante una temporada.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Al menos una recompra o renovación; idealmente tres clientes recurrentes en 8-12 semanas.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Registro cualitativo de motivos de compra, rechazo y abandono.</w:t>
      </w:r>
    </w:p>
    <w:p>
      <w:pPr>
        <w:pStyle w:val="Heading2"/>
      </w:pPr>
      <w:r>
        <w:t>36. UX y sistema de diseño</w:t>
      </w:r>
    </w:p>
    <w:p>
      <w:pPr>
        <w:keepLines w:val="0"/>
        <w:spacing w:after="120" w:line="264" w:lineRule="auto"/>
      </w:pPr>
      <w:r>
        <w:rPr>
          <w:rFonts w:ascii="Calibri" w:hAnsi="Calibri"/>
          <w:i w:val="0"/>
          <w:color w:val="1D2939"/>
          <w:sz w:val="22"/>
        </w:rPr>
        <w:t>La identidad deberá sentirse tecnológica pero confiable: una “arena” competitiva sin estética de apuestas. Evitar ruletas, luces agresivas, falsos contadores o urgencia manipuladora. El diseño será white/light como base, con modo oscuro opcional posterior.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17"/>
              </w:rPr>
              <w:t>Principio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17"/>
              </w:rPr>
              <w:t>Aplicación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Claridad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Diferenciar orgánico, editorial y patrocinado con texto, iconos y metodología.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Jerarquía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Una acción principal por pantalla; datos secundarios desplegables.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Confianza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Fechas, fuentes, responsables, criterios y estados visibles.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Conversión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CTA adaptada: probar, comparar, votar, solicitar demo o implementar.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Móvil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Votación, filtros, checkout y panel esencial completamente utilizables.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Accesibilidad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Contraste, foco, teclado, etiquetas, errores, reducción de movimiento y lenguaje.</w:t>
            </w:r>
          </w:p>
        </w:tc>
      </w:tr>
    </w:tbl>
    <w:p>
      <w:pPr>
        <w:spacing w:after="80"/>
      </w:pPr>
    </w:p>
    <w:p>
      <w:pPr>
        <w:pStyle w:val="Heading3"/>
      </w:pPr>
      <w:r>
        <w:t>36.1 Componentes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Header, navegación, buscador global y selector de idioma.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Tool Card, Expert Card, Season Card, Sponsored Placement y badge.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Filtros, chips, comparación, puntuación y distribución de votos.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Formularios por pasos con guardado, validación y resumen.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Tablas de administración, estados, timeline y auditoría.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Gráficos accesibles con alternativa textual.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Toast, alertas, confirmaciones y estados vacíos.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Cookie banner, preferencias y avisos legales.</w:t>
      </w:r>
    </w:p>
    <w:p>
      <w:pPr>
        <w:pStyle w:val="Heading2"/>
      </w:pPr>
      <w:r>
        <w:t>37. SEO y contenido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SSR/SSG para perfiles, categorías, comparaciones, temporadas y guías.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Metadatos únicos, canonical, sitemap por tipo, robots y redirecciones.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Datos estructurados pertinentes sin afirmar ratings manipulados ni usar marcado engañoso.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Páginas por problema/sector con valor editorial, no combinaciones automáticas delgadas.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Control de indexación para borradores, filtros y perfiles incompletos.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Open Graph y tarjetas sociales para ganador, destronamiento y perfil.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Rendimiento y estabilidad visual como parte del SEO técnico.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Contenido localizable por idioma con hreflang cuando se expanda.</w:t>
      </w:r>
    </w:p>
    <w:p>
      <w:pPr>
        <w:pStyle w:val="Heading2"/>
      </w:pPr>
      <w:r>
        <w:t>38. Accesibilidad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Objetivo WCAG 2.2 AA y pruebas con teclado/lector en flujos críticos.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HTML semántico, jerarquía de encabezados y landmarks.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Foco visible, orden lógico y modales que gestionen foco.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Errores vinculados a campos, instrucciones y resumen de errores.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Color nunca como único indicador de patrocinio, estado o puntuación.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Texto alternativo y subtítulos/transcripciones para vídeos esenciales.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Controles con tamaño táctil suficiente y soporte de zoom.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Movimiento reducido y temporizadores no esenciales pausables.</w:t>
      </w:r>
    </w:p>
    <w:p>
      <w:pPr>
        <w:pStyle w:val="Heading2"/>
      </w:pPr>
      <w:r>
        <w:t>39. Internacionalización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Todas las cadenas fuera del código y claves estables de traducción.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Locale por URL, selector persistente y fallback.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Formato local de fechas, números, monedas, plural y zona horaria.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Contenido editorial y fichas con traducciones versionadas.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Taxonomía global con etiquetas traducidas y sin duplicar categorías.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Pagos y fiscalidad por país parametrizables.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España primero, siguiente mercado hispanohablante y posteriormente inglés.</w:t>
      </w:r>
    </w:p>
    <w:p>
      <w:r>
        <w:br w:type="page"/>
      </w:r>
    </w:p>
    <w:p>
      <w:pPr>
        <w:pStyle w:val="Heading1"/>
      </w:pPr>
      <w:r>
        <w:t>PARTE VI. Ejecución y contratación</w:t>
      </w:r>
    </w:p>
    <w:p>
      <w:pPr>
        <w:pStyle w:val="Heading2"/>
      </w:pPr>
      <w:r>
        <w:t>40. Fases del proyecto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1800"/>
        <w:gridCol w:w="57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17"/>
              </w:rPr>
              <w:t>Fase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17"/>
              </w:rPr>
              <w:t>Duración orientativa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17"/>
              </w:rPr>
              <w:t>Resultado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0. Descubrimiento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2-3 semanas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Talleres, alcance, riesgos, arquitectura, prototipo y backlog.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1. Validación asistida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2-4 semanas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Landing, formularios, cohortes y operación manual; puede preceder al software.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2. MVP núcleo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8-12 semanas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Cuentas, catálogo, perfiles, votos, temporadas, especialistas, admin y analítica.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3. Monetización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4-6 semanas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Suscripciones, checkout, patrocinio, facturas, reporting y conciliación.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4. Piloto controlado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6-8 semanas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Founding Season, soporte, fraude, medición y correcciones.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5. Escala España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Continuo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SEO, automatización, contenidos, partners y rendimiento.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6. Internacional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Posterior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i18n activa, monedas, mercados, operaciones y reglas por región.</w:t>
            </w:r>
          </w:p>
        </w:tc>
      </w:tr>
    </w:tbl>
    <w:p>
      <w:pPr>
        <w:spacing w:after="80"/>
      </w:pPr>
    </w:p>
    <w:p>
      <w:pPr>
        <w:spacing w:before="120" w:after="200" w:line="264" w:lineRule="auto"/>
        <w:ind w:left="202" w:right="144"/>
        <w:shd w:fill="E8F5F6"/>
        <w:pBdr>
          <w:left w:val="single" w:sz="18" w:space="8" w:color="008C95"/>
        </w:pBdr>
      </w:pPr>
      <w:r>
        <w:rPr>
          <w:rFonts w:ascii="Calibri" w:hAnsi="Calibri"/>
          <w:b/>
          <w:color w:val="0B2545"/>
          <w:sz w:val="22"/>
        </w:rPr>
        <w:t xml:space="preserve">Planificación: </w:t>
      </w:r>
      <w:r>
        <w:rPr>
          <w:rFonts w:ascii="Calibri" w:hAnsi="Calibri"/>
          <w:color w:val="1D2939"/>
          <w:sz w:val="22"/>
        </w:rPr>
        <w:t>Las duraciones no constituyen presupuesto ni compromiso. La empresa deberá estimar después del descubrimiento, señalar dependencias y proponer un MVP cerrado con criterios de aceptación.</w:t>
      </w:r>
    </w:p>
    <w:p>
      <w:pPr>
        <w:pStyle w:val="Heading2"/>
      </w:pPr>
      <w:r>
        <w:t>41. Backlog MoSCoW</w:t>
      </w:r>
    </w:p>
    <w:p>
      <w:pPr>
        <w:pStyle w:val="Heading3"/>
      </w:pPr>
      <w:r>
        <w:t>MUST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Registro, organizaciones y RBAC.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Alta/reclamación y moderación de herramientas.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Directorio, búsqueda y perfiles.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Temporadas, votos y resultados auditables.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Especialistas y solicitudes.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Backoffice y CMS básico.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Analítica de eventos y panel básico.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Privacidad, consentimientos, seguridad y soporte.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i18n preparada.</w:t>
      </w:r>
    </w:p>
    <w:p>
      <w:pPr>
        <w:pStyle w:val="Heading3"/>
      </w:pPr>
      <w:r>
        <w:t>SHOULD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Suscripciones y facturación.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Arena patrocinada automatizada.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Comparador.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Reseñas multidimensionales.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Informes descargables.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Automatización social y email avanzada.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Fraude por puntuación de reglas.</w:t>
      </w:r>
    </w:p>
    <w:p>
      <w:pPr>
        <w:pStyle w:val="Heading3"/>
      </w:pPr>
      <w:r>
        <w:t>COULD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PWA instalable.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Matching asistido por IA.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Programa de afiliados.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API pública.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Marketplace con contratación.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Aplicación móvil.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Gamificación avanzada.</w:t>
      </w:r>
    </w:p>
    <w:p>
      <w:pPr>
        <w:pStyle w:val="Heading2"/>
      </w:pPr>
      <w:r>
        <w:t>42. Entregables exigidos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17"/>
              </w:rPr>
              <w:t>Bloque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17"/>
              </w:rPr>
              <w:t>Entregables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Producto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Código fuente, frontend, backend, base, migraciones, jobs y panel admin.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Diseño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Figma, sistema de diseño, componentes, estados, responsive y prototipo.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Arquitectura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Diagramas, ADR, integraciones, datos, flujos y decisiones.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Calidad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Plan y evidencias de pruebas, accesibilidad, rendimiento y seguridad.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DevOps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CI/CD, IaC cuando aplique, entornos, backups, monitorización y runbooks.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Documentación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README, setup, API, modelo, permisos, operaciones y administración.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Legal técnico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Inventario de cookies/terceros/datos y puntos para textos jurídicos.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Formación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Sesiones grabadas o manuales para administración y soporte.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Transición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Credenciales bajo propiedad del promotor, exportaciones y plan de salida.</w:t>
            </w:r>
          </w:p>
        </w:tc>
      </w:tr>
    </w:tbl>
    <w:p>
      <w:pPr>
        <w:spacing w:after="80"/>
      </w:pPr>
    </w:p>
    <w:p>
      <w:pPr>
        <w:pStyle w:val="Heading2"/>
      </w:pPr>
      <w:r>
        <w:t>43. Propiedad y repositorios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Repositorios y cuentas críticas propiedad del promotor desde el inicio o transferibles sin dependencia.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Código y diseño entregados conforme al contrato, incluyendo derechos de uso y modificación.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Inventario de código abierto y licencias; prohibir componentes incompatibles sin aprobación.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Prohibir incluir claves, datos reales o materiales sin licencia en repositorios.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Backups y exportación documentados; acceso del promotor durante el proyecto.</w:t>
      </w:r>
    </w:p>
    <w:p>
      <w:pPr>
        <w:pStyle w:val="Heading2"/>
      </w:pPr>
      <w:r>
        <w:t>44. Estrategia de pruebas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17"/>
              </w:rPr>
              <w:t>Tipo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17"/>
              </w:rPr>
              <w:t>Cobertura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Unitarias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Reglas de dominio: elegibilidad, estados, puntuación, derechos y precios.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Integración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Base, colas, email, almacenamiento, pagos y webhooks.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API/contrato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Validación, errores, permisos, idempotencia y compatibilidad.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E2E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Alta, publicación, voto, campaña, lead, suscripción, cancelación y moderación.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Seguridad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SAST, dependencias, secretos, DAST y pentest antes de escala.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Carga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Picos de votación, portada, búsqueda, checkout y jobs.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Accesibilidad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Automática y manual con teclado/lector.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Compatibilidad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Navegadores, móvil, email y resolución.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UAT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Escenarios ejecutados por promotor con datos de prueba.</w:t>
            </w:r>
          </w:p>
        </w:tc>
      </w:tr>
    </w:tbl>
    <w:p>
      <w:pPr>
        <w:spacing w:after="80"/>
      </w:pPr>
    </w:p>
    <w:p>
      <w:pPr>
        <w:pStyle w:val="Heading2"/>
      </w:pPr>
      <w:r>
        <w:t>45. Criterios de aceptación por épica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17"/>
              </w:rPr>
              <w:t>Épica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17"/>
              </w:rPr>
              <w:t>Aceptación de alto nivel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Cuenta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Un usuario se registra, verifica, acepta versión legal, recupera acceso y elimina/solicita datos.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Herramienta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Una marca crea borrador, envía, recibe cambios, publica y visualiza analítica sin editar datos comunitarios.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Temporada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Admin configura reglas; usuarios elegibles votan una vez; fraude invalida con auditoría; se cierra y publica ganador reproducible.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Patrocinio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Precio se confirma en servidor; pago idempotente; posición activa correcta; sustitución y reporte consistentes.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Especialista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Publica perfil; empresa envía solicitud consentida; especialista gestiona estado; admin audita.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Privacidad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Scripts no esenciales respetan consentimiento; preferencias cambian; exportación/eliminación se tramitan.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Administración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Roles restringen acciones; cada acción crítica queda registrada; exportaciones funcionan.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Operación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Alertas, backups, restore probado, logs correlacionados y runbook disponibles.</w:t>
            </w:r>
          </w:p>
        </w:tc>
      </w:tr>
    </w:tbl>
    <w:p>
      <w:pPr>
        <w:spacing w:after="80"/>
      </w:pPr>
    </w:p>
    <w:p>
      <w:pPr>
        <w:pStyle w:val="Heading2"/>
      </w:pPr>
      <w:r>
        <w:t>46. Entornos y despliegue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Local reproducible, desarrollo compartido, staging y producción separados.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Datos sintéticos o anonimizados fuera de producción.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CI con lint, tipos, pruebas, build, análisis y artefactos.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Despliegue con aprobación, migraciones seguras, rollback y flags.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Backups automáticos y prueba periódica de restauración.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Monitorización de disponibilidad, errores, colas, pagos, correo, rendimiento y capacidad.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Registro de releases y comunicación de mantenimiento.</w:t>
      </w:r>
    </w:p>
    <w:p>
      <w:pPr>
        <w:pStyle w:val="Heading2"/>
      </w:pPr>
      <w:r>
        <w:t>47. Gobierno del proyecto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17"/>
              </w:rPr>
              <w:t>Responsable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17"/>
              </w:rPr>
              <w:t>Función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Promotor/Product Owner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Prioridades, reglas, validación, proveedores y aceptación.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Project Manager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Plan, riesgos, dependencias, comunicación y presupuesto.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UX/UI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Investigación, arquitectura, prototipos, sistema y pruebas.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Tech Lead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Arquitectura, calidad, seguridad, revisiones y decisiones.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Equipo desarrollo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Frontend, backend, datos, integraciones y pruebas.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QA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Estrategia, automatización, UAT y regresión.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Legal/DPO/asesoría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Bases, contratos, fiscalidad, privacidad y revisión normativa.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Growth/Community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Cohortes, contenidos, marcas, temporadas y soporte.</w:t>
            </w:r>
          </w:p>
        </w:tc>
      </w:tr>
    </w:tbl>
    <w:p>
      <w:pPr>
        <w:spacing w:after="80"/>
      </w:pPr>
    </w:p>
    <w:p>
      <w:pPr>
        <w:pStyle w:val="Heading3"/>
      </w:pPr>
      <w:r>
        <w:t>47.1 Cadencia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Kickoff y talleres de descubrimiento.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Sprint de una o dos semanas con demo y aceptación.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Backlog y criterios accesibles al promotor.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Registro de decisiones arquitectónicas y de producto.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Informe semanal de avance, presupuesto, riesgos, cambios y próximos hitos.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Control formal de cambios para impacto en alcance, plazo y coste.</w:t>
      </w:r>
    </w:p>
    <w:p>
      <w:pPr>
        <w:pStyle w:val="Heading2"/>
      </w:pPr>
      <w:r>
        <w:t>48. Información solicitada en la oferta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17"/>
              </w:rPr>
              <w:t>Sección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17"/>
              </w:rPr>
              <w:t>Contenido mínimo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Comprensión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Resumen del producto, riesgos y supuestos.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Alcance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Incluido, excluido, opciones y criterios de finalización.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Solución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Arquitectura, stack, integraciones, seguridad y escalabilidad.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Equipo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Roles, experiencia, dedicación, ubicación y continuidad.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Plan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Fases, hitos, dependencias, calendario y entregables.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Precio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Por fase/rol; licencias, infraestructura, IVA y contingencia.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Calidad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Pruebas, accesibilidad, rendimiento, seguridad y garantía.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Operación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Soporte, SLA, mantenimiento, actualizaciones y salida.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Referencias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Proyectos comparables, contactos y demostraciones.</w:t>
            </w:r>
          </w:p>
        </w:tc>
      </w:tr>
    </w:tbl>
    <w:p>
      <w:pPr>
        <w:spacing w:after="80"/>
      </w:pPr>
    </w:p>
    <w:p>
      <w:pPr>
        <w:pStyle w:val="Heading2"/>
      </w:pPr>
      <w:r>
        <w:t>49. Estructura de presupuesto requerida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17"/>
              </w:rPr>
              <w:t>Partida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17"/>
              </w:rPr>
              <w:t>Detalle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Descubrimiento y diseño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Horas/precio, entregables, rondas y duración.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MVP funcional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Frontend, backend, admin, QA y gestión.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Pagos/monetización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Integración, fiscalidad técnica y pruebas.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Infraestructura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Setup y coste mensual por escenario.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Terceros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Licencia, unidad, límite y crecimiento.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Soporte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Bolsa, SLA, horario, severidad y exclusiones.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Opcionales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Precio separado y dependencias.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Contingencia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Porcentaje o supuestos cubiertos.</w:t>
            </w:r>
          </w:p>
        </w:tc>
      </w:tr>
    </w:tbl>
    <w:p>
      <w:pPr>
        <w:spacing w:after="80"/>
      </w:pPr>
    </w:p>
    <w:p>
      <w:pPr>
        <w:spacing w:before="120" w:after="200" w:line="264" w:lineRule="auto"/>
        <w:ind w:left="202" w:right="144"/>
        <w:shd w:fill="E8F5F6"/>
        <w:pBdr>
          <w:left w:val="single" w:sz="18" w:space="8" w:color="008C95"/>
        </w:pBdr>
      </w:pPr>
      <w:r>
        <w:rPr>
          <w:rFonts w:ascii="Calibri" w:hAnsi="Calibri"/>
          <w:b/>
          <w:color w:val="0B2545"/>
          <w:sz w:val="22"/>
        </w:rPr>
        <w:t xml:space="preserve">Comparabilidad: </w:t>
      </w:r>
      <w:r>
        <w:rPr>
          <w:rFonts w:ascii="Calibri" w:hAnsi="Calibri"/>
          <w:color w:val="1D2939"/>
          <w:sz w:val="22"/>
        </w:rPr>
        <w:t>No aceptar una cifra global sin desglose por fase, entregables, supuestos, exclusiones, perfiles y costes recurrentes.</w:t>
      </w:r>
    </w:p>
    <w:p>
      <w:pPr>
        <w:pStyle w:val="Heading2"/>
      </w:pPr>
      <w:r>
        <w:t>50. Riesgos principales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700"/>
        <w:gridCol w:w="3000"/>
        <w:gridCol w:w="1500"/>
        <w:gridCol w:w="4160"/>
      </w:tblGrid>
      <w:tr>
        <w:trPr>
          <w:tblHeader w:val="true"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16"/>
              </w:rPr>
              <w:t>ID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16"/>
              </w:rPr>
              <w:t>Riesgo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16"/>
              </w:rPr>
              <w:t>Impacto/Prob.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16"/>
              </w:rPr>
              <w:t>Mitigación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6"/>
              </w:rPr>
              <w:t>R1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6"/>
              </w:rPr>
              <w:t>No existe tráfico suficiente para demostrar valor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6"/>
              </w:rPr>
              <w:t>Alta/Alta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6"/>
              </w:rPr>
              <w:t>Validación manual, cohortes y contenido antes de automatizar.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6"/>
              </w:rPr>
              <w:t>R2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6"/>
              </w:rPr>
              <w:t>Se confunde ranking con pago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6"/>
              </w:rPr>
              <w:t>Alta/Alta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6"/>
              </w:rPr>
              <w:t>Separación visual, metodológica y contractual.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6"/>
              </w:rPr>
              <w:t>R3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6"/>
              </w:rPr>
              <w:t>Fraude de votos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6"/>
              </w:rPr>
              <w:t>Alta/Media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6"/>
              </w:rPr>
              <w:t>Cuenta verificada, reglas, revisión y auditoría.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6"/>
              </w:rPr>
              <w:t>R4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6"/>
              </w:rPr>
              <w:t>Dependencia de marcas para atraer usuarios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6"/>
              </w:rPr>
              <w:t>Media/Alta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6"/>
              </w:rPr>
              <w:t>SEO por problemas, guías, especialistas y newsletter.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6"/>
              </w:rPr>
              <w:t>R5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6"/>
              </w:rPr>
              <w:t>Demasiado alcance inicial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6"/>
              </w:rPr>
              <w:t>Alta/Alta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6"/>
              </w:rPr>
              <w:t>MVP por fases y operación manual.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6"/>
              </w:rPr>
              <w:t>R6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6"/>
              </w:rPr>
              <w:t>Costes de terceros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6"/>
              </w:rPr>
              <w:t>Media/Media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6"/>
              </w:rPr>
              <w:t>Presupuestos por escenario, límites y adaptadores.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6"/>
              </w:rPr>
              <w:t>R7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6"/>
              </w:rPr>
              <w:t>Incumplimiento privacidad/publicidad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6"/>
              </w:rPr>
              <w:t>Alta/Media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6"/>
              </w:rPr>
              <w:t>Asesoría, privacidad por diseño, consentimiento y archivo.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6"/>
              </w:rPr>
              <w:t>R8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6"/>
              </w:rPr>
              <w:t>Disputas por reseñas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6"/>
              </w:rPr>
              <w:t>Alta/Media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6"/>
              </w:rPr>
              <w:t>Política, evidencia, respuesta, denuncia y apelación.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6"/>
              </w:rPr>
              <w:t>R9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6"/>
              </w:rPr>
              <w:t>Baja calidad de especialistas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6"/>
              </w:rPr>
              <w:t>Media/Media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6"/>
              </w:rPr>
              <w:t>Verificación por niveles, casos y feedback.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6"/>
              </w:rPr>
              <w:t>R10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6"/>
              </w:rPr>
              <w:t>Arquitectura sobredimensionada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6"/>
              </w:rPr>
              <w:t>Media/Alta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6"/>
              </w:rPr>
              <w:t>Monolito modular y métricas antes de separar.</w:t>
            </w:r>
          </w:p>
        </w:tc>
      </w:tr>
    </w:tbl>
    <w:p>
      <w:pPr>
        <w:spacing w:after="80"/>
      </w:pPr>
    </w:p>
    <w:p>
      <w:pPr>
        <w:pStyle w:val="Heading1"/>
      </w:pPr>
      <w:r>
        <w:t>ANEXOS</w:t>
      </w:r>
    </w:p>
    <w:p>
      <w:pPr>
        <w:pStyle w:val="Heading2"/>
      </w:pPr>
      <w:r>
        <w:t>Anexo A. Historias de usuario prioritarias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200"/>
        <w:gridCol w:w="8160"/>
      </w:tblGrid>
      <w:tr>
        <w:trPr>
          <w:tblHeader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17"/>
              </w:rPr>
              <w:t>ID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17"/>
              </w:rPr>
              <w:t>Historia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US-001</w:t>
            </w:r>
          </w:p>
        </w:tc>
        <w:tc>
          <w:tcPr>
            <w:tcW w:type="dxa" w:w="8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Como pyme, quiero describir un problema para encontrar herramientas aplicables.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US-002</w:t>
            </w:r>
          </w:p>
        </w:tc>
        <w:tc>
          <w:tcPr>
            <w:tcW w:type="dxa" w:w="8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Como usuario, quiero comparar precio, español, integraciones y dificultad.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US-003</w:t>
            </w:r>
          </w:p>
        </w:tc>
        <w:tc>
          <w:tcPr>
            <w:tcW w:type="dxa" w:w="8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Como comunidad, quiero votar con reglas claras y cambiar mi voto antes del cierre.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US-004</w:t>
            </w:r>
          </w:p>
        </w:tc>
        <w:tc>
          <w:tcPr>
            <w:tcW w:type="dxa" w:w="8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Como usuario, quiero saber si una posición es patrocinada y quién pagó.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US-005</w:t>
            </w:r>
          </w:p>
        </w:tc>
        <w:tc>
          <w:tcPr>
            <w:tcW w:type="dxa" w:w="8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Como marca, quiero reclamar una ficha existente y demostrar propiedad.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US-006</w:t>
            </w:r>
          </w:p>
        </w:tc>
        <w:tc>
          <w:tcPr>
            <w:tcW w:type="dxa" w:w="8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Como marca, quiero participar gratis en la Founding Season y recibir un informe.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US-007</w:t>
            </w:r>
          </w:p>
        </w:tc>
        <w:tc>
          <w:tcPr>
            <w:tcW w:type="dxa" w:w="8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Como marca, quiero contratar una posición y medir el tráfico atribuido.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US-008</w:t>
            </w:r>
          </w:p>
        </w:tc>
        <w:tc>
          <w:tcPr>
            <w:tcW w:type="dxa" w:w="8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Como marca, quiero responder a una reseña sin modificarla.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US-009</w:t>
            </w:r>
          </w:p>
        </w:tc>
        <w:tc>
          <w:tcPr>
            <w:tcW w:type="dxa" w:w="8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Como especialista, quiero mostrar herramientas, sectores y casos.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US-010</w:t>
            </w:r>
          </w:p>
        </w:tc>
        <w:tc>
          <w:tcPr>
            <w:tcW w:type="dxa" w:w="8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Como empresa, quiero solicitar ayuda indicando objetivo, plazo y presupuesto.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US-011</w:t>
            </w:r>
          </w:p>
        </w:tc>
        <w:tc>
          <w:tcPr>
            <w:tcW w:type="dxa" w:w="8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Como moderador, quiero revisar alertas y dejar evidencia de la decisión.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US-012</w:t>
            </w:r>
          </w:p>
        </w:tc>
        <w:tc>
          <w:tcPr>
            <w:tcW w:type="dxa" w:w="8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Como administrador, quiero recalcular un ranking en simulación antes de publicar.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US-013</w:t>
            </w:r>
          </w:p>
        </w:tc>
        <w:tc>
          <w:tcPr>
            <w:tcW w:type="dxa" w:w="8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Como finanzas, quiero reconciliar pagos, campañas y facturas.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US-014</w:t>
            </w:r>
          </w:p>
        </w:tc>
        <w:tc>
          <w:tcPr>
            <w:tcW w:type="dxa" w:w="8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Como usuario, quiero retirar consentimiento y eliminar mi cuenta.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US-015</w:t>
            </w:r>
          </w:p>
        </w:tc>
        <w:tc>
          <w:tcPr>
            <w:tcW w:type="dxa" w:w="8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Como editor, quiero traducir fichas sin duplicar la entidad global.</w:t>
            </w:r>
          </w:p>
        </w:tc>
      </w:tr>
    </w:tbl>
    <w:p>
      <w:pPr>
        <w:spacing w:after="80"/>
      </w:pPr>
    </w:p>
    <w:p>
      <w:pPr>
        <w:pStyle w:val="Heading2"/>
      </w:pPr>
      <w:r>
        <w:t>Anexo B. Matriz resumida de permisos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700"/>
        <w:gridCol w:w="1250"/>
        <w:gridCol w:w="1400"/>
        <w:gridCol w:w="1300"/>
        <w:gridCol w:w="1450"/>
        <w:gridCol w:w="12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15"/>
              </w:rPr>
              <w:t>Acción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15"/>
              </w:rPr>
              <w:t>Visitante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15"/>
              </w:rPr>
              <w:t>Comunidad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15"/>
              </w:rPr>
              <w:t>Marca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15"/>
              </w:rPr>
              <w:t>Especialista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15"/>
              </w:rPr>
              <w:t>Backoffice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5"/>
              </w:rPr>
              <w:t>Ver contenido público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5"/>
              </w:rPr>
              <w:t>Sí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5"/>
              </w:rPr>
              <w:t>Sí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5"/>
              </w:rPr>
              <w:t>Sí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5"/>
              </w:rPr>
              <w:t>Sí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5"/>
              </w:rPr>
              <w:t>Sí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5"/>
              </w:rPr>
              <w:t>Votar/valorar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5"/>
              </w:rPr>
              <w:t>No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5"/>
              </w:rPr>
              <w:t>Sí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5"/>
              </w:rPr>
              <w:t>Sí como persona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5"/>
              </w:rPr>
              <w:t>Sí como persona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5"/>
              </w:rPr>
              <w:t>Moderación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5"/>
              </w:rPr>
              <w:t>Editar herramienta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5"/>
              </w:rPr>
              <w:t>No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5"/>
              </w:rPr>
              <w:t>No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5"/>
              </w:rPr>
              <w:t>Propia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5"/>
              </w:rPr>
              <w:t>No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5"/>
              </w:rPr>
              <w:t>Todas según rol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5"/>
              </w:rPr>
              <w:t>Ver analítica herramienta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5"/>
              </w:rPr>
              <w:t>No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5"/>
              </w:rPr>
              <w:t>No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5"/>
              </w:rPr>
              <w:t>Propia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5"/>
              </w:rPr>
              <w:t>No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5"/>
              </w:rPr>
              <w:t>Sí según rol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5"/>
              </w:rPr>
              <w:t>Gestionar lead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5"/>
              </w:rPr>
              <w:t>No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5"/>
              </w:rPr>
              <w:t>Emisor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5"/>
              </w:rPr>
              <w:t>Receptor si aplica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5"/>
              </w:rPr>
              <w:t>Receptor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5"/>
              </w:rPr>
              <w:t>Sí según rol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5"/>
              </w:rPr>
              <w:t>Configurar temporada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5"/>
              </w:rPr>
              <w:t>No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5"/>
              </w:rPr>
              <w:t>No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5"/>
              </w:rPr>
              <w:t>No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5"/>
              </w:rPr>
              <w:t>No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5"/>
              </w:rPr>
              <w:t>Editor/Admin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5"/>
              </w:rPr>
              <w:t>Reembolsar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5"/>
              </w:rPr>
              <w:t>No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5"/>
              </w:rPr>
              <w:t>No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5"/>
              </w:rPr>
              <w:t>No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5"/>
              </w:rPr>
              <w:t>No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5"/>
              </w:rPr>
              <w:t>Finanzas/Admin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5"/>
              </w:rPr>
              <w:t>Cambiar permisos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5"/>
              </w:rPr>
              <w:t>No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5"/>
              </w:rPr>
              <w:t>No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5"/>
              </w:rPr>
              <w:t>Organización limitada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5"/>
              </w:rPr>
              <w:t>Agencia limitada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5"/>
              </w:rPr>
              <w:t>Admin</w:t>
            </w:r>
          </w:p>
        </w:tc>
      </w:tr>
    </w:tbl>
    <w:p>
      <w:pPr>
        <w:spacing w:after="80"/>
      </w:pPr>
    </w:p>
    <w:p>
      <w:pPr>
        <w:pStyle w:val="Heading2"/>
      </w:pPr>
      <w:r>
        <w:t>Anexo C. Formulario de alta de herramienta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17"/>
              </w:rPr>
              <w:t>Paso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17"/>
              </w:rPr>
              <w:t>Campos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1. Identidad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Nombre, dominio, empresa, país, contacto y rol.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2. Producto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Resumen, descripción, categorías, necesidades y sectores.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3. Acceso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Web/app/API, plataformas, idiomas, demo y prueba.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4. Comercial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Planes, precios, moneda, IVA, descuentos y afiliación.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5. Integraciones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CRM, automatización, comunicación, datos y API.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6. Confianza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Privacidad, DPA, seguridad, alojamiento y soporte.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7. Medios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Logo, capturas, vídeo, alt text y derechos.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8. Declaraciones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Exactitud, derechos, conflictos, publicidad y términos.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9. Revisión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Vista previa, validación, envío y seguimiento.</w:t>
            </w:r>
          </w:p>
        </w:tc>
      </w:tr>
    </w:tbl>
    <w:p>
      <w:pPr>
        <w:spacing w:after="80"/>
      </w:pPr>
    </w:p>
    <w:p>
      <w:pPr>
        <w:pStyle w:val="Heading2"/>
      </w:pPr>
      <w:r>
        <w:t>Anexo D. Matriz de estados principales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17"/>
              </w:rPr>
              <w:t>Entidad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17"/>
              </w:rPr>
              <w:t>Estados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Tool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draft, submitted, needs_changes, under_review, approved, published, suspended, archived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Season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draft, recruitment, open, paused, closed, published, archived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Entry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invited, applied, eligible, rejected, active, withdrawn, disqualified, winner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Campaign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draft, pending_review, awaiting_payment, scheduled, active, completed, dethroned, rejected, refunded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Subscription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trialing, active, past_due, paused, cancelled, expired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Lead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new, reviewed, assigned, accepted, contacted, qualified, won, lost, spam, closed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Moderation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open, triaged, investigating, actioned, rejected, appealed, resolved</w:t>
            </w:r>
          </w:p>
        </w:tc>
      </w:tr>
    </w:tbl>
    <w:p>
      <w:pPr>
        <w:spacing w:after="80"/>
      </w:pPr>
    </w:p>
    <w:p>
      <w:pPr>
        <w:pStyle w:val="Heading2"/>
      </w:pPr>
      <w:r>
        <w:t>Anexo E. Preguntas abiertas para descubrimiento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¿Cuál será la entidad jurídica, datos fiscales y responsable del tratamiento?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¿Se mantiene AI Tools Arena como nombre definitivo y qué dominios/marca están disponibles?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¿Qué cinco categorías y qué cohortes participarán en la primera temporada?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¿Qué significa exactamente “voto verificado” y qué evidencias se solicitarán?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¿Cuál será la fórmula pública inicial y el mínimo de muestra?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¿La primera Arena patrocinada usará incremento, precio fijo o paquetes temporales?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¿Qué política se aplicará si una marca es destronada segundos después de pagar?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¿Qué proveedor de pagos aprueba por escrito el modelo?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¿Se verificará identidad de especialistas y con qué nivel?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¿Quién realizará moderación, soporte, contenidos y ventas durante el piloto?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¿Qué presupuesto máximo y fecha de lanzamiento condicionan el MVP?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¿Qué proveedores y regiones de alojamiento serán aceptables?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¿Qué datos podrán exportar marcas y especialistas?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¿Se permitirá afiliación y cómo se declarará?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¿Qué textos y revisiones entregarán asesoría jurídica y fiscal?</w:t>
      </w:r>
    </w:p>
    <w:p>
      <w:pPr>
        <w:pStyle w:val="Heading2"/>
      </w:pPr>
      <w:r>
        <w:t>Anexo F. Checklist de salida a producción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Dominio, TLS, DNS, remitentes y monitorización configurados.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Backups y restauración probados.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Pruebas UAT, seguridad, accesibilidad, carga y compatibilidad aprobadas.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Textos legales y consentimientos versionados.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Cookies y terceros inventariados; scripts condicionados.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Pagos en producción reconciliados con casos de error y reembolso.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Moderación, soporte, fraude y escalado operativo entrenados.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Alertas y runbooks disponibles; responsables de guardia definidos.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Datos de ejemplo retirados; cuentas admin protegidas por MFA.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Plan de comunicación, Founding Season y participantes confirmados.</w:t>
      </w:r>
    </w:p>
    <w:p>
      <w:pPr>
        <w:pStyle w:val="ATABullet"/>
      </w:pPr>
      <w:r>
        <w:rPr>
          <w:rFonts w:ascii="Calibri" w:hAnsi="Calibri"/>
          <w:color w:val="1D2939"/>
          <w:sz w:val="22"/>
        </w:rPr>
        <w:t>Plan de rollback y criterio go/no-go firmado.</w:t>
      </w:r>
    </w:p>
    <w:p>
      <w:pPr>
        <w:pStyle w:val="Heading2"/>
      </w:pPr>
      <w:r>
        <w:t>Anexo G. Glosario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17"/>
              </w:rPr>
              <w:t>Término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17"/>
              </w:rPr>
              <w:t>Definición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Arena patrocinada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Posición publicitaria temporal y pagada, separada del ranking comunitario.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Community Champion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Herramienta ganadora según metodología y votos válidos.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Founding Season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Cohorte gratuita y limitada utilizada para validar valor y operación.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Entitlement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Derecho funcional derivado de plan, campaña o decisión administrativa.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Herramienta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Producto de IA o automatización publicado en el catálogo.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Especialista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Profesional o agencia que ayuda a evaluar, integrar o mantener herramientas.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Lead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Solicitud consentida de demostración o implantación.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Temporada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Periodo con participantes, reglas, categoría, fórmula y cierre.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Voto válido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Voto que cumple reglas y no ha sido invalidado por fraude o moderación.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Verificación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939"/>
                <w:sz w:val="17"/>
              </w:rPr>
              <w:t>Comprobación limitada de identidad o información; no certificación integral.</w:t>
            </w:r>
          </w:p>
        </w:tc>
      </w:tr>
    </w:tbl>
    <w:p>
      <w:pPr>
        <w:spacing w:after="80"/>
      </w:pPr>
    </w:p>
    <w:p>
      <w:pPr>
        <w:pStyle w:val="Heading2"/>
      </w:pPr>
      <w:r>
        <w:t>Anexo H. Fuentes y referencias</w:t>
      </w:r>
    </w:p>
    <w:p>
      <w:pPr>
        <w:spacing w:after="120"/>
      </w:pPr>
      <w:r>
        <w:rPr>
          <w:rFonts w:ascii="Calibri" w:hAnsi="Calibri"/>
          <w:b/>
          <w:color w:val="1D2939"/>
          <w:sz w:val="22"/>
        </w:rPr>
        <w:t xml:space="preserve">INE - Encuesta TIC y comercio electrónico en empresas: </w:t>
      </w:r>
      <w:hyperlink r:id="rId11">
        <w:r>
          <w:rPr>
            <w:color w:val="2E74B5"/>
            <w:u w:val="single"/>
          </w:rPr>
          <w:t>https://www.ine.es/dyngs/INEbase/es/operacion.htm?c=estadistica_C&amp;cid=1254736176743&amp;idp=1254735576799&amp;menu=ultiDatos</w:t>
        </w:r>
      </w:hyperlink>
    </w:p>
    <w:p>
      <w:pPr>
        <w:spacing w:after="120"/>
      </w:pPr>
      <w:r>
        <w:rPr>
          <w:rFonts w:ascii="Calibri" w:hAnsi="Calibri"/>
          <w:b/>
          <w:color w:val="1D2939"/>
          <w:sz w:val="22"/>
        </w:rPr>
        <w:t xml:space="preserve">Futurepedia - opciones de alta y ficha verificada: </w:t>
      </w:r>
      <w:hyperlink r:id="rId12">
        <w:r>
          <w:rPr>
            <w:color w:val="2E74B5"/>
            <w:u w:val="single"/>
          </w:rPr>
          <w:t>https://www.futurepedia.io/submit-tool</w:t>
        </w:r>
      </w:hyperlink>
    </w:p>
    <w:p>
      <w:pPr>
        <w:spacing w:after="120"/>
      </w:pPr>
      <w:r>
        <w:rPr>
          <w:rFonts w:ascii="Calibri" w:hAnsi="Calibri"/>
          <w:b/>
          <w:color w:val="1D2939"/>
          <w:sz w:val="22"/>
        </w:rPr>
        <w:t xml:space="preserve">Toolify - alta y publicidad de herramientas: </w:t>
      </w:r>
      <w:hyperlink r:id="rId13">
        <w:r>
          <w:rPr>
            <w:color w:val="2E74B5"/>
            <w:u w:val="single"/>
          </w:rPr>
          <w:t>https://www.toolify.ai/submit</w:t>
        </w:r>
      </w:hyperlink>
    </w:p>
    <w:p>
      <w:pPr>
        <w:spacing w:after="120"/>
      </w:pPr>
      <w:r>
        <w:rPr>
          <w:rFonts w:ascii="Calibri" w:hAnsi="Calibri"/>
          <w:b/>
          <w:color w:val="1D2939"/>
          <w:sz w:val="22"/>
        </w:rPr>
        <w:t xml:space="preserve">Comisión Europea - Reglamento de Inteligencia Artificial: </w:t>
      </w:r>
      <w:hyperlink r:id="rId14">
        <w:r>
          <w:rPr>
            <w:color w:val="2E74B5"/>
            <w:u w:val="single"/>
          </w:rPr>
          <w:t>https://digital-strategy.ec.europa.eu/en/policies/regulatory-framework-ai</w:t>
        </w:r>
      </w:hyperlink>
    </w:p>
    <w:p>
      <w:pPr>
        <w:spacing w:after="120"/>
      </w:pPr>
      <w:r>
        <w:rPr>
          <w:rFonts w:ascii="Calibri" w:hAnsi="Calibri"/>
          <w:b/>
          <w:color w:val="1D2939"/>
          <w:sz w:val="22"/>
        </w:rPr>
        <w:t xml:space="preserve">Comisión Europea - Reglamento de Servicios Digitales: </w:t>
      </w:r>
      <w:hyperlink r:id="rId15">
        <w:r>
          <w:rPr>
            <w:color w:val="2E74B5"/>
            <w:u w:val="single"/>
          </w:rPr>
          <w:t>https://digital-strategy.ec.europa.eu/en/policies/digital-services-act</w:t>
        </w:r>
      </w:hyperlink>
    </w:p>
    <w:p>
      <w:pPr>
        <w:spacing w:after="120"/>
      </w:pPr>
      <w:r>
        <w:rPr>
          <w:rFonts w:ascii="Calibri" w:hAnsi="Calibri"/>
          <w:b/>
          <w:color w:val="1D2939"/>
          <w:sz w:val="22"/>
        </w:rPr>
        <w:t xml:space="preserve">AEPD - Guías y herramientas: </w:t>
      </w:r>
      <w:hyperlink r:id="rId16">
        <w:r>
          <w:rPr>
            <w:color w:val="2E74B5"/>
            <w:u w:val="single"/>
          </w:rPr>
          <w:t>https://www.aepd.es/guias-y-herramientas/guias</w:t>
        </w:r>
      </w:hyperlink>
    </w:p>
    <w:p>
      <w:pPr>
        <w:spacing w:after="120"/>
      </w:pPr>
      <w:r>
        <w:rPr>
          <w:rFonts w:ascii="Calibri" w:hAnsi="Calibri"/>
          <w:b/>
          <w:color w:val="1D2939"/>
          <w:sz w:val="22"/>
        </w:rPr>
        <w:t xml:space="preserve">AEPD - consentimiento bajo RGPD: </w:t>
      </w:r>
      <w:hyperlink r:id="rId17">
        <w:r>
          <w:rPr>
            <w:color w:val="2E74B5"/>
            <w:u w:val="single"/>
          </w:rPr>
          <w:t>https://www.aepd.es/preguntas-frecuentes/2-tus-obligaciones-como-responsable-del-tratamiento/5-bases-legitimadoras-del-tratamiento/FAQ-0211-segun-el-rgpd-como-debe-solicitarse-el-consentimiento-de-los-interesados-para-tratar-sus-datos-personales</w:t>
        </w:r>
      </w:hyperlink>
    </w:p>
    <w:p>
      <w:pPr>
        <w:spacing w:before="120" w:after="200" w:line="264" w:lineRule="auto"/>
        <w:ind w:left="202" w:right="144"/>
        <w:shd w:fill="E8F5F6"/>
        <w:pBdr>
          <w:left w:val="single" w:sz="18" w:space="8" w:color="008C95"/>
        </w:pBdr>
      </w:pPr>
      <w:r>
        <w:rPr>
          <w:rFonts w:ascii="Calibri" w:hAnsi="Calibri"/>
          <w:b/>
          <w:color w:val="0B2545"/>
          <w:sz w:val="22"/>
        </w:rPr>
        <w:t xml:space="preserve">Cierre: </w:t>
      </w:r>
      <w:r>
        <w:rPr>
          <w:rFonts w:ascii="Calibri" w:hAnsi="Calibri"/>
          <w:color w:val="1D2939"/>
          <w:sz w:val="22"/>
        </w:rPr>
        <w:t>El propósito de este documento es reducir ambigüedad y permitir una propuesta comparable. La fase de descubrimiento deberá confirmar decisiones abiertas, convertir requisitos en backlog estimado y congelar el alcance del MVP antes de comprometer precio y calendario.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7085"/>
        <w:sz w:val="18"/>
      </w:rPr>
      <w:t xml:space="preserve">Documento de trabajo  |  Pagina </w:t>
    </w:r>
    <w:r>
      <w:rPr>
        <w:rFonts w:ascii="Calibri" w:hAnsi="Calibri"/>
        <w:color w:val="667085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7085"/>
        <w:sz w:val="17"/>
      </w:rPr>
      <w:t>AI TOOLS ARENA  |  ESPECIFICACION TECNICA Y FUNCIONAL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50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</w:pPr>
      <w:rPr>
        <w:rFonts w:ascii="Symbol" w:hAnsi="Symbol"/>
      </w:rPr>
    </w:lvl>
  </w:abstractNum>
  <w:num w:numId="50">
    <w:abstractNumId w:val="50"/>
  </w:num>
  <w:abstractNum w:abstractNumId="51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  <w:rPr>
        <w:rFonts w:ascii="Calibri" w:hAnsi="Calibri"/>
      </w:rPr>
    </w:lvl>
  </w:abstractNum>
  <w:num w:numId="51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1D293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TABullet">
    <w:name w:val="ATA Bullet"/>
    <w:basedOn w:val="Normal"/>
    <w:pPr>
      <w:spacing w:after="160" w:line="280" w:lineRule="auto"/>
      <w:ind w:left="720" w:hanging="360"/>
      <w:numPr>
        <w:ilvl w:val="0"/>
        <w:numId w:val="50"/>
      </w:numPr>
    </w:pPr>
  </w:style>
  <w:style w:type="paragraph" w:customStyle="1" w:styleId="ATANumber">
    <w:name w:val="ATA Number"/>
    <w:basedOn w:val="Normal"/>
    <w:pPr>
      <w:spacing w:after="160" w:line="280" w:lineRule="auto"/>
      <w:ind w:left="720" w:hanging="360"/>
      <w:numPr>
        <w:ilvl w:val="0"/>
        <w:numId w:val="51"/>
      </w:numPr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ine.es/dyngs/INEbase/es/operacion.htm?c=estadistica_C&amp;cid=1254736176743&amp;idp=1254735576799&amp;menu=ultiDatos" TargetMode="External"/><Relationship Id="rId12" Type="http://schemas.openxmlformats.org/officeDocument/2006/relationships/hyperlink" Target="https://www.futurepedia.io/submit-tool" TargetMode="External"/><Relationship Id="rId13" Type="http://schemas.openxmlformats.org/officeDocument/2006/relationships/hyperlink" Target="https://www.toolify.ai/submit" TargetMode="External"/><Relationship Id="rId14" Type="http://schemas.openxmlformats.org/officeDocument/2006/relationships/hyperlink" Target="https://digital-strategy.ec.europa.eu/en/policies/regulatory-framework-ai" TargetMode="External"/><Relationship Id="rId15" Type="http://schemas.openxmlformats.org/officeDocument/2006/relationships/hyperlink" Target="https://digital-strategy.ec.europa.eu/en/policies/digital-services-act" TargetMode="External"/><Relationship Id="rId16" Type="http://schemas.openxmlformats.org/officeDocument/2006/relationships/hyperlink" Target="https://www.aepd.es/guias-y-herramientas/guias" TargetMode="External"/><Relationship Id="rId17" Type="http://schemas.openxmlformats.org/officeDocument/2006/relationships/hyperlink" Target="https://www.aepd.es/preguntas-frecuentes/2-tus-obligaciones-como-responsable-del-tratamiento/5-bases-legitimadoras-del-tratamiento/FAQ-0211-segun-el-rgpd-como-debe-solicitarse-el-consentimiento-de-los-interesados-para-tratar-sus-datos-personal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Tools Arena - Informe técnico-funcional</dc:title>
  <dc:subject>Especificación para diseño, presupuesto e implementación</dc:subject>
  <dc:creator>Promotor de AI Tools Arena</dc:creator>
  <cp:keywords>AI Tools Arena, IA, automatización, directorio, ranking, freemium, MVP, España</cp:keywords>
  <dc:description>Versión 1.0 para solicitud de propuesta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