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160"/>
      </w:pPr>
      <w:r>
        <w:rPr>
          <w:rFonts w:ascii="Calibri" w:hAnsi="Calibri"/>
          <w:b/>
          <w:color w:val="008C95"/>
          <w:sz w:val="20"/>
        </w:rPr>
        <w:t>DOCUMENTO MAESTRO DEL PROYECTO</w:t>
      </w:r>
    </w:p>
    <w:p>
      <w:pPr>
        <w:spacing w:after="120"/>
      </w:pPr>
      <w:r>
        <w:rPr>
          <w:rFonts w:ascii="Calibri" w:hAnsi="Calibri"/>
          <w:b/>
          <w:color w:val="0B2545"/>
          <w:sz w:val="60"/>
        </w:rPr>
        <w:t>AI Tools Arena</w:t>
      </w:r>
    </w:p>
    <w:p>
      <w:pPr>
        <w:spacing w:after="360"/>
      </w:pPr>
      <w:r>
        <w:rPr>
          <w:rFonts w:ascii="Calibri" w:hAnsi="Calibri"/>
          <w:color w:val="1F4D78"/>
          <w:sz w:val="30"/>
        </w:rPr>
        <w:t>Informe técnico-funcional para diseño, presupuesto e implementación desde cero</w:t>
      </w: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Propósito: </w:t>
      </w:r>
      <w:r>
        <w:rPr>
          <w:rFonts w:ascii="Calibri" w:hAnsi="Calibri"/>
          <w:color w:val="1D2939"/>
          <w:sz w:val="22"/>
        </w:rPr>
        <w:t>Definir con suficiente precisión el producto, sus reglas de negocio, experiencia, arquitectura, datos, integraciones, seguridad, fases y criterios de aceptación para que una empresa de desarrollo pueda preparar una propuesta técnica y económica comparable.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20"/>
              </w:rPr>
              <w:t>Campo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20"/>
              </w:rPr>
              <w:t>Definición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Promotor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Juan / entidad jurídica por determinar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Mercado inicial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España; idioma español; arquitectura preparada para internacionalización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Vertical inicial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Agentes de IA y automatización para profesionales, autónomos y pymes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Modelo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Freemium, temporada fundadora gratuita, suscripciones, campañas patrocinadas y directorio de especialistas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Versión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1.0 - documento para solicitud de propuesta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Fecha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26 de agosto de 2026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Estado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20"/>
              </w:rPr>
              <w:t>Borrador avanzado sujeto a validación comercial, jurídica y presupuestaria</w:t>
            </w:r>
          </w:p>
        </w:tc>
      </w:tr>
    </w:tbl>
    <w:p>
      <w:pPr>
        <w:spacing w:after="80"/>
      </w:pPr>
    </w:p>
    <w:p>
      <w:pPr>
        <w:keepLines w:val="0"/>
        <w:spacing w:after="120" w:line="264" w:lineRule="auto"/>
      </w:pPr>
      <w:r>
        <w:rPr>
          <w:rFonts w:ascii="Calibri" w:hAnsi="Calibri"/>
          <w:i/>
          <w:color w:val="667085"/>
          <w:sz w:val="22"/>
        </w:rPr>
        <w:t>Confidencialidad: este documento contiene una propuesta empresarial y especificaciones preliminares. Antes de compartir información sensible adicional, el promotor podrá solicitar un acuerdo de confidencialidad.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00"/>
        <w:gridCol w:w="1500"/>
        <w:gridCol w:w="2500"/>
        <w:gridCol w:w="4360"/>
      </w:tblGrid>
      <w:tr>
        <w:trPr>
          <w:tblHeader w:val="true"/>
        </w:trP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Versión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Fecha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Autor/propietario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Descripción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1.0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26/08/2026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Promotor de AI Tools Arena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Primera especificación integral para solicitar propuesta de desarrollo.</w:t>
            </w:r>
          </w:p>
        </w:tc>
      </w:tr>
    </w:tbl>
    <w:p>
      <w:pPr>
        <w:spacing w:after="80"/>
      </w:pPr>
    </w:p>
    <w:p>
      <w:pPr>
        <w:pStyle w:val="Heading2"/>
      </w:pPr>
      <w:r>
        <w:t>Instrucciones para la empresa ofertante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Identificar claramente qué requisitos se incluyen en el precio fijo, cuáles se consideran opcionales y cuáles requieren descubrimiento adicional.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Proponer alternativas cuando exista una solución más simple o económica, explicando el impacto sobre alcance, plazo, seguridad y escalabilidad.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presuponer que una posición comunitaria puede comprarse: ranking orgánico y publicidad patrocinada son sistemas distintos.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Presentar estimaciones por fase, perfiles asignados, dedicación, calendario, dependencias y condiciones de garantía.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Declarar servicios de terceros, licencias, costes recurrentes y límites de uso previstos.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Señalar cualquier incompatibilidad técnica o jurídica detectada y mantener un registro de supuestos y decisiones.</w:t>
      </w:r>
    </w:p>
    <w:p>
      <w:pPr>
        <w:pStyle w:val="Heading1"/>
      </w:pPr>
      <w:r>
        <w:t>Mapa del documento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00"/>
        <w:gridCol w:w="7960"/>
      </w:tblGrid>
      <w:tr>
        <w:trPr>
          <w:tblHeader w:val="true"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Bloque</w:t>
            </w:r>
          </w:p>
        </w:tc>
        <w:tc>
          <w:tcPr>
            <w:tcW w:type="dxa" w:w="79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Contenido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Parte I</w:t>
            </w:r>
          </w:p>
        </w:tc>
        <w:tc>
          <w:tcPr>
            <w:tcW w:type="dxa" w:w="7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Visión, oportunidad, objetivos, público y modelo de negocio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Parte II</w:t>
            </w:r>
          </w:p>
        </w:tc>
        <w:tc>
          <w:tcPr>
            <w:tcW w:type="dxa" w:w="7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Alcance funcional, roles, experiencia, módulos y reglas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Parte III</w:t>
            </w:r>
          </w:p>
        </w:tc>
        <w:tc>
          <w:tcPr>
            <w:tcW w:type="dxa" w:w="7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Arquitectura, datos, API, integraciones y requisitos no funcionales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Parte IV</w:t>
            </w:r>
          </w:p>
        </w:tc>
        <w:tc>
          <w:tcPr>
            <w:tcW w:type="dxa" w:w="7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Seguridad, privacidad, cumplimiento, moderación y prevención del fraude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Parte V</w:t>
            </w:r>
          </w:p>
        </w:tc>
        <w:tc>
          <w:tcPr>
            <w:tcW w:type="dxa" w:w="7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Analítica, SEO, accesibilidad, notificaciones y operación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Parte VI</w:t>
            </w:r>
          </w:p>
        </w:tc>
        <w:tc>
          <w:tcPr>
            <w:tcW w:type="dxa" w:w="7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Roadmap, pruebas, despliegue, entregables, estimación y aceptación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Anexos</w:t>
            </w:r>
          </w:p>
        </w:tc>
        <w:tc>
          <w:tcPr>
            <w:tcW w:type="dxa" w:w="7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9"/>
              </w:rPr>
              <w:t>Historias de usuario, eventos, estados, formularios, riesgos, decisiones y glosario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Resumen ejecutivo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AI Tools Arena se concibe como una plataforma española de descubrimiento, evaluación y lanzamiento competitivo de agentes de inteligencia artificial y herramientas de automatización. Su diferencia frente a un directorio convencional reside en convertir la visibilidad en un evento recurrente: las herramientas participan en temporadas, reciben votos y valoraciones, generan demostraciones y pueden contratar espacios patrocinados identificados de forma inequívoca.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 producto servirá simultáneamente a tres grupos. Las empresas usuarias encontrarán soluciones aplicables a problemas reales; las marcas y desarrolladores de herramientas obtendrán exposición y datos de mercado; y los especialistas freelance o agencias podrán ofrecer servicios de implantación. El MVP no actuará como pasarela de contratación ni custodiará pagos entre clientes y especialistas: generará solicitudes y permitirá contacto controlado.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Para resolver el problema de arranque sin audiencia, se propone una Founding Season de seis semanas. Entre 20 y 30 herramientas y entre 10 y 15 especialistas accederán gratuitamente a funciones equivalentes a un plan profesional. A cambio, deberán completar su información, facilitar una prueba o demostración, movilizar a su comunidad de forma legítima y aceptar la medición. Al terminar, cada participante recibirá un informe con impresiones, visitas, clics, votos, guardados, valoraciones y oportunidades atribuidas. La conversión a planes de pago dependerá de evidencia, no de promesas.</w:t>
      </w: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Decisión central: </w:t>
      </w:r>
      <w:r>
        <w:rPr>
          <w:rFonts w:ascii="Calibri" w:hAnsi="Calibri"/>
          <w:color w:val="1D2939"/>
          <w:sz w:val="22"/>
        </w:rPr>
        <w:t>El ranking de comunidad se calcula con actividad verificada y nunca se vende. La monetización procede de suscripciones, verificación, campañas, patrocinios y servicios de captación, todos ellos etiquetados como publicidad cuando corresponda.</w:t>
      </w:r>
    </w:p>
    <w:p>
      <w:pPr>
        <w:pStyle w:val="Heading2"/>
      </w:pPr>
      <w:r>
        <w:t>Recomendación de implementación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Construir un monolito modular web responsive, con frontend y backend desacoplables pero desplegables inicialmente como una solución simple. La primera entrega debe privilegiar velocidad de aprendizaje, trazabilidad y seguridad frente a microservicios prematuros. La arquitectura deberá soportar internacionalización, colas de trabajo, analítica por eventos, auditoría y sustitución de proveedores externos.</w:t>
      </w:r>
    </w:p>
    <w:p>
      <w:pPr>
        <w:pStyle w:val="Heading2"/>
      </w:pPr>
      <w:r>
        <w:t>Resultado esperado del MVP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Registrar, verificar y publicar herramientas y especialistas.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Permitir a usuarios descubrir, filtrar, guardar, votar y valorar.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Ejecutar temporadas comunitarias y mostrar resultados transparentes.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Gestionar una posición patrocinada con reglas, pagos y trazabilidad.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Capturar solicitudes de demostración o implantación y atribuirlas.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Entregar paneles de resultados a marcas, especialistas y administración.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Operar contenidos, moderación, fraude, privacidad y soporte desde un backoffice.</w:t>
      </w:r>
    </w:p>
    <w:p>
      <w:pPr>
        <w:pStyle w:val="Heading1"/>
      </w:pPr>
      <w:r>
        <w:t>PARTE I. Definición estratégica</w:t>
      </w:r>
    </w:p>
    <w:p>
      <w:pPr>
        <w:pStyle w:val="Heading2"/>
      </w:pPr>
      <w:r>
        <w:t>1. Visión del producto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Visión: convertirse primero en la plataforma de referencia en España para descubrir agentes de IA y automatizaciones empresariales útiles, verificadas y comprensibles; posteriormente, escalar al mercado hispanohablante y a una edición internacional en inglés.</w:t>
      </w:r>
    </w:p>
    <w:p>
      <w:pPr>
        <w:keepLines w:val="0"/>
        <w:spacing w:after="120" w:line="264" w:lineRule="auto"/>
      </w:pPr>
      <w:r>
        <w:t>Categoría de producto: plataforma internacional de descubrimiento, evaluación y adquisición de herramientas de IA y automatización, con experiencias B2B, B2C y profesionales, además de directorio, comunidad, competición, publicidad, analítica y generación de oportunidades.</w:t>
      </w:r>
    </w:p>
    <w:p>
      <w:pPr>
        <w:pStyle w:val="Heading3"/>
      </w:pPr>
      <w:r>
        <w:t>1.1 Propuesta de valor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3300"/>
        <w:gridCol w:w="441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Segmento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Problema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Propuesta de AI Tools Arena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Pyme o profesional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Exceso de herramientas, dificultad para evaluar encaje, idioma, coste, RGPD e implantación.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Descubrimiento por problema, comparaciones, demostraciones, votos y acceso a especialistas.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Marca de herramienta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Dificultad para entrar en España, conseguir usuarios iniciales y demostrar rendimiento del marketing.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Perfil localizado, temporada de lanzamiento, comunidad, contenido, métricas y campañas medibles.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Freelance/agencia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Falta de visibilidad y de oportunidades cualificadas para implantar soluciones de IA.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Perfil por capacidades, relación con herramientas, casos, solicitudes y reputación.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Administrador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Necesidad de operar un ecosistema confiable y monetizable.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Backoffice, moderación, fraude, pagos, analítica, contenidos y reglas configurables.</w:t>
            </w:r>
          </w:p>
        </w:tc>
      </w:tr>
    </w:tbl>
    <w:p>
      <w:pPr>
        <w:spacing w:after="80"/>
      </w:pPr>
    </w:p>
    <w:p>
      <w:pPr>
        <w:pStyle w:val="Heading3"/>
      </w:pPr>
      <w:r>
        <w:t>1.2 Principios de producto</w:t>
      </w:r>
    </w:p>
    <w:p>
      <w:pPr>
        <w:keepLines w:val="0"/>
        <w:spacing w:after="120" w:line="264" w:lineRule="auto"/>
      </w:pPr>
      <w:r>
        <w:rPr>
          <w:rFonts w:ascii="Calibri" w:hAnsi="Calibri"/>
          <w:b/>
          <w:color w:val="1D2939"/>
          <w:sz w:val="22"/>
        </w:rPr>
        <w:t>Utilidad antes que volumen.</w:t>
      </w:r>
      <w:r>
        <w:rPr>
          <w:rFonts w:ascii="Calibri" w:hAnsi="Calibri"/>
          <w:i w:val="0"/>
          <w:color w:val="1D2939"/>
          <w:sz w:val="22"/>
        </w:rPr>
        <w:t xml:space="preserve"> No maximizar el número de fichas; priorizar herramientas activas, comprensibles y relevantes.</w:t>
      </w:r>
    </w:p>
    <w:p>
      <w:pPr>
        <w:keepLines w:val="0"/>
        <w:spacing w:after="120" w:line="264" w:lineRule="auto"/>
      </w:pPr>
      <w:r>
        <w:rPr>
          <w:rFonts w:ascii="Calibri" w:hAnsi="Calibri"/>
          <w:b/>
          <w:color w:val="1D2939"/>
          <w:sz w:val="22"/>
        </w:rPr>
        <w:t>Transparencia comercial.</w:t>
      </w:r>
      <w:r>
        <w:rPr>
          <w:rFonts w:ascii="Calibri" w:hAnsi="Calibri"/>
          <w:i w:val="0"/>
          <w:color w:val="1D2939"/>
          <w:sz w:val="22"/>
        </w:rPr>
        <w:t xml:space="preserve"> Todo espacio pagado deberá estar etiquetado y mostrar quién lo financia cuando corresponda.</w:t>
      </w:r>
    </w:p>
    <w:p>
      <w:pPr>
        <w:keepLines w:val="0"/>
        <w:spacing w:after="120" w:line="264" w:lineRule="auto"/>
      </w:pPr>
      <w:r>
        <w:rPr>
          <w:rFonts w:ascii="Calibri" w:hAnsi="Calibri"/>
          <w:b/>
          <w:color w:val="1D2939"/>
          <w:sz w:val="22"/>
        </w:rPr>
        <w:t>Ranking no vendible.</w:t>
      </w:r>
      <w:r>
        <w:rPr>
          <w:rFonts w:ascii="Calibri" w:hAnsi="Calibri"/>
          <w:i w:val="0"/>
          <w:color w:val="1D2939"/>
          <w:sz w:val="22"/>
        </w:rPr>
        <w:t xml:space="preserve"> Los votos y la posición orgánica no pueden comprarse ni alterarse manualmente sin auditoría.</w:t>
      </w:r>
    </w:p>
    <w:p>
      <w:pPr>
        <w:keepLines w:val="0"/>
        <w:spacing w:after="120" w:line="264" w:lineRule="auto"/>
      </w:pPr>
      <w:r>
        <w:rPr>
          <w:rFonts w:ascii="Calibri" w:hAnsi="Calibri"/>
          <w:b/>
          <w:color w:val="1D2939"/>
          <w:sz w:val="22"/>
        </w:rPr>
        <w:t>Prueba sobre promesa.</w:t>
      </w:r>
      <w:r>
        <w:rPr>
          <w:rFonts w:ascii="Calibri" w:hAnsi="Calibri"/>
          <w:i w:val="0"/>
          <w:color w:val="1D2939"/>
          <w:sz w:val="22"/>
        </w:rPr>
        <w:t xml:space="preserve"> Las afirmaciones deben apoyarse en demostraciones, fuentes o declaraciones atribuibles al proveedor.</w:t>
      </w:r>
    </w:p>
    <w:p>
      <w:pPr>
        <w:keepLines w:val="0"/>
        <w:spacing w:after="120" w:line="264" w:lineRule="auto"/>
      </w:pPr>
      <w:r>
        <w:rPr>
          <w:rFonts w:ascii="Calibri" w:hAnsi="Calibri"/>
          <w:b/>
          <w:color w:val="1D2939"/>
          <w:sz w:val="22"/>
        </w:rPr>
        <w:t>Privacidad desde el diseño.</w:t>
      </w:r>
      <w:r>
        <w:rPr>
          <w:rFonts w:ascii="Calibri" w:hAnsi="Calibri"/>
          <w:i w:val="0"/>
          <w:color w:val="1D2939"/>
          <w:sz w:val="22"/>
        </w:rPr>
        <w:t xml:space="preserve"> Minimización de datos, consentimiento granular, retención definida y controles de derechos.</w:t>
      </w:r>
    </w:p>
    <w:p>
      <w:pPr>
        <w:keepLines w:val="0"/>
        <w:spacing w:after="120" w:line="264" w:lineRule="auto"/>
      </w:pPr>
      <w:r>
        <w:rPr>
          <w:rFonts w:ascii="Calibri" w:hAnsi="Calibri"/>
          <w:b/>
          <w:color w:val="1D2939"/>
          <w:sz w:val="22"/>
        </w:rPr>
        <w:t>Operación manual asistida.</w:t>
      </w:r>
      <w:r>
        <w:rPr>
          <w:rFonts w:ascii="Calibri" w:hAnsi="Calibri"/>
          <w:i w:val="0"/>
          <w:color w:val="1D2939"/>
          <w:sz w:val="22"/>
        </w:rPr>
        <w:t xml:space="preserve"> El MVP debe permitir revisión humana y automatizar gradualmente los cuellos de botella.</w:t>
      </w:r>
    </w:p>
    <w:p>
      <w:pPr>
        <w:keepLines w:val="0"/>
        <w:spacing w:after="120" w:line="264" w:lineRule="auto"/>
      </w:pPr>
      <w:r>
        <w:rPr>
          <w:rFonts w:ascii="Calibri" w:hAnsi="Calibri"/>
          <w:b/>
          <w:color w:val="1D2939"/>
          <w:sz w:val="22"/>
        </w:rPr>
        <w:t>Internacionalización preparada.</w:t>
      </w:r>
      <w:r>
        <w:rPr>
          <w:rFonts w:ascii="Calibri" w:hAnsi="Calibri"/>
          <w:i w:val="0"/>
          <w:color w:val="1D2939"/>
          <w:sz w:val="22"/>
        </w:rPr>
        <w:t xml:space="preserve"> Textos, monedas, zonas horarias y taxonomías no deben quedar fijados rígidamente a España.</w:t>
      </w:r>
    </w:p>
    <w:p>
      <w:pPr>
        <w:pStyle w:val="Heading2"/>
      </w:pPr>
      <w:r>
        <w:t>2. Objetivos y exclusiones</w:t>
      </w:r>
    </w:p>
    <w:p>
      <w:pPr>
        <w:pStyle w:val="Heading3"/>
      </w:pPr>
      <w:r>
        <w:t>2.1 Objetivos del primer año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Validar disposición de las marcas a pagar por exposición y adquisición en España.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Construir una comunidad capaz de producir votos, valoraciones y señales de intención confiables.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Demostrar que al menos una parte de los participantes gratuitos renueva o compra una campaña.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Crear una base estructurada de herramientas localizadas al mercado español.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Generar oportunidades de implantación para especialistas y agencias.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Establecer procesos reproducibles de alta, revisión, competición, reporte y soporte.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Preparar el producto para expansión hispanohablante sin reescritura fundamental.</w:t>
      </w:r>
    </w:p>
    <w:p>
      <w:pPr>
        <w:pStyle w:val="Heading3"/>
      </w:pPr>
      <w:r>
        <w:t>2.2 Fuera de alcance del MVP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Intermediación contractual o custodia de pagos entre empresas y especialistas.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Marketplace completo con escrow, hitos, disputas y reparto automático de fondos.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Aplicaciones móviles nativas; el producto será web responsive y PWA opcional.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Sistema propio de inteligencia artificial para tomar decisiones empresariales de alto impacto.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Certificación legal o técnica exhaustiva de cada herramienta.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Garantías de resultados, ventas, cumplimiento normativo o ausencia de riesgos.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Ranking basado exclusivamente en cantidad pagada sin etiqueta publicitaria.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Publicidad comportamental basada en categorías sensibles de datos.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Traducción automática masiva sin revisión editorial.</w:t>
      </w:r>
    </w:p>
    <w:p>
      <w:pPr>
        <w:pStyle w:val="Heading2"/>
      </w:pPr>
      <w:r>
        <w:t>3. Mercado inicial y público</w:t>
      </w:r>
    </w:p>
    <w:p>
      <w:pPr>
        <w:keepLines w:val="0"/>
        <w:spacing w:after="120" w:line="264" w:lineRule="auto"/>
      </w:pPr>
      <w:r>
        <w:t>El lanzamiento se enfocará inicialmente en España como mercado de validación. La plataforma atenderá empresas, autónomos, profesionales y usuarios particulares, y deberá poder evolucionar hacia otros mercados e idiomas. Según el INE, en el primer trimestre de 2025 utilizaba IA el 21,1% de las empresas de diez o más empleados y el 13,39% de las empresas de menos de diez empleados. El producto deberá traducir capacidades técnicas a beneficios operativos y personales, sin dirigirse únicamente a usuarios avanzados.</w:t>
      </w:r>
    </w:p>
    <w:p>
      <w:pPr>
        <w:pStyle w:val="Heading3"/>
      </w:pPr>
      <w:r>
        <w:t>3.1 Segmentación y categorías iniciales confirmadas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3100"/>
        <w:gridCol w:w="536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Prioridad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Segmento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Necesidades iniciales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P1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Agencias de marketing, automatización y consultoría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Prospección, contenidos, reporting, CRM, atención y operaciones.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P1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Inmobiliarias y agentes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Captación, seguimiento, anuncios, valoración, documentos y atención.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P1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Profesionales y micropymes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Ahorro de tiempo, correo, documentos, agenda, ventas y soporte.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P2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E-commerce y servicios locales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Atención, catálogo, campañas, reseñas, analítica y fidelización.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P2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Pymes de 10-249 empleados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Integraciones, gobierno, seguridad, implantación y soporte.</w:t>
            </w:r>
          </w:p>
        </w:tc>
      </w:tr>
    </w:tbl>
    <w:p>
      <w:pPr>
        <w:spacing w:after="80"/>
      </w:pPr>
    </w:p>
    <w:p>
      <w:pPr/>
      <w:r>
        <w:t>La primera Founding Season priorizará las tres primeras categorías, con sectores y casos de uso más específicos gestionados inicialmente mediante etiquetas.</w:t>
      </w:r>
    </w:p>
    <w:p>
      <w:pPr/>
      <w:r>
        <w:t>Desarrollo, datos y tecnología. Incluye programación, testing, análisis de datos, bases de datos, documentación técnica y creación de aplicaciones.</w:t>
      </w:r>
    </w:p>
    <w:p>
      <w:pPr/>
      <w:r>
        <w:t>Ventas, atención al cliente y operaciones. Incluye chatbots, CRM, captación, soporte, correo comercial y procesos operativos.</w:t>
      </w:r>
    </w:p>
    <w:p>
      <w:pPr/>
      <w:r>
        <w:t>Automatización, agentes e integraciones. Incluye workflows, agentes, RPA, integraciones, APIs y tareas repetitivas.</w:t>
      </w:r>
    </w:p>
    <w:p>
      <w:pPr/>
      <w:r>
        <w:t>Contenido, marketing y creatividad. Incluye texto, imagen, vídeo, audio, diseño, redes sociales y presentaciones.</w:t>
      </w:r>
    </w:p>
    <w:p>
      <w:pPr/>
      <w:r>
        <w:t>Productividad y conocimiento. Incluye documentos, búsqueda, investigación, reuniones, notas y escritura.</w:t>
      </w:r>
    </w:p>
    <w:p>
      <w:pPr>
        <w:pStyle w:val="Heading3"/>
      </w:pPr>
      <w:r>
        <w:t>3.2 Oferta elegible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SaaS de agentes de IA, automatización, atención, ventas, marketing, documentos y productividad.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Herramientas españolas o extranjeras con uso razonable desde España.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Soluciones con web operativa, responsable identificable y condiciones accesibles.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Productos B2B, B2C profesional o API, gratuitos, freemium o de pago.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Integradores, consultores, freelancers y agencias con experiencia demostrable.</w:t>
      </w:r>
    </w:p>
    <w:p>
      <w:pPr>
        <w:pStyle w:val="Heading2"/>
      </w:pPr>
      <w:r>
        <w:t>4. Modelo de negocio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 modelo combinará recurrencia y campañas. El plan gratuito garantiza amplitud y renovación del catálogo; los planes profesionales monetizan datos, presentación y captación; la Arena patrocinada monetiza atención concentrada; y el directorio de especialistas monetiza visibilidad y oportunidades.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200"/>
        <w:gridCol w:w="2100"/>
        <w:gridCol w:w="3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Línea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Cliente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Cobro inicial orientativo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Momento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Ficha Free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0 EUR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Permanente, sujeta a actividad y moderación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 herramienta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Marca/desarrollador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29 EUR/mes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Tras temporada fundadora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Growth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Marca con adquisición activa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79 EUR/mes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Cuando existan datos y leads suficientes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Arena patrocinada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Marca aprobada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Desde 19 EUR en piloto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Por conquista/campaña; fuera de suscripción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Patrocinio de categoría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Marca o partner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Desde 499 EUR/semana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Fase de tracción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Especialista Pro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Freelance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19 EUR/mes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Tras validación de demanda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Agencia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Agencia/consultora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49 EUR/mes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Tras validación de demanda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Lead/servicio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Especialista o herramienta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Por definir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No incluido inicialmente</w:t>
            </w:r>
          </w:p>
        </w:tc>
      </w:tr>
    </w:tbl>
    <w:p>
      <w:pPr>
        <w:spacing w:after="80"/>
      </w:pP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Nota comercial: </w:t>
      </w:r>
      <w:r>
        <w:rPr>
          <w:rFonts w:ascii="Calibri" w:hAnsi="Calibri"/>
          <w:color w:val="1D2939"/>
          <w:sz w:val="22"/>
        </w:rPr>
        <w:t>Los precios son hipótesis de validación, deben administrarse desde configuración y no quedar embebidos en el código. La facturación y fiscalidad requieren revisión profesional.</w:t>
      </w:r>
    </w:p>
    <w:p>
      <w:pPr>
        <w:pStyle w:val="Heading3"/>
      </w:pPr>
      <w:r>
        <w:t>4.1 Founding Season gratuita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Programa limitado de seis semanas para cohortes seleccionadas. No se configurará como prueba automática abierta e indefinida. La administración invitará o aprobará participantes y asignará fecha de inicio, fecha de fin, beneficios, obligaciones y estado de conversión.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Cohorte objetivo: 20-30 herramientas y 10-15 especialistas.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Beneficios: perfil completo, verificación provisional, una participación, analítica, publicaciones y reporte.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Obligaciones: datos completos, enlace funcional, respuesta a incidencias, participación y cumplimiento de reglas.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Conversión: oferta fundadora opcional, sin renovación automática salvo consentimiento contractual explícito.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Resultado: informe individual y entrevista de cierre con motivos de compra o rechazo.</w:t>
      </w:r>
    </w:p>
    <w:p>
      <w:r>
        <w:br w:type="page"/>
      </w:r>
    </w:p>
    <w:p>
      <w:pPr>
        <w:pStyle w:val="Heading1"/>
      </w:pPr>
      <w:r>
        <w:t>PARTE II. Alcance funcional</w:t>
      </w:r>
    </w:p>
    <w:p>
      <w:pPr>
        <w:pStyle w:val="Heading2"/>
      </w:pPr>
      <w:r>
        <w:t>5. Roles y permisos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Rol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Capacidades principales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Visitante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Navegar, buscar, ver perfiles y contenidos públicos; sin votar ni valorar.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Usuario comunidad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Guardar, votar, valorar, denunciar, seguir categorías y gestionar consentimientos.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Representante de herramienta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Crear/reclamar herramienta, editar borrador, ver analítica, responder y contratar.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Especialista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Gestionar perfil profesional, capacidades, herramientas, casos, disponibilidad y solicitudes.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Agencia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Gestionar organización, miembros, especialistas, servicios y solicitudes.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Moderador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Revisar contenidos, votos, reseñas, denuncias y evidencias sin acceso financiero total.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Editor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Gestionar taxonomías, contenidos, colecciones, temporadas y comunicaciones.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Finanzas/soporte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Consultar clientes, pagos, facturas, reembolsos y casos de soporte autorizados.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Administrador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Configuración global, permisos, fraude, campañas, auditoría e integraciones.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Superadministrador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Acceso excepcional a seguridad, permisos y acciones críticas con registro reforzado.</w:t>
            </w:r>
          </w:p>
        </w:tc>
      </w:tr>
    </w:tbl>
    <w:p>
      <w:pPr>
        <w:spacing w:after="80"/>
      </w:pPr>
    </w:p>
    <w:p>
      <w:pPr>
        <w:pStyle w:val="Heading3"/>
      </w:pPr>
      <w:r>
        <w:t>5.1 Reglas RBAC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Aplicar mínimo privilegio y separar administración editorial, financiera y de seguridad.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Impedir que una marca modifique directamente puntuaciones, estados de verificación o datos atribuidos a terceros.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Registrar actor, acción, entidad, valores relevantes, fecha, IP resumida y motivo en acciones sensibles.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Exigir autenticación reforzada a administradores y recuperación segura de cuenta.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Permitir invitación y revocación de miembros de una organización.</w:t>
      </w:r>
    </w:p>
    <w:p>
      <w:pPr>
        <w:pStyle w:val="Heading2"/>
      </w:pPr>
      <w:r>
        <w:t>6. Arquitectura de información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Área pública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Contenido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Inicio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Trono patrocinado, campeón comunitario, temporada activa, categorías, novedades y CTA.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Explorar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Buscador, filtros, listados, colecciones y comparaciones.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Herramientas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Fichas, demostraciones, precios, integraciones, reseñas, datos para España y CTA.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Arena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Reglas, temporada, participantes, clasificación, historial y patrocinio.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Especialistas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Directorio, filtros, perfiles, casos y solicitud de ayuda.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Recursos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Guías, casos de uso, comparativas, noticias y newsletter.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Confianza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Metodología, publicidad, moderación, privacidad, términos y contacto.</w:t>
            </w:r>
          </w:p>
        </w:tc>
      </w:tr>
    </w:tbl>
    <w:p>
      <w:pPr>
        <w:spacing w:after="80"/>
      </w:pPr>
    </w:p>
    <w:p>
      <w:pPr>
        <w:pStyle w:val="Heading2"/>
      </w:pPr>
      <w:r>
        <w:t>7. Recorridos prioritarios</w:t>
      </w:r>
    </w:p>
    <w:p>
      <w:pPr>
        <w:pStyle w:val="Heading3"/>
      </w:pPr>
      <w:r>
        <w:t>Empresa busca solución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Problema -&gt; búsqueda guiada -&gt; filtros -&gt; perfil -&gt; comparación -&gt; prueba -&gt; especialista o demo -&gt; seguimiento.</w:t>
      </w:r>
    </w:p>
    <w:p>
      <w:pPr>
        <w:pStyle w:val="Heading3"/>
      </w:pPr>
      <w:r>
        <w:t>Marca solicita alta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Cuenta -&gt; organización -&gt; ficha -&gt; evidencias -&gt; revisión -&gt; publicación -&gt; temporada -&gt; analítica -&gt; conversión.</w:t>
      </w:r>
    </w:p>
    <w:p>
      <w:pPr>
        <w:pStyle w:val="Heading3"/>
      </w:pPr>
      <w:r>
        <w:t>Comunidad vota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Registro/verificación -&gt; explorar temporada -&gt; confirmar experiencia -&gt; votar -&gt; motivo opcional -&gt; control antifraude -&gt; resultado.</w:t>
      </w:r>
    </w:p>
    <w:p>
      <w:pPr>
        <w:pStyle w:val="Heading3"/>
      </w:pPr>
      <w:r>
        <w:t>Marca conquista patrocinio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Elegibilidad -&gt; importe -&gt; vista previa -&gt; aceptación -&gt; pago -&gt; activación -&gt; medición -&gt; finalización/reemplazo -&gt; informe.</w:t>
      </w:r>
    </w:p>
    <w:p>
      <w:pPr>
        <w:pStyle w:val="Heading3"/>
      </w:pPr>
      <w:r>
        <w:t>Especialista recibe oportunidad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Perfil -&gt; herramientas/casos -&gt; solicitud -&gt; aceptación o rechazo -&gt; contacto -&gt; cierre manual -&gt; valoración posterior.</w:t>
      </w:r>
    </w:p>
    <w:p>
      <w:pPr>
        <w:pStyle w:val="Heading3"/>
      </w:pPr>
      <w:r>
        <w:t>Moderación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Alerta/denuncia -&gt; priorización -&gt; evidencia -&gt; decisión -&gt; notificación -&gt; apelación -&gt; auditoría.</w:t>
      </w:r>
    </w:p>
    <w:p>
      <w:pPr>
        <w:pStyle w:val="Heading2"/>
      </w:pPr>
      <w:r>
        <w:t>8. Módulo de autenticación y cuentas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0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ID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Requisito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AUTH-001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Registro por correo con verificación y aceptación versionada de términos.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AUTH-002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Inicio de sesión seguro, cierre de sesiones y recuperación de contraseña.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AUTH-003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OAuth opcional con proveedores aprobados, sin hacerlo requisito.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AUTH-004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Autenticación multifactor obligatoria para administración y opcional para usuarios.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AUTH-005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Cuenta personal separada de organización; un usuario puede pertenecer a varias organizaciones.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AUTH-006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Gestión de perfil, idioma, comunicaciones, consentimientos, exportación y eliminación.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AUTH-007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Rate limiting, protección de formularios y detección de credenciales comprometidas cuando el proveedor lo permita.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AUTH-008</w:t>
            </w:r>
          </w:p>
        </w:tc>
        <w:tc>
          <w:tcPr>
            <w:tcW w:type="dxa" w:w="8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Bloqueo, suspensión temporal, cierre administrativo y registro de causa.</w:t>
            </w:r>
          </w:p>
        </w:tc>
      </w:tr>
    </w:tbl>
    <w:p>
      <w:pPr>
        <w:spacing w:after="80"/>
      </w:pPr>
    </w:p>
    <w:p>
      <w:pPr>
        <w:pStyle w:val="Heading2"/>
      </w:pPr>
      <w:r>
        <w:t>9. Herramientas: alta, reclamación y perfil</w:t>
      </w:r>
    </w:p>
    <w:p>
      <w:pPr>
        <w:pStyle w:val="Heading3"/>
      </w:pPr>
      <w:r>
        <w:t>9.1 Estados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draft -&gt; submitted -&gt; needs_changes -&gt; under_review -&gt; approved -&gt; published -&gt; suspended -&gt; archived. Los cambios de estado deben quedar auditados y generar notificaciones configurables.</w:t>
      </w:r>
    </w:p>
    <w:p>
      <w:pPr>
        <w:pStyle w:val="Heading3"/>
      </w:pPr>
      <w:r>
        <w:t>9.2 Campos mínimos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Grupo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Campos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Identidad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Nombre, slug, logo, empresa, dominio, país, fecha de lanzamiento, responsable.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Propuesta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Resumen corto, descripción, problemas resueltos, sectores, público y diferenciadores.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Producto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Categorías, modalidades, plataformas, API, integraciones, idiomas y capturas.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Comercial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Precios, moneda, prueba gratuita, descuentos, afiliación y URL atribuible.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España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Interfaz/soporte en español, IVA/factura, alojamiento, DPA y declaración RGPD.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Confianza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Términos, privacidad, seguridad, datos tratados, estado operativo y evidencias.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Contenido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Vídeo, demo, casos, guías, preguntas frecuentes y cambios.</w:t>
            </w:r>
          </w:p>
        </w:tc>
      </w:tr>
    </w:tbl>
    <w:p>
      <w:pPr>
        <w:spacing w:after="80"/>
      </w:pPr>
    </w:p>
    <w:p>
      <w:pPr>
        <w:pStyle w:val="Heading3"/>
      </w:pPr>
      <w:r>
        <w:t>9.3 Reglas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Un dominio principal no debe producir duplicados; la administración puede fusionar fichas.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Reclamar una ficha exige correo corporativo o evidencia alternativa revisada.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Los cambios en nombre, dominio, precio o afirmaciones sensibles pueden volver a revisión.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La ficha indicará fecha de última comprobación y origen de la información.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Una herramienta inactiva o insegura puede suspenderse sin eliminar el historial público necesario.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La verificación significa identidad/información revisada, no garantía de calidad ni cumplimiento.</w:t>
      </w:r>
    </w:p>
    <w:p>
      <w:pPr>
        <w:pStyle w:val="Heading2"/>
      </w:pPr>
      <w:r>
        <w:t>10. Buscador, filtros y comparación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Búsqueda por nombre, necesidad, sector, función, integración y texto estructurado.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Sinónimos en español y normalización de términos: chatbot/agente/asistente; CRM/gestión comercial.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Filtros combinables: precio, prueba, idioma, soporte, dificultad, plataforma, API, integraciones, verificación y valoración.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Orden por relevancia, novedad, comunidad, popularidad y patrocinio claramente identificado.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Comparar entre dos y cuatro herramientas mediante atributos equivalentes y fuentes fechadas.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URLs indexables para categorías relevantes; combinaciones arbitrarias no deben crear contenido SEO duplicado.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Registro de búsquedas sin resultados para orientar catálogo y contenidos, respetando privacidad.</w:t>
      </w:r>
    </w:p>
    <w:p>
      <w:pPr>
        <w:pStyle w:val="Heading2"/>
      </w:pPr>
      <w:r>
        <w:t>11. Comunidad, votos y valoraciones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 voto es una señal de preferencia dentro de una temporada. La valoración expresa experiencia en dimensiones concretas. Ambos objetos se almacenan por separado. El sistema mostrará reglas, tamaño de muestra y posibles limitaciones; no presentará diferencias mínimas como conclusiones definitivas.</w:t>
      </w:r>
    </w:p>
    <w:p>
      <w:pPr>
        <w:pStyle w:val="Heading3"/>
      </w:pPr>
      <w:r>
        <w:t>11.1 Votación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Solo usuarios con correo verificado.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Un voto activo por usuario y categoría/temporada, modificable hasta el cierre; conservar historial de cambios para fraude.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La administración puede invalidar votos con motivo, regla detectada y auditoría.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La marca puede compartir un enlace de campaña, pero no ofrecer contraprestación prohibida por votar.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El recuento público puede retrasarse o mostrarse agregado para reducir manipulación.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Empates: mayor número de valoraciones verificadas, después mayor diversidad de votantes y, finalmente, fecha más temprana de participación; reglas configurables.</w:t>
      </w:r>
    </w:p>
    <w:p>
      <w:pPr>
        <w:pStyle w:val="Heading3"/>
      </w:pPr>
      <w:r>
        <w:t>11.2 Valoraciones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500"/>
        <w:gridCol w:w="60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Dimensión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Escala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Pregunta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Facilidad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1-5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¿Se puede empezar sin conocimientos avanzados?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Resultado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1-5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¿La salida cumple la tarea anunciada?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Calidad-precio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1-5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¿El valor percibido corresponde al coste?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Español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1-5/No aplica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¿Interfaz y soporte son adecuados?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Integración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1-5/No aplica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¿Conecta con el entorno de trabajo?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Recomendación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0-10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¿La recomendaría para el caso declarado?</w:t>
            </w:r>
          </w:p>
        </w:tc>
      </w:tr>
    </w:tbl>
    <w:p>
      <w:pPr>
        <w:spacing w:after="80"/>
      </w:pPr>
    </w:p>
    <w:p>
      <w:pPr>
        <w:pStyle w:val="ATABullet"/>
      </w:pPr>
      <w:r>
        <w:rPr>
          <w:rFonts w:ascii="Calibri" w:hAnsi="Calibri"/>
          <w:color w:val="1D2939"/>
          <w:sz w:val="22"/>
        </w:rPr>
        <w:t>Solicitar relación del usuario con la herramienta: la ha probado, es cliente, es empleado/partner o solo la conoce.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Mostrar conflictos declarados y excluir empleados del cálculo público cuando la metodología lo determine.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Moderación previa o posterior según riesgo; bloqueo de insultos, datos personales y afirmaciones no verificables.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Derecho de respuesta de la marca sin poder editar la opinión.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Proceso de denuncia y apelación con plazos internos definidos.</w:t>
      </w:r>
    </w:p>
    <w:p>
      <w:pPr>
        <w:pStyle w:val="Heading2"/>
      </w:pPr>
      <w:r>
        <w:t>12. Ranking comunitario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La primera versión debe utilizar una fórmula simple, explicable y configurable. No se recomienda entrenar un modelo opaco. La puntuación mostrada puede combinar votos válidos, calidad de valoraciones, actividad y factor temporal, pero el ganador de cada temporada deberá poder reconstruirse desde eventos auditados.</w:t>
      </w: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Fórmula inicial sugerida: </w:t>
      </w:r>
      <w:r>
        <w:rPr>
          <w:rFonts w:ascii="Calibri" w:hAnsi="Calibri"/>
          <w:color w:val="1D2939"/>
          <w:sz w:val="22"/>
        </w:rPr>
        <w:t>Puntuación = votos válidos normalizados por categoría + componente limitado de valoraciones verificadas. Aplicar un mínimo de muestra y no mezclar clics pagados con preferencia comunitaria. Cualquier ponderación deberá publicarse en lenguaje comprensible.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Guardar la versión de la fórmula aplicada a cada temporada.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Permitir recalcular en modo simulación antes de publicar cambios.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Distinguir ranking de temporada, histórico, tendencia y selección editorial.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permitir edición directa de puntos; solo invalidación de eventos o nueva versión de cálculo.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Publicar fecha de actualización y número de votos válidos.</w:t>
      </w:r>
    </w:p>
    <w:p>
      <w:pPr>
        <w:pStyle w:val="Heading2"/>
      </w:pPr>
      <w:r>
        <w:t>13. Arena patrocinada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La Arena patrocinada es inventario publicitario, no una subasta de calidad. Solo participan herramientas aprobadas. La interfaz deberá mostrar “Patrocinado”, anunciante, vigencia y motivo de visualización. Durante el piloto, el administrador podrá elegir precio fijo, incremento o campaña programada.</w:t>
      </w:r>
    </w:p>
    <w:p>
      <w:pPr>
        <w:pStyle w:val="Heading3"/>
      </w:pPr>
      <w:r>
        <w:t>13.1 Máquina de estados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eligible -&gt; draft_campaign -&gt; pending_review -&gt; awaiting_payment -&gt; scheduled -&gt; active -&gt; dethroned/completed -&gt; reporting -&gt; archived; con cancelled, rejected, payment_failed y refunded como excepciones.</w:t>
      </w:r>
    </w:p>
    <w:p>
      <w:pPr>
        <w:pStyle w:val="Heading3"/>
      </w:pPr>
      <w:r>
        <w:t>13.2 Reglas del piloto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Regla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Definición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Precio inicial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19 EUR, configurable por temporada.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Incremento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5 EUR o porcentaje configurable; mostrar total antes de pagar.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Duración máxima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Hasta fin de temporada; la duración mínima no se garantiza salvo paquete específico.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Activación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Tras pago confirmado y revisión del material.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Sustitución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La campaña anterior finaliza al activarse otra válida; registrar segundos de exposición.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Reembolso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Reglas contractuales; fallos técnicos materiales deben poder compensarse o reprogramarse.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Métricas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Impresiones válidas, vistas, clics, conversiones atribuidas, tiempo y fuente.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Límites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Topes por cuenta/temporada, geografía y categoría configurables.</w:t>
            </w:r>
          </w:p>
        </w:tc>
      </w:tr>
    </w:tbl>
    <w:p>
      <w:pPr>
        <w:spacing w:after="80"/>
      </w:pPr>
    </w:p>
    <w:p>
      <w:pPr>
        <w:pStyle w:val="Heading3"/>
      </w:pPr>
      <w:r>
        <w:t>13.3 Concurrencia de pagos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Reservar el importe/posición durante un periodo breve con transacción o bloqueo distribuido.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Confirmar el precio vigente en servidor inmediatamente antes de crear el pago.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Procesar webhooks de forma idempotente y no confiar en el retorno del navegador.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Si dos pagos compiten, activar únicamente el primero que cumpla reglas; cancelar o devolver el otro según condiciones visibles.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actualizar la portada hasta tener estado de pago y campaña consistentes.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Registrar cada transición y permitir reconciliación financiera.</w:t>
      </w:r>
    </w:p>
    <w:p>
      <w:pPr>
        <w:pStyle w:val="Heading2"/>
      </w:pPr>
      <w:r>
        <w:t>14. Suscripciones y facturación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Catálogo de planes, precios, impuestos, moneda, periodicidad, prueba y promociones configurable.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Alta, cambio, cancelación, reactivación, impago, periodo de gracia y cierre de beneficios.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Portal de cliente para método de pago, facturas y datos fiscales.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Webhooks firmados, idempotencia y reconciliación diaria de eventos críticos.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activar renovación de Founding Season sin consentimiento explícito y registro.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Separar derechos de suscripción de derechos comprados por campaña.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Exportación contable y soporte de factura conforme a la solución fiscal elegida.</w:t>
      </w:r>
    </w:p>
    <w:p>
      <w:pPr>
        <w:pStyle w:val="Heading2"/>
      </w:pPr>
      <w:r>
        <w:t>15. Directorio de especialistas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 MVP incluirá descubrimiento y solicitud, no contratación cerrada. El objetivo es comprobar si las empresas que descubren herramientas necesitan implantación y qué perfiles resuelven esa demanda.</w:t>
      </w:r>
    </w:p>
    <w:p>
      <w:pPr>
        <w:pStyle w:val="Heading3"/>
      </w:pPr>
      <w:r>
        <w:t>15.1 Perfil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Identidad profesional o agencia, ubicación, remoto/presencial e idiomas.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Servicios, sectores, herramientas, plataformas, certificaciones y nivel declarado.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Tarifa orientativa o modalidad de presupuesto, sin obligación de precio público.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Casos de éxito con aprobación del cliente y ocultación de datos sensibles.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Disponibilidad, zona horaria, tamaño de proyecto y tiempo de respuesta.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Relación con herramientas: independiente, partner declarado o certificado verificable.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Valoraciones de clientes, moderadas y vinculadas a una interacción identificable cuando sea posible.</w:t>
      </w:r>
    </w:p>
    <w:p>
      <w:pPr>
        <w:pStyle w:val="Heading3"/>
      </w:pPr>
      <w:r>
        <w:t>15.2 Solicitud de ayuda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Campo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Contenido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Problema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Descripción y objetivo esperado.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Contexto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Sector, tamaño, herramientas existentes y nivel técnico.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Alcance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Asesoría, configuración, integración, formación o mantenimiento.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Presupuesto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Rango opcional, no cantidad obligatoria.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Plazo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Urgente, 30 días, 90 días o flexible.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Contacto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Datos mínimos, consentimiento y canal preferido.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Asignación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Especialista elegido o matching manual por administración.</w:t>
            </w:r>
          </w:p>
        </w:tc>
      </w:tr>
    </w:tbl>
    <w:p>
      <w:pPr>
        <w:spacing w:after="80"/>
      </w:pPr>
    </w:p>
    <w:p>
      <w:pPr>
        <w:pStyle w:val="ATABullet"/>
      </w:pPr>
      <w:r>
        <w:rPr>
          <w:rFonts w:ascii="Calibri" w:hAnsi="Calibri"/>
          <w:color w:val="1D2939"/>
          <w:sz w:val="22"/>
        </w:rPr>
        <w:t>Mostrar antes del envío quién recibirá los datos.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revelar datos de contacto a terceros no autorizados.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Permitir aceptar, rechazar, marcar no cualificado, contactar y cerrar.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Registrar resultado declarado sin afirmar que la plataforma verificó el contrato.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Añadir mecanismos contra spam y límite de solicitudes.</w:t>
      </w:r>
    </w:p>
    <w:p>
      <w:pPr>
        <w:pStyle w:val="Heading2"/>
      </w:pPr>
      <w:r>
        <w:t>16. Analítica y paneles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Panel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8"/>
              </w:rPr>
              <w:t>Métricas y acciones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Marca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Impresiones, perfil, clics, guardados, votos, reseñas, conversiones, campañas, fuentes y exportación.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Especialista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Vistas, clics, solicitudes, aceptación, respuesta, resultados declarados y perfil.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Usuario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Guardados, votos, reseñas, seguimientos, privacidad y comunicaciones.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Administrador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8"/>
              </w:rPr>
              <w:t>Adquisición, activación, cohortes, fraude, contenido, ingresos, churn, embudo, soporte y salud.</w:t>
            </w:r>
          </w:p>
        </w:tc>
      </w:tr>
    </w:tbl>
    <w:p>
      <w:pPr>
        <w:spacing w:after="80"/>
      </w:pP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Cada gráfico deberá indicar intervalo, zona horaria, definición, filtros y fecha de actualización. Las cifras de analítica de producto no tienen por qué coincidir con facturación; ambas fuentes deben reconciliarse mediante identificadores y eventos.</w:t>
      </w:r>
    </w:p>
    <w:p>
      <w:pPr>
        <w:pStyle w:val="Heading2"/>
      </w:pPr>
      <w:r>
        <w:t>17. Notificaciones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Grupo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Eventos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Regla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Cuenta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Verificación, recuperación, invitación y seguridad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Transaccional; no desactivable cuando sea esencial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Revisión, cambios, publicación y suspensión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Transaccional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Arena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Inicio, activación, destronamiento, cierre e informe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Transaccional/campaña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Comunidad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Temporadas, seguidos y resultados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Preferencias del usuario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Especialistas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Nueva solicitud, recordatorio, cierre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Transaccional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Marketing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Newsletter y promociones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Consentimiento independiente</w:t>
            </w:r>
          </w:p>
        </w:tc>
      </w:tr>
    </w:tbl>
    <w:p>
      <w:pPr>
        <w:spacing w:after="80"/>
      </w:pPr>
    </w:p>
    <w:p>
      <w:pPr>
        <w:pStyle w:val="ATABullet"/>
      </w:pPr>
      <w:r>
        <w:rPr>
          <w:rFonts w:ascii="Calibri" w:hAnsi="Calibri"/>
          <w:color w:val="1D2939"/>
          <w:sz w:val="22"/>
        </w:rPr>
        <w:t>Plantillas editables, versionadas y localizadas.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Cola de envío, reintentos, rebotes, quejas, supresión y trazabilidad.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Preferencias por categoría y canal; centro de notificaciones en web en fase posterior.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incluir datos sensibles o credenciales en correos.</w:t>
      </w:r>
    </w:p>
    <w:p>
      <w:pPr>
        <w:pStyle w:val="Heading2"/>
      </w:pPr>
      <w:r>
        <w:t>18. Backoffice y CMS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Dashboard de trabajo: colas de revisión, denuncias, fraude, pagos fallidos y soporte.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CRUD de herramientas, especialistas, categorías, integraciones, sectores y etiquetas.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Gestión de temporadas, participantes, reglas, precios, estados, ganadores y publicaciones.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Moderación de votos, reseñas, comentarios, casos, logos, vídeos y enlaces.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Gestión de usuarios, organizaciones, roles, consentimientos y solicitudes de derechos.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Gestión de planes, cupones, campañas, facturas, reembolsos y conciliación.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CMS para páginas, guías, preguntas frecuentes, banners, navegación y SEO.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Configuración de textos legales versionados, países, monedas, idiomas y zonas horarias.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Auditoría, exportaciones, flags de funcionalidad y modo de mantenimiento.</w:t>
      </w:r>
    </w:p>
    <w:p>
      <w:pPr>
        <w:pStyle w:val="Heading2"/>
      </w:pPr>
      <w:r>
        <w:t>19. Soporte, denuncias y apelaciones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 producto deberá ofrecer formularios estructurados y un sistema de casos, aunque inicialmente pueda integrarse con una herramienta externa. Cada caso tendrá categoría, prioridad, entidad afectada, evidencia, responsable, SLA interno, decisión y comunicaciones. Las acciones de moderación deben permitir apelación y revisión por una persona distinta cuando sea viable.</w:t>
      </w:r>
    </w:p>
    <w:p>
      <w:pPr>
        <w:pStyle w:val="Heading1"/>
      </w:pPr>
      <w:r>
        <w:t>PARTE III. Diseño técnico</w:t>
      </w:r>
    </w:p>
    <w:p>
      <w:pPr>
        <w:pStyle w:val="Heading2"/>
      </w:pPr>
      <w:r>
        <w:t>20. Enfoque arquitectónico</w:t>
      </w: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Recomendación: </w:t>
      </w:r>
      <w:r>
        <w:rPr>
          <w:rFonts w:ascii="Calibri" w:hAnsi="Calibri"/>
          <w:color w:val="1D2939"/>
          <w:sz w:val="22"/>
        </w:rPr>
        <w:t>Monolito modular en TypeScript con límites de dominio claros, API versionada, PostgreSQL y procesos asíncronos. Separar servicios solo cuando una necesidad medida lo justifique.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Capa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Recomendación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Responsabilidad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Frontend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Next.js o equivalente SSR/SSG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Experiencia web, SEO, paneles, i18n y accesibilidad.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Backend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NestJS o módulos de servidor equivalentes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Reglas, API, autenticación, pagos, moderación y trabajos.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Datos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PostgreSQL gestionado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Datos transaccionales, relaciones, búsquedas iniciales y auditoría.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Cache/colas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Redis gestionado o servicio compatible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Rate limit, locks, sesiones opcionales, tareas y notificaciones.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Objetos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S3 compatible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Logos, capturas, documentos y exportaciones.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Búsqueda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PostgreSQL FTS inicialmente; motor dedicado después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Texto, filtros y relevancia.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CDN/WAF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Proveedor gestionado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Cache, TLS, protección y distribución.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Observabilidad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Errores, logs, métricas y trazas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Diagnóstico, alertas y capacidad.</w:t>
            </w:r>
          </w:p>
        </w:tc>
      </w:tr>
    </w:tbl>
    <w:p>
      <w:pPr>
        <w:spacing w:after="80"/>
      </w:pPr>
    </w:p>
    <w:p>
      <w:pPr>
        <w:pStyle w:val="Heading3"/>
      </w:pPr>
      <w:r>
        <w:t>20.1 Dominios lógicos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Identity &amp; Access, Organizations, Catalog, Taxonomy, Community, Seasons, Sponsored Arena, Billing, Experts &amp; Leads, Content, Moderation, Notifications, Analytics, Administration, Audit &amp; Compliance.</w:t>
      </w:r>
    </w:p>
    <w:p>
      <w:pPr>
        <w:pStyle w:val="Heading3"/>
      </w:pPr>
      <w:r>
        <w:t>20.2 Principios técnicos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Contratos de API explícitos y documentación OpenAPI.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Configuración por entorno y secretos fuera del repositorio.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Idempotencia en pagos, notificaciones, importaciones y eventos críticos.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UTC en almacenamiento; zona horaria de negocio configurable para temporadas.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Soft delete solo donde exista necesidad de recuperación; anonimización real para derechos cuando corresponda.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Feature flags para Founding Season, pagos, rankings y nuevas geografías.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Outbox/eventos fiables para tareas asíncronas que no deben perderse.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Dependencias externas encapsuladas detrás de adaptadores sustituibles.</w:t>
      </w:r>
    </w:p>
    <w:p>
      <w:pPr>
        <w:pStyle w:val="Heading2"/>
      </w:pPr>
      <w:r>
        <w:t>21. Modelo de datos conceptual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Entidad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Responsabilidad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User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Cuenta, estado, idioma, zona, seguridad y preferencias.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Organization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Empresa, fiscalidad, miembros, roles y propiedad de activos.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Tool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Producto, dominio, empresa, estado, slug y visibilidad.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ToolVersion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Cambios de ficha, fuente, aprobación y vigencia.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Category/Tag/UseCase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Taxonomía jerárquica y traducciones.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Integration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Servicios con los que conecta una herramienta.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ToolClaim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Solicitud de propiedad y evidencia.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Verification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Tipo, evidencia, revisor, resultado y caducidad.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Season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Categoría, reglas, fechas, fórmula, estado y ganadores.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SeasonEntry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Herramienta, elegibilidad, estado, invitación y métricas.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Vote/VoteEvent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Elección actual, historial, validación y señales de fraude.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Review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Puntuaciones, relación, texto, moderación y respuesta.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SponsoredCampaign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Creativo, reglas, pago, periodo, estado y rendimiento.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Bid/PlacementEvent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Importe, secuencia, posición y transiciones.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Plan/Subscription/Entitlement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Producto comercial, contrato y derechos.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Payment/Invoice/Refund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Referencias del proveedor y conciliación.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ExpertProfile/AgencyProfile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Servicios, herramientas, casos, disponibilidad y verificación.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Lead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Necesidad, consentimiento, asignación, estado y resultado.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Favorite/Follow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Interés del usuario y alertas.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ContentItem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Guías, colecciones, páginas y SEO.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Report/ModerationCase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Denuncia, evidencia, decisión y apelación.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Consent/LegalAcceptance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Texto, versión, base, fecha y prueba.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AnalyticsEvent/Aggregate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Evento seudonimizado y métricas agregadas.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AuditLog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Acción sensible, actor, entidad, cambios y razón.</w:t>
            </w:r>
          </w:p>
        </w:tc>
      </w:tr>
    </w:tbl>
    <w:p>
      <w:pPr>
        <w:spacing w:after="80"/>
      </w:pPr>
    </w:p>
    <w:p>
      <w:pPr>
        <w:pStyle w:val="Heading3"/>
      </w:pPr>
      <w:r>
        <w:t>21.1 Convenciones de datos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Identificadores UUID/ULID; claves externas separadas de IDs de proveedor.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created_at, updated_at y, cuando proceda, deleted_at; timestamps UTC.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Slugs únicos por idioma o estrategia definida; redirecciones permanentes al modificarlos.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Campos monetarios en unidad menor e ISO 4217; nunca float.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Estados como enums controlados y transiciones en servicio de dominio.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Metadatos flexibles solo para extensibilidad; evitar trasladar el modelo principal a JSON sin control.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Índices para estado, publicación, categoría, organización, fechas, fraude y búsquedas.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Particionado o archivo de eventos cuando volumen y retención lo justifiquen.</w:t>
      </w:r>
    </w:p>
    <w:p>
      <w:pPr>
        <w:pStyle w:val="Heading2"/>
      </w:pPr>
      <w:r>
        <w:t>22. API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API REST bajo /api/v1, autenticación por sesión segura o tokens de corta duración según cliente. Documentación OpenAPI generada y versionada. Los endpoints administrativos estarán separados y protegidos por RBAC. GraphQL no es necesario para el MVP salvo justificación.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Dominio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Rutas orientativas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Uso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Identity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/auth, /users, /organizations, /memberships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Cuenta, sesiones y miembros.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Catalog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/tools, /categories, /use-cases, /integrations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Exploración y fichas.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Submission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/tool-submissions, /claims, /verifications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Alta y revisión.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Community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/seasons, /entries, /votes, /reviews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Competición orgánica.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Sponsored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/campaigns, /placements, /checkout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Publicidad y pagos.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Experts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/experts, /agencies, /leads, /cases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Implantación y solicitudes.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Billing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/plans, /subscriptions, /invoices, /webhooks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Ingresos y derechos.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Content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/content, /collections, /search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CMS y descubrimiento.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Admin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/admin/*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Operación y configuración.</w:t>
            </w:r>
          </w:p>
        </w:tc>
      </w:tr>
    </w:tbl>
    <w:p>
      <w:pPr>
        <w:spacing w:after="80"/>
      </w:pPr>
    </w:p>
    <w:p>
      <w:pPr>
        <w:pStyle w:val="Heading3"/>
      </w:pPr>
      <w:r>
        <w:t>22.1 Requisitos transversales de API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Validación de entrada, límites de tamaño, listas permitidas y saneamiento contextual.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Paginación por cursor en listados de crecimiento; filtros declarados.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Códigos de error estables, correlation_id y mensajes seguros.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Rate limiting por IP, cuenta, organización y endpoint según riesgo.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Idempotency-Key para checkout, reembolsos, leads y operaciones repetibles.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Autorización por recurso, no solo por ruta.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ETag/Last-Modified o estrategia de cache para contenido público.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Versionado compatible y política de deprecación.</w:t>
      </w:r>
    </w:p>
    <w:p>
      <w:pPr>
        <w:pStyle w:val="Heading2"/>
      </w:pPr>
      <w:r>
        <w:t>23. Integraciones externas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2700"/>
        <w:gridCol w:w="51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Área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Opción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Requisito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Pagos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Stripe u otro proveedor aprobado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Suscripciones, cobros, impuestos/facturas según alcance. Confirmar aceptación del modelo.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Correo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Resend, Postmark o equivalente UE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Transaccional, plantillas, rebotes y supresión.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Analítica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PostHog EU o solución equivalente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Eventos, embudos, cohortes y flags con consentimiento.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Errores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Sentry o equivalente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Excepciones, rendimiento y releases; filtrar datos personales.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Almacenamiento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S3 compatible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Activos con escaneo y URLs firmadas.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Captcha/bot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Proveedor con privacidad evaluada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Registro, voto, formularios y fraude.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Social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APIs de LinkedIn/X cuando sea viable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Publicación asistida; permitir operación manual si cambian políticas.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CRM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HubSpot/Brevo u otro en fase posterior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Cohortes, ventas y soporte, con consentimiento.</w:t>
            </w:r>
          </w:p>
        </w:tc>
      </w:tr>
    </w:tbl>
    <w:p>
      <w:pPr>
        <w:spacing w:after="80"/>
      </w:pP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Condición: </w:t>
      </w:r>
      <w:r>
        <w:rPr>
          <w:rFonts w:ascii="Calibri" w:hAnsi="Calibri"/>
          <w:color w:val="1D2939"/>
          <w:sz w:val="22"/>
        </w:rPr>
        <w:t>La empresa ofertante debe indicar región de datos, subencargados, costes, límites, retención, exportabilidad y plan de sustitución de cada servicio.</w:t>
      </w:r>
    </w:p>
    <w:p>
      <w:pPr>
        <w:pStyle w:val="Heading2"/>
      </w:pPr>
      <w:r>
        <w:t>24. Requisitos no funcionales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ID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Criterio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NFR-001 Disponibilidad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Objetivo inicial 99,5% mensual, excluyendo mantenimiento comunicado; medir antes de comprometer SLA comercial.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NFR-002 Rendimiento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LCP público objetivo &lt;=2,5 s p75 en móvil; API p95 &lt;=500 ms en lecturas comunes, sin contar terceros.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NFR-003 Capacidad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Diseñar piloto para 100.000 perfiles públicos/mes, 10.000 usuarios registrados y picos de votación; validar en carga.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NFR-004 Escalabilidad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Escalado horizontal del frontend/API y trabajos; evitar estado local no replicable.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NFR-005 Recuperación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RPO inicial &lt;=24 h y RTO &lt;=8 h; mejorar antes de operaciones críticas mayores.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NFR-006 Compatibilidad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Últimas dos versiones estables de navegadores principales; móvil Android/iOS mediante web responsive.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NFR-007 Accesibilidad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Objetivo WCAG 2.2 AA en flujos principales.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NFR-008 Mantenibilidad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Tipado, lint, pruebas, ADR, documentación y dependencias actualizadas.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NFR-009 Observabilidad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Logs estructurados, métricas, errores, trazas críticas, dashboards y alertas accionables.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NFR-010 Portabilidad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Exportación de datos y activos; infraestructura reproducible; no dependencia irreversible.</w:t>
            </w:r>
          </w:p>
        </w:tc>
      </w:tr>
    </w:tbl>
    <w:p>
      <w:pPr>
        <w:spacing w:after="80"/>
      </w:pPr>
    </w:p>
    <w:p>
      <w:pPr>
        <w:pStyle w:val="Heading2"/>
      </w:pPr>
      <w:r>
        <w:t>25. Caché y consistencia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Contenido público cacheable con invalidación por publicación o TTL corto.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Rankings y posiciones patrocinadas requieren fuente transaccional y caché derivada; no decidir ganadores desde caché.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Los contadores públicos pueden ser eventualmente consistentes y mostrar hora de actualización.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Pagos, votos, permisos y estados deben aplicar transacciones y constraints únicos.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Usar locks con vencimiento solo donde proceda; las restricciones de base de datos siguen siendo defensa final.</w:t>
      </w:r>
    </w:p>
    <w:p>
      <w:pPr>
        <w:pStyle w:val="Heading2"/>
      </w:pPr>
      <w:r>
        <w:t>26. Gestión de archivos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Tipos permitidos y tamaños configurables; rechazar ejecutables y dobles extensiones.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Escaneo antivirus/malware antes de publicar cuando el flujo admita archivos.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Procesado de imagen para formatos web, dimensiones y metadatos; conservar original solo si es necesario.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URLs firmadas para privados y CDN para públicos.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Política de copyright: el usuario declara derechos; proceso de retirada.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Alt text obligatorio o sugerido para imágenes relevantes.</w:t>
      </w:r>
    </w:p>
    <w:p>
      <w:pPr>
        <w:pStyle w:val="Heading1"/>
      </w:pPr>
      <w:r>
        <w:t>PARTE IV. Confianza, seguridad y cumplimiento</w:t>
      </w:r>
    </w:p>
    <w:p>
      <w:pPr>
        <w:pStyle w:val="Heading2"/>
      </w:pPr>
      <w:r>
        <w:t>27. Seguridad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La empresa deberá realizar modelado de amenazas antes de cerrar arquitectura y actualizarlo al introducir pagos, marketplace o IA generativa. Como mínimo deberá contemplar abuso de cuentas, manipulación de votos, secuestro de organizaciones, inyección de contenido, fraude de pagos, filtración de leads y privilegios administrativos.</w:t>
      </w:r>
    </w:p>
    <w:p>
      <w:pPr>
        <w:pStyle w:val="Heading3"/>
      </w:pPr>
      <w:r>
        <w:t>27.1 Controles mínimos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Área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Controles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Identidad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Hash de contraseñas robusto, MFA admin, sesiones revocables, alertas y recuperación segura.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Aplicación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Validación, encoding, CSRF, CSP, cabeceras, CORS restrictivo, SSRF y subida segura.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Datos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TLS, cifrado gestionado, secretos seguros, acceso mínimo, backups cifrados y logs sin PII innecesaria.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Infraestructura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WAF/CDN, parches, separación de entornos, IAM, inventario y revisión de configuración.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Desarrollo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Code review, SAST, dependencias, secret scanning, pruebas y control de releases.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Operación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Alertas, plan de incidentes, evidencias, contactos, simulacro y comunicación de brechas.</w:t>
            </w:r>
          </w:p>
        </w:tc>
      </w:tr>
    </w:tbl>
    <w:p>
      <w:pPr>
        <w:spacing w:after="80"/>
      </w:pPr>
    </w:p>
    <w:p>
      <w:pPr>
        <w:pStyle w:val="Heading3"/>
      </w:pPr>
      <w:r>
        <w:t>27.2 Acciones críticas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Reembolso, cambio de ganador, invalidación masiva, cambio de propietario, exportación y suplantación administrativa requieren motivo y auditoría.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Confirmación adicional para eliminar, suspender o cambiar permisos de administrador.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permitir acceso directo de soporte a contraseñas, tokens o métodos de pago.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Sesiones administrativas cortas y acceso condicionado cuando el proveedor lo permita.</w:t>
      </w:r>
    </w:p>
    <w:p>
      <w:pPr>
        <w:pStyle w:val="Heading2"/>
      </w:pPr>
      <w:r>
        <w:t>28. Prevención de fraude y manipulación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Superficie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Señales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Votos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Cuentas coordinadas, correos desechables, velocidad, IP/dispositivo, patrones y relación con marca.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Reseñas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Duplicados, lenguaje promocional, conflictos no declarados, difamación y datos personales.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Campañas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Tarjetas robadas, chargebacks, autocobro, creativos engañosos y redirecciones.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Suplantación, dominios nuevos, malware, promesas falsas y productos desaparecidos.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Especialistas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Identidad falsa, certificaciones inventadas, spam y captación abusiva.</w:t>
            </w:r>
          </w:p>
        </w:tc>
      </w:tr>
    </w:tbl>
    <w:p>
      <w:pPr>
        <w:spacing w:after="80"/>
      </w:pP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 motor inicial será basado en reglas con puntuación de riesgo. Resultado: permitir, desafiar, retener para revisión o bloquear. No utilizar decisiones automáticas irreversibles sin revisión y vía de recurso. Guardar versión de regla y evidencia mínima.</w:t>
      </w:r>
    </w:p>
    <w:p>
      <w:pPr>
        <w:pStyle w:val="Heading2"/>
      </w:pPr>
      <w:r>
        <w:t>29. Privacidad y protección de datos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El responsable del tratamiento y las bases jurídicas deberán ser definidos con asesoría. El desarrollo incorporará privacidad desde el diseño y un inventario de tratamientos. Las herramientas externas deberán evaluarse por ubicación, subencargados, transferencias y contratos.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2400"/>
        <w:gridCol w:w="2300"/>
        <w:gridCol w:w="31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Tratamiento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Finalidad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Base a validar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Retención orientativa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Cuenta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Identificación, acceso y seguridad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Contrato/interés legítimo según análisis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Vida de cuenta + periodo legal definido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Marketing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Newsletter y promociones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Consentimiento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Hasta retirada o inactividad definida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Votos/reseñas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Integridad de comunidad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Contrato/interés legítimo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Mientras sean relevantes; anonimización al cerrar cuenta cuando proceda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Leads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Poner en contacto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Consentimiento/medidas precontractuales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Plazo corto y documentado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Fraude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Seguridad y defensa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Interés legítimo/obligación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Ventana proporcional y restringida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Facturación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Cobro y contabilidad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Contrato/obligación legal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Plazos legales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Analítica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Mejora del producto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Consentimiento o modalidad exenta evaluada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Configurada por proveedor y propósito</w:t>
            </w:r>
          </w:p>
        </w:tc>
      </w:tr>
    </w:tbl>
    <w:p>
      <w:pPr>
        <w:spacing w:after="80"/>
      </w:pPr>
    </w:p>
    <w:p>
      <w:pPr>
        <w:pStyle w:val="Heading3"/>
      </w:pPr>
      <w:r>
        <w:t>29.1 Derechos y consentimiento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Centro de privacidad con acceso, rectificación, oposición, portabilidad y eliminación.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Registro versionado de avisos, términos y consentimientos; casillas no premarcadas.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Separar comunicaciones esenciales de marketing.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Banner de cookies con rechazo tan accesible como aceptación y categorías granulares.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Bloquear scripts no esenciales hasta decisión válida cuando sea necesario.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Flujo interno para verificar identidad, localizar datos, responder y conservar evidencia.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Evaluar DPIA si el perfilado antifraude, matching u otras funciones elevan el riesgo.</w:t>
      </w:r>
    </w:p>
    <w:p>
      <w:pPr>
        <w:pStyle w:val="Heading2"/>
      </w:pPr>
      <w:r>
        <w:t>30. Publicidad, DSA y transparencia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Las posiciones pagadas deberán identificarse como publicidad y explicar quién la financia. El Reglamento de Servicios Digitales prohíbe patrones oscuros y exige transparencia publicitaria en servicios dentro de su ámbito. La clasificación jurídica concreta de la plataforma y sus obligaciones debe validarse antes del lanzamiento.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Etiqueta “Patrocinado” persistente, no solo por color.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Nombre del anunciante y enlace a información de campaña cuando corresponda.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Explicar por qué se muestra y distinguirla del ranking comunitario.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Archivo interno de creativo, anunciante, segmentación, fechas, gasto y métricas.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segmentar publicidad utilizando datos sensibles.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Prohibir afirmaciones engañosas y permitir denuncia.</w:t>
      </w:r>
    </w:p>
    <w:p>
      <w:pPr>
        <w:pStyle w:val="Heading2"/>
      </w:pPr>
      <w:r>
        <w:t>31. Reglamento europeo de IA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AI Tools Arena no debe presentarse como certificador del cumplimiento del Reglamento de IA. Deberá informar cuándo un contenido se genera o modifica mediante IA si resulta aplicable, documentar el uso interno de IA y exigir declaraciones responsables a proveedores. La Comisión Europea indica que el Reglamento de IA entró en vigor el 1 de agosto de 2024 y que gran parte de sus disposiciones comenzó a aplicarse el 2 de agosto de 2026, con calendarios específicos para ciertas obligaciones.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Inventariar usos propios de IA: moderación asistida, traducción, clasificación, resumen o matching.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Mantener supervisión humana y registrar proveedor, finalidad, datos y limitaciones.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Etiquetar contenido sintético cuando la norma o el riesgo de confusión lo requiera.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 aceptar afirmaciones de cumplimiento sin evidencia y fecha.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Revisar herramientas dirigidas a empleo, crédito, salud u otras áreas sensibles con criterios reforzados.</w:t>
      </w:r>
    </w:p>
    <w:p>
      <w:pPr>
        <w:pStyle w:val="Heading2"/>
      </w:pPr>
      <w:r>
        <w:t>32. Moderación y política de contenidos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Categoría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Criterio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Permitido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Descripción verificable, demostración, comparación fundamentada, opinión respetuosa y casos autorizados.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Restringido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Afirmaciones de superioridad no demostradas, descuentos con condiciones ocultas, afiliación no declarada.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Prohibido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Malware, fraude, suplantación, odio, acoso, datos personales, copyright ilícito y manipulación de votos.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Revisión reforzada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Salud, finanzas, empleo, menores, biometría, vigilancia, deepfakes y decisiones de alto impacto.</w:t>
            </w:r>
          </w:p>
        </w:tc>
      </w:tr>
    </w:tbl>
    <w:p>
      <w:pPr>
        <w:spacing w:after="80"/>
      </w:pPr>
    </w:p>
    <w:p>
      <w:pPr>
        <w:pStyle w:val="Heading2"/>
      </w:pPr>
      <w:r>
        <w:t>33. Documentación legal requerida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Aviso legal e identificación del prestador.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Términos para usuarios y comunidad.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Condiciones para marcas, suscripciones y campañas.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Condiciones para especialistas y agencias.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Política de privacidad y cookies.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Metodología de ranking y votación.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Política de publicidad y conflictos de interés.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Normas de reseñas y moderación.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Política de propiedad intelectual y retirada.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Política de reembolso, soporte y reclamaciones.</w:t>
      </w: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Advertencia: </w:t>
      </w:r>
      <w:r>
        <w:rPr>
          <w:rFonts w:ascii="Calibri" w:hAnsi="Calibri"/>
          <w:color w:val="1D2939"/>
          <w:sz w:val="22"/>
        </w:rPr>
        <w:t>Este informe no sustituye asesoramiento jurídico, fiscal, contable ni de protección de datos. La empresa de desarrollo deberá implementar textos y decisiones entregados por los asesores del promotor, no inventarlos.</w:t>
      </w:r>
    </w:p>
    <w:p>
      <w:pPr>
        <w:pStyle w:val="Heading1"/>
      </w:pPr>
      <w:r>
        <w:t>PARTE V. Medición, experiencia y crecimiento</w:t>
      </w:r>
    </w:p>
    <w:p>
      <w:pPr>
        <w:pStyle w:val="Heading2"/>
      </w:pPr>
      <w:r>
        <w:t>34. Taxonomía de eventos analíticos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Dominio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Eventos mínimos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Acquisition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page_view, landing_cta_click, signup_started, signup_completed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Discovery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search_submitted, filter_applied, no_results, tool_card_viewed, comparison_started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Tool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tool_profile_viewed, outbound_click, demo_requested, coupon_copied, favorite_added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Community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season_viewed, vote_started, vote_submitted, vote_changed, review_submitted, report_created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Brand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submission_started, submission_completed, tool_published, report_viewed, export_requested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Sponsored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campaign_started, checkout_created, payment_confirmed, placement_started, placement_ended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Experts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expert_viewed, lead_started, lead_submitted, lead_accepted, lead_closed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Retention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email_clicked, follow_alert_opened, return_visit, subscription_started, subscription_cancelled</w:t>
            </w:r>
          </w:p>
        </w:tc>
      </w:tr>
    </w:tbl>
    <w:p>
      <w:pPr>
        <w:spacing w:after="80"/>
      </w:pPr>
    </w:p>
    <w:p>
      <w:pPr>
        <w:pStyle w:val="Heading3"/>
      </w:pPr>
      <w:r>
        <w:t>34.1 Esquema común de evento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event_id, event_name, occurred_at, received_at y schema_version.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anonymous_id y user_id seudonimizado cuando proceda; no enviar correo en propiedades.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session_id, page/context, source, campaign y locale.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tool_id, season_id, campaign_id o expert_id cuando aplique.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consent_state y environment para excluir pruebas.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Propiedades limitadas y documentadas; no permitir texto libre con PII en analítica.</w:t>
      </w:r>
    </w:p>
    <w:p>
      <w:pPr>
        <w:pStyle w:val="Heading2"/>
      </w:pPr>
      <w:r>
        <w:t>35. KPIs y criterios de validación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Área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Indicadores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Oferta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Herramientas aprobadas; % perfil completo; tiempo de revisión; herramientas activas.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Demanda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Usuarios registrados; búsquedas; perfiles vistos; clics; retorno semanal.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Comunidad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Votantes válidos; ratio voto/visita; reseñas; participación por temporada.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Comercial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Marcas que pagan; conversión Free-&gt;Pro; ARPA; renovación; patrocinio.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Leads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Solicitudes; cualificación; aceptación; contacto; cierre declarado.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Confianza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Fraude, denuncias, apelaciones, tiempo de resolución y falsos positivos.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Producto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Activación, retención, errores, rendimiento y soporte.</w:t>
            </w:r>
          </w:p>
        </w:tc>
      </w:tr>
    </w:tbl>
    <w:p>
      <w:pPr>
        <w:spacing w:after="80"/>
      </w:pP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North Star inicial: </w:t>
      </w:r>
      <w:r>
        <w:rPr>
          <w:rFonts w:ascii="Calibri" w:hAnsi="Calibri"/>
          <w:color w:val="1D2939"/>
          <w:sz w:val="22"/>
        </w:rPr>
        <w:t>Número mensual de conexiones útiles atribuibles: prueba/clic cualificado hacia herramienta, solicitud de demo o solicitud de implantación. Definir exactamente antes de medir.</w:t>
      </w:r>
    </w:p>
    <w:p>
      <w:pPr>
        <w:pStyle w:val="Heading3"/>
      </w:pPr>
      <w:r>
        <w:t>35.1 Umbrales internos del piloto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20 conversaciones con marcas, 10 altas y al menos 5 participantes activos.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Al menos 3 marcas que manifiesten disposición real a pagar.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100 usuarios registrados y 500 visitantes acumulados como mínimo operativo, no como prueba definitiva.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Cinco cambios de posición patrocinada o campañas equivalentes durante una temporada.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Al menos una recompra o renovación; idealmente tres clientes recurrentes en 8-12 semanas.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Registro cualitativo de motivos de compra, rechazo y abandono.</w:t>
      </w:r>
    </w:p>
    <w:p>
      <w:pPr>
        <w:pStyle w:val="Heading2"/>
      </w:pPr>
      <w:r>
        <w:t>36. UX y sistema de diseño</w:t>
      </w:r>
    </w:p>
    <w:p>
      <w:pPr>
        <w:keepLines w:val="0"/>
        <w:spacing w:after="120" w:line="264" w:lineRule="auto"/>
      </w:pPr>
      <w:r>
        <w:rPr>
          <w:rFonts w:ascii="Calibri" w:hAnsi="Calibri"/>
          <w:i w:val="0"/>
          <w:color w:val="1D2939"/>
          <w:sz w:val="22"/>
        </w:rPr>
        <w:t>La identidad deberá sentirse tecnológica pero confiable: una “arena” competitiva sin estética de apuestas. Evitar ruletas, luces agresivas, falsos contadores o urgencia manipuladora. El diseño será white/light como base, con modo oscuro opcional posterior.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Principio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Aplicación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Claridad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Diferenciar orgánico, editorial y patrocinado con texto, iconos y metodología.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Jerarquía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Una acción principal por pantalla; datos secundarios desplegables.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Confianza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Fechas, fuentes, responsables, criterios y estados visibles.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Conversión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CTA adaptada: probar, comparar, votar, solicitar demo o implementar.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Móvil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Votación, filtros, checkout y panel esencial completamente utilizables.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Accesibilidad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Contraste, foco, teclado, etiquetas, errores, reducción de movimiento y lenguaje.</w:t>
            </w:r>
          </w:p>
        </w:tc>
      </w:tr>
    </w:tbl>
    <w:p>
      <w:pPr>
        <w:spacing w:after="80"/>
      </w:pPr>
    </w:p>
    <w:p>
      <w:pPr>
        <w:pStyle w:val="Heading3"/>
      </w:pPr>
      <w:r>
        <w:t>36.1 Componentes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Header, navegación, buscador global y selector de idioma.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Tool Card, Expert Card, Season Card, Sponsored Placement y badge.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Filtros, chips, comparación, puntuación y distribución de votos.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Formularios por pasos con guardado, validación y resumen.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Tablas de administración, estados, timeline y auditoría.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Gráficos accesibles con alternativa textual.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Toast, alertas, confirmaciones y estados vacíos.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Cookie banner, preferencias y avisos legales.</w:t>
      </w:r>
    </w:p>
    <w:p>
      <w:pPr>
        <w:pStyle w:val="Heading2"/>
      </w:pPr>
      <w:r>
        <w:t>37. SEO y contenido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SSR/SSG para perfiles, categorías, comparaciones, temporadas y guías.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Metadatos únicos, canonical, sitemap por tipo, robots y redirecciones.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Datos estructurados pertinentes sin afirmar ratings manipulados ni usar marcado engañoso.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Páginas por problema/sector con valor editorial, no combinaciones automáticas delgadas.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Control de indexación para borradores, filtros y perfiles incompletos.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Open Graph y tarjetas sociales para ganador, destronamiento y perfil.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Rendimiento y estabilidad visual como parte del SEO técnico.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Contenido localizable por idioma con hreflang cuando se expanda.</w:t>
      </w:r>
    </w:p>
    <w:p>
      <w:pPr>
        <w:pStyle w:val="Heading2"/>
      </w:pPr>
      <w:r>
        <w:t>38. Accesibilidad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Objetivo WCAG 2.2 AA y pruebas con teclado/lector en flujos críticos.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HTML semántico, jerarquía de encabezados y landmarks.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Foco visible, orden lógico y modales que gestionen foco.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Errores vinculados a campos, instrucciones y resumen de errores.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Color nunca como único indicador de patrocinio, estado o puntuación.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Texto alternativo y subtítulos/transcripciones para vídeos esenciales.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Controles con tamaño táctil suficiente y soporte de zoom.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Movimiento reducido y temporizadores no esenciales pausables.</w:t>
      </w:r>
    </w:p>
    <w:p>
      <w:pPr>
        <w:pStyle w:val="Heading2"/>
      </w:pPr>
      <w:r>
        <w:t>39. Internacionalización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Todas las cadenas fuera del código y claves estables de traducción.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Locale por URL, selector persistente y fallback.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Formato local de fechas, números, monedas, plural y zona horaria.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Contenido editorial y fichas con traducciones versionadas.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Taxonomía global con etiquetas traducidas y sin duplicar categorías.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Pagos y fiscalidad por país parametrizables.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España primero, siguiente mercado hispanohablante y posteriormente inglés.</w:t>
      </w:r>
    </w:p>
    <w:p>
      <w:r>
        <w:br w:type="page"/>
      </w:r>
    </w:p>
    <w:p>
      <w:pPr>
        <w:pStyle w:val="Heading1"/>
      </w:pPr>
      <w:r>
        <w:t>PARTE VI. Ejecución y contratación</w:t>
      </w:r>
    </w:p>
    <w:p>
      <w:pPr>
        <w:pStyle w:val="Heading2"/>
      </w:pPr>
      <w:r>
        <w:t>40. Fases del proyecto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800"/>
        <w:gridCol w:w="57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Fase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Duración orientativa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Resultado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0. Descubrimiento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2-3 semanas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Talleres, alcance, riesgos, arquitectura, prototipo y backlog.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1. Validación asistida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2-4 semanas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Landing, formularios, cohortes y operación manual; puede preceder al software.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2. MVP núcleo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8-12 semanas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Cuentas, catálogo, perfiles, votos, temporadas, especialistas, admin y analítica.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3. Monetización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4-6 semanas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Suscripciones, checkout, patrocinio, facturas, reporting y conciliación.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4. Piloto controlado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6-8 semanas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Founding Season, soporte, fraude, medición y correcciones.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5. Escala España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Continuo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SEO, automatización, contenidos, partners y rendimiento.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6. Internacional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Posterior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i18n activa, monedas, mercados, operaciones y reglas por región.</w:t>
            </w:r>
          </w:p>
        </w:tc>
      </w:tr>
    </w:tbl>
    <w:p>
      <w:pPr>
        <w:spacing w:after="80"/>
      </w:pP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Planificación: </w:t>
      </w:r>
      <w:r>
        <w:rPr>
          <w:rFonts w:ascii="Calibri" w:hAnsi="Calibri"/>
          <w:color w:val="1D2939"/>
          <w:sz w:val="22"/>
        </w:rPr>
        <w:t>Las duraciones no constituyen presupuesto ni compromiso. La empresa deberá estimar después del descubrimiento, señalar dependencias y proponer un MVP cerrado con criterios de aceptación.</w:t>
      </w:r>
    </w:p>
    <w:p>
      <w:pPr>
        <w:pStyle w:val="Heading2"/>
      </w:pPr>
      <w:r>
        <w:t>41. Backlog MoSCoW</w:t>
      </w:r>
    </w:p>
    <w:p>
      <w:pPr>
        <w:pStyle w:val="Heading3"/>
      </w:pPr>
      <w:r>
        <w:t>MUST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Registro, organizaciones y RBAC.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Alta/reclamación y moderación de herramientas.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Directorio, búsqueda y perfiles.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Temporadas, votos y resultados auditables.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Especialistas y solicitudes.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Backoffice y CMS básico.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Analítica de eventos y panel básico.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Privacidad, consentimientos, seguridad y soporte.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i18n preparada.</w:t>
      </w:r>
    </w:p>
    <w:p>
      <w:pPr>
        <w:pStyle w:val="Heading3"/>
      </w:pPr>
      <w:r>
        <w:t>SHOULD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Suscripciones y facturación.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Arena patrocinada automatizada.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Comparador.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Reseñas multidimensionales.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Informes descargables.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Automatización social y email avanzada.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Fraude por puntuación de reglas.</w:t>
      </w:r>
    </w:p>
    <w:p>
      <w:pPr>
        <w:pStyle w:val="Heading3"/>
      </w:pPr>
      <w:r>
        <w:t>COULD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PWA instalable.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Matching asistido por IA.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Programa de afiliados.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API pública.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Marketplace con contratación.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Aplicación móvil.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Gamificación avanzada.</w:t>
      </w:r>
    </w:p>
    <w:p>
      <w:pPr>
        <w:pStyle w:val="Heading2"/>
      </w:pPr>
      <w:r>
        <w:t>42. Entregables exigidos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Bloque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Entregables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Producto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Código fuente, frontend, backend, base, migraciones, jobs y panel admin.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Diseño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Figma, sistema de diseño, componentes, estados, responsive y prototipo.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Arquitectura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Diagramas, ADR, integraciones, datos, flujos y decisiones.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Calidad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Plan y evidencias de pruebas, accesibilidad, rendimiento y seguridad.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DevOps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CI/CD, IaC cuando aplique, entornos, backups, monitorización y runbooks.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Documentación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README, setup, API, modelo, permisos, operaciones y administración.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Legal técnico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Inventario de cookies/terceros/datos y puntos para textos jurídicos.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Formación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Sesiones grabadas o manuales para administración y soporte.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Transición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Credenciales bajo propiedad del promotor, exportaciones y plan de salida.</w:t>
            </w:r>
          </w:p>
        </w:tc>
      </w:tr>
    </w:tbl>
    <w:p>
      <w:pPr>
        <w:spacing w:after="80"/>
      </w:pPr>
    </w:p>
    <w:p>
      <w:pPr>
        <w:pStyle w:val="Heading2"/>
      </w:pPr>
      <w:r>
        <w:t>43. Propiedad y repositorios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Repositorios y cuentas críticas propiedad del promotor desde el inicio o transferibles sin dependencia.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Código y diseño entregados conforme al contrato, incluyendo derechos de uso y modificación.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Inventario de código abierto y licencias; prohibir componentes incompatibles sin aprobación.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Prohibir incluir claves, datos reales o materiales sin licencia en repositorios.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Backups y exportación documentados; acceso del promotor durante el proyecto.</w:t>
      </w:r>
    </w:p>
    <w:p>
      <w:pPr>
        <w:pStyle w:val="Heading2"/>
      </w:pPr>
      <w:r>
        <w:t>44. Estrategia de pruebas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Tipo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Cobertura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Unitarias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Reglas de dominio: elegibilidad, estados, puntuación, derechos y precios.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Integración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Base, colas, email, almacenamiento, pagos y webhooks.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API/contrato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Validación, errores, permisos, idempotencia y compatibilidad.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E2E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Alta, publicación, voto, campaña, lead, suscripción, cancelación y moderación.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Seguridad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SAST, dependencias, secretos, DAST y pentest antes de escala.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Carga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Picos de votación, portada, búsqueda, checkout y jobs.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Accesibilidad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Automática y manual con teclado/lector.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Compatibilidad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Navegadores, móvil, email y resolución.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UAT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Escenarios ejecutados por promotor con datos de prueba.</w:t>
            </w:r>
          </w:p>
        </w:tc>
      </w:tr>
    </w:tbl>
    <w:p>
      <w:pPr>
        <w:spacing w:after="80"/>
      </w:pPr>
    </w:p>
    <w:p>
      <w:pPr>
        <w:pStyle w:val="Heading2"/>
      </w:pPr>
      <w:r>
        <w:t>45. Criterios de aceptación por épica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Épica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Aceptación de alto nivel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Cuenta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Un usuario se registra, verifica, acepta versión legal, recupera acceso y elimina/solicita datos.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Una marca crea borrador, envía, recibe cambios, publica y visualiza analítica sin editar datos comunitarios.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Temporada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Admin configura reglas; usuarios elegibles votan una vez; fraude invalida con auditoría; se cierra y publica ganador reproducible.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Patrocinio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Precio se confirma en servidor; pago idempotente; posición activa correcta; sustitución y reporte consistentes.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Especialista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Publica perfil; empresa envía solicitud consentida; especialista gestiona estado; admin audita.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Privacidad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Scripts no esenciales respetan consentimiento; preferencias cambian; exportación/eliminación se tramitan.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Administración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Roles restringen acciones; cada acción crítica queda registrada; exportaciones funcionan.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Operación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Alertas, backups, restore probado, logs correlacionados y runbook disponibles.</w:t>
            </w:r>
          </w:p>
        </w:tc>
      </w:tr>
    </w:tbl>
    <w:p>
      <w:pPr>
        <w:spacing w:after="80"/>
      </w:pPr>
    </w:p>
    <w:p>
      <w:pPr>
        <w:pStyle w:val="Heading2"/>
      </w:pPr>
      <w:r>
        <w:t>46. Entornos y despliegue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Local reproducible, desarrollo compartido, staging y producción separados.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Datos sintéticos o anonimizados fuera de producción.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CI con lint, tipos, pruebas, build, análisis y artefactos.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Despliegue con aprobación, migraciones seguras, rollback y flags.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Backups automáticos y prueba periódica de restauración.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Monitorización de disponibilidad, errores, colas, pagos, correo, rendimiento y capacidad.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Registro de releases y comunicación de mantenimiento.</w:t>
      </w:r>
    </w:p>
    <w:p>
      <w:pPr>
        <w:pStyle w:val="Heading2"/>
      </w:pPr>
      <w:r>
        <w:t>47. Gobierno del proyecto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Responsable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Función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Promotor/Product Owner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Prioridades, reglas, validación, proveedores y aceptación.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Project Manager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Plan, riesgos, dependencias, comunicación y presupuesto.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UX/UI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Investigación, arquitectura, prototipos, sistema y pruebas.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Tech Lead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Arquitectura, calidad, seguridad, revisiones y decisiones.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Equipo desarrollo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Frontend, backend, datos, integraciones y pruebas.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QA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Estrategia, automatización, UAT y regresión.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Legal/DPO/asesoría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Bases, contratos, fiscalidad, privacidad y revisión normativa.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Growth/Community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Cohortes, contenidos, marcas, temporadas y soporte.</w:t>
            </w:r>
          </w:p>
        </w:tc>
      </w:tr>
    </w:tbl>
    <w:p>
      <w:pPr>
        <w:spacing w:after="80"/>
      </w:pPr>
    </w:p>
    <w:p>
      <w:pPr>
        <w:pStyle w:val="Heading3"/>
      </w:pPr>
      <w:r>
        <w:t>47.1 Cadencia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Kickoff y talleres de descubrimiento.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Sprint de una o dos semanas con demo y aceptación.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Backlog y criterios accesibles al promotor.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Registro de decisiones arquitectónicas y de producto.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Informe semanal de avance, presupuesto, riesgos, cambios y próximos hitos.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Control formal de cambios para impacto en alcance, plazo y coste.</w:t>
      </w:r>
    </w:p>
    <w:p>
      <w:pPr>
        <w:pStyle w:val="Heading2"/>
      </w:pPr>
      <w:r>
        <w:t>48. Información solicitada en la oferta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Sección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Contenido mínimo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Comprensión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Resumen del producto, riesgos y supuestos.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Alcance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Incluido, excluido, opciones y criterios de finalización.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Solución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Arquitectura, stack, integraciones, seguridad y escalabilidad.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Equipo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Roles, experiencia, dedicación, ubicación y continuidad.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Plan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Fases, hitos, dependencias, calendario y entregables.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Precio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Por fase/rol; licencias, infraestructura, IVA y contingencia.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Calidad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Pruebas, accesibilidad, rendimiento, seguridad y garantía.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Operación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Soporte, SLA, mantenimiento, actualizaciones y salida.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Referencias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Proyectos comparables, contactos y demostraciones.</w:t>
            </w:r>
          </w:p>
        </w:tc>
      </w:tr>
    </w:tbl>
    <w:p>
      <w:pPr>
        <w:spacing w:after="80"/>
      </w:pPr>
    </w:p>
    <w:p>
      <w:pPr>
        <w:pStyle w:val="Heading2"/>
      </w:pPr>
      <w:r>
        <w:t>49. Estructura de presupuesto requerida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Partida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Detalle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Descubrimiento y diseño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Horas/precio, entregables, rondas y duración.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MVP funcional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Frontend, backend, admin, QA y gestión.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Pagos/monetización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Integración, fiscalidad técnica y pruebas.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Infraestructura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Setup y coste mensual por escenario.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Terceros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Licencia, unidad, límite y crecimiento.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Soporte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Bolsa, SLA, horario, severidad y exclusiones.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Opcionales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Precio separado y dependencias.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Contingencia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Porcentaje o supuestos cubiertos.</w:t>
            </w:r>
          </w:p>
        </w:tc>
      </w:tr>
    </w:tbl>
    <w:p>
      <w:pPr>
        <w:spacing w:after="80"/>
      </w:pPr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Comparabilidad: </w:t>
      </w:r>
      <w:r>
        <w:rPr>
          <w:rFonts w:ascii="Calibri" w:hAnsi="Calibri"/>
          <w:color w:val="1D2939"/>
          <w:sz w:val="22"/>
        </w:rPr>
        <w:t>No aceptar una cifra global sin desglose por fase, entregables, supuestos, exclusiones, perfiles y costes recurrentes.</w:t>
      </w:r>
    </w:p>
    <w:p>
      <w:pPr>
        <w:pStyle w:val="Heading2"/>
      </w:pPr>
      <w:r>
        <w:t>50. Riesgos principales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700"/>
        <w:gridCol w:w="3000"/>
        <w:gridCol w:w="1500"/>
        <w:gridCol w:w="4160"/>
      </w:tblGrid>
      <w:tr>
        <w:trPr>
          <w:tblHeader w:val="true"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Riesgo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Impacto/Prob.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Mitigación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No existe tráfico suficiente para demostrar valor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Alta/Alta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Validación manual, cohortes y contenido antes de automatizar.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R2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Se confunde ranking con pago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Alta/Alta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Separación visual, metodológica y contractual.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R3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Fraude de votos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Alta/Media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Cuenta verificada, reglas, revisión y auditoría.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R4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Dependencia de marcas para atraer usuarios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Media/Alta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SEO por problemas, guías, especialistas y newsletter.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R5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Demasiado alcance inicial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Alta/Alta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MVP por fases y operación manual.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R6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Costes de terceros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Media/Media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Presupuestos por escenario, límites y adaptadores.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R7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Incumplimiento privacidad/publicidad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Alta/Media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Asesoría, privacidad por diseño, consentimiento y archivo.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R8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Disputas por reseñas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Alta/Media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Política, evidencia, respuesta, denuncia y apelación.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R9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Baja calidad de especialistas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Media/Media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Verificación por niveles, casos y feedback.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R10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Arquitectura sobredimensionada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Media/Alta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6"/>
              </w:rPr>
              <w:t>Monolito modular y métricas antes de separar.</w:t>
            </w:r>
          </w:p>
        </w:tc>
      </w:tr>
    </w:tbl>
    <w:p>
      <w:pPr>
        <w:spacing w:after="80"/>
      </w:pPr>
    </w:p>
    <w:p>
      <w:pPr>
        <w:pStyle w:val="Heading1"/>
      </w:pPr>
      <w:r>
        <w:t>ANEXOS</w:t>
      </w:r>
    </w:p>
    <w:p>
      <w:pPr>
        <w:pStyle w:val="Heading2"/>
      </w:pPr>
      <w:r>
        <w:t>Anexo A. Historias de usuario prioritarias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ID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Historia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US-001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pyme, quiero describir un problema para encontrar herramientas aplicables.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US-002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usuario, quiero comparar precio, español, integraciones y dificultad.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US-003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comunidad, quiero votar con reglas claras y cambiar mi voto antes del cierre.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US-004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usuario, quiero saber si una posición es patrocinada y quién pagó.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US-005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marca, quiero reclamar una ficha existente y demostrar propiedad.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US-006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marca, quiero participar gratis en la Founding Season y recibir un informe.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US-007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marca, quiero contratar una posición y medir el tráfico atribuido.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US-008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marca, quiero responder a una reseña sin modificarla.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US-009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especialista, quiero mostrar herramientas, sectores y casos.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US-010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empresa, quiero solicitar ayuda indicando objetivo, plazo y presupuesto.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US-011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moderador, quiero revisar alertas y dejar evidencia de la decisión.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US-012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administrador, quiero recalcular un ranking en simulación antes de publicar.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US-013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finanzas, quiero reconciliar pagos, campañas y facturas.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US-014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usuario, quiero retirar consentimiento y eliminar mi cuenta.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US-015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Como editor, quiero traducir fichas sin duplicar la entidad global.</w:t>
            </w:r>
          </w:p>
        </w:tc>
      </w:tr>
    </w:tbl>
    <w:p>
      <w:pPr>
        <w:spacing w:after="80"/>
      </w:pPr>
    </w:p>
    <w:p>
      <w:pPr>
        <w:pStyle w:val="Heading2"/>
      </w:pPr>
      <w:r>
        <w:t>Anexo B. Matriz resumida de permisos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1250"/>
        <w:gridCol w:w="1400"/>
        <w:gridCol w:w="1300"/>
        <w:gridCol w:w="1450"/>
        <w:gridCol w:w="12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5"/>
              </w:rPr>
              <w:t>Acción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5"/>
              </w:rPr>
              <w:t>Visitante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5"/>
              </w:rPr>
              <w:t>Comunidad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5"/>
              </w:rPr>
              <w:t>Marca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5"/>
              </w:rPr>
              <w:t>Especialista</w:t>
            </w:r>
          </w:p>
        </w:tc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5"/>
              </w:rPr>
              <w:t>Backoffice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Ver contenido público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Votar/valorar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 como persona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 como persona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Moderación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Editar herramienta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Propia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Todas según rol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Ver analítica herramienta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Propia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 según rol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Gestionar lead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Emisor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Receptor si aplica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Receptor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Sí según rol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Configurar temporada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Editor/Admin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Reembolsar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Finanzas/Admin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Cambiar permisos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No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Organización limitada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Agencia limitada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5"/>
              </w:rPr>
              <w:t>Admin</w:t>
            </w:r>
          </w:p>
        </w:tc>
      </w:tr>
    </w:tbl>
    <w:p>
      <w:pPr>
        <w:spacing w:after="80"/>
      </w:pPr>
    </w:p>
    <w:p>
      <w:pPr>
        <w:pStyle w:val="Heading2"/>
      </w:pPr>
      <w:r>
        <w:t>Anexo C. Formulario de alta de herramienta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Paso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Campos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1. Identidad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Nombre, dominio, empresa, país, contacto y rol.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2. Producto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Resumen, descripción, categorías, necesidades y sectores.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3. Acceso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Web/app/API, plataformas, idiomas, demo y prueba.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4. Comercial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Planes, precios, moneda, IVA, descuentos y afiliación.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5. Integraciones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CRM, automatización, comunicación, datos y API.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6. Confianza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Privacidad, DPA, seguridad, alojamiento y soporte.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7. Medios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Logo, capturas, vídeo, alt text y derechos.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8. Declaraciones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Exactitud, derechos, conflictos, publicidad y términos.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9. Revisión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Vista previa, validación, envío y seguimiento.</w:t>
            </w:r>
          </w:p>
        </w:tc>
      </w:tr>
    </w:tbl>
    <w:p>
      <w:pPr>
        <w:spacing w:after="80"/>
      </w:pPr>
      <w:r>
        <w:t>Decisión adoptada: el MVP tendrá cinco categorías principales; la primera Founding Season priorizará Productividad y conocimiento, Contenido, marketing y creatividad, y Automatización, agentes e integraciones.</w:t>
      </w:r>
    </w:p>
    <w:p>
      <w:pPr>
        <w:pStyle w:val="Heading2"/>
      </w:pPr>
      <w:r>
        <w:t>Anexo D. Matriz de estados principales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Entidad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Estados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Tool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draft, submitted, needs_changes, under_review, approved, published, suspended, archived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Season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draft, recruitment, open, paused, closed, published, archived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Entry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invited, applied, eligible, rejected, active, withdrawn, disqualified, winner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Campaign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draft, pending_review, awaiting_payment, scheduled, active, completed, dethroned, rejected, refunded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Subscription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trialing, active, past_due, paused, cancelled, expired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Lead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new, reviewed, assigned, accepted, contacted, qualified, won, lost, spam, closed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Moderation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open, triaged, investigating, actioned, rejected, appealed, resolved</w:t>
            </w:r>
          </w:p>
        </w:tc>
      </w:tr>
    </w:tbl>
    <w:p>
      <w:pPr>
        <w:spacing w:after="80"/>
      </w:pPr>
    </w:p>
    <w:p>
      <w:pPr>
        <w:pStyle w:val="Heading2"/>
      </w:pPr>
      <w:r>
        <w:t>Anexo E. Preguntas abiertas para descubrimiento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¿Cuál será la entidad jurídica, datos fiscales y responsable del tratamiento?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¿Se mantiene AI Tools Arena como nombre definitivo y qué dominios/marca están disponibles?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cinco categorías y qué cohortes participarán en la primera temporada?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significa exactamente “voto verificado” y qué evidencias se solicitarán?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¿Cuál será la fórmula pública inicial y el mínimo de muestra?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¿La primera Arena patrocinada usará incremento, precio fijo o paquetes temporales?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política se aplicará si una marca es destronada segundos después de pagar?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proveedor de pagos aprueba por escrito el modelo?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¿Se verificará identidad de especialistas y con qué nivel?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¿Quién realizará moderación, soporte, contenidos y ventas durante el piloto?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presupuesto máximo y fecha de lanzamiento condicionan el MVP?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proveedores y regiones de alojamiento serán aceptables?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datos podrán exportar marcas y especialistas?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¿Se permitirá afiliación y cómo se declarará?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¿Qué textos y revisiones entregarán asesoría jurídica y fiscal?</w:t>
      </w:r>
    </w:p>
    <w:p>
      <w:pPr>
        <w:pStyle w:val="Heading2"/>
      </w:pPr>
      <w:r>
        <w:t>Anexo F. Checklist de salida a producción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Dominio, TLS, DNS, remitentes y monitorización configurados.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Backups y restauración probados.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Pruebas UAT, seguridad, accesibilidad, carga y compatibilidad aprobadas.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Textos legales y consentimientos versionados.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Cookies y terceros inventariados; scripts condicionados.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Pagos en producción reconciliados con casos de error y reembolso.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Moderación, soporte, fraude y escalado operativo entrenados.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Alertas y runbooks disponibles; responsables de guardia definidos.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Datos de ejemplo retirados; cuentas admin protegidas por MFA.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Plan de comunicación, Founding Season y participantes confirmados.</w:t>
      </w:r>
    </w:p>
    <w:p>
      <w:pPr>
        <w:pStyle w:val="ATABullet"/>
      </w:pPr>
      <w:r>
        <w:rPr>
          <w:rFonts w:ascii="Calibri" w:hAnsi="Calibri"/>
          <w:color w:val="1D2939"/>
          <w:sz w:val="22"/>
        </w:rPr>
        <w:t>Plan de rollback y criterio go/no-go firmado.</w:t>
      </w:r>
    </w:p>
    <w:p>
      <w:pPr>
        <w:pStyle w:val="Heading2"/>
      </w:pPr>
      <w:r>
        <w:t>Anexo G. Glosario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Término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Definición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Arena patrocinada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Posición publicitaria temporal y pagada, separada del ranking comunitario.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Community Champion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 ganadora según metodología y votos válidos.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Founding Season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Cohorte gratuita y limitada utilizada para validar valor y operación.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Entitlement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Derecho funcional derivado de plan, campaña o decisión administrativa.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Herramienta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Producto de IA o automatización publicado en el catálogo.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Especialista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Profesional o agencia que ayuda a evaluar, integrar o mantener herramientas.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Lead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Solicitud consentida de demostración o implantación.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Temporada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Periodo con participantes, reglas, categoría, fórmula y cierre.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Voto válido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Voto que cumple reglas y no ha sido invalidado por fraude o moderación.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Verificación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D2939"/>
                <w:sz w:val="17"/>
              </w:rPr>
              <w:t>Comprobación limitada de identidad o información; no certificación integral.</w:t>
            </w:r>
          </w:p>
        </w:tc>
      </w:tr>
    </w:tbl>
    <w:p>
      <w:pPr>
        <w:spacing w:after="80"/>
      </w:pPr>
    </w:p>
    <w:p>
      <w:pPr>
        <w:pStyle w:val="Heading2"/>
      </w:pPr>
      <w:r>
        <w:t>Anexo H. Fuentes y referencias</w:t>
      </w:r>
    </w:p>
    <w:p>
      <w:pPr>
        <w:spacing w:after="120"/>
      </w:pPr>
      <w:r>
        <w:rPr>
          <w:rFonts w:ascii="Calibri" w:hAnsi="Calibri"/>
          <w:b/>
          <w:color w:val="1D2939"/>
          <w:sz w:val="22"/>
        </w:rPr>
        <w:t xml:space="preserve">INE - Encuesta TIC y comercio electrónico en empresas: </w:t>
      </w:r>
      <w:hyperlink r:id="rId11">
        <w:r>
          <w:rPr>
            <w:color w:val="2E74B5"/>
            <w:u w:val="single"/>
          </w:rPr>
          <w:t>https://www.ine.es/dyngs/INEbase/es/operacion.htm?c=estadistica_C&amp;cid=1254736176743&amp;idp=1254735576799&amp;menu=ultiDatos</w:t>
        </w:r>
      </w:hyperlink>
    </w:p>
    <w:p>
      <w:pPr>
        <w:spacing w:after="120"/>
      </w:pPr>
      <w:r>
        <w:rPr>
          <w:rFonts w:ascii="Calibri" w:hAnsi="Calibri"/>
          <w:b/>
          <w:color w:val="1D2939"/>
          <w:sz w:val="22"/>
        </w:rPr>
        <w:t xml:space="preserve">Futurepedia - opciones de alta y ficha verificada: </w:t>
      </w:r>
      <w:hyperlink r:id="rId12">
        <w:r>
          <w:rPr>
            <w:color w:val="2E74B5"/>
            <w:u w:val="single"/>
          </w:rPr>
          <w:t>https://www.futurepedia.io/submit-tool</w:t>
        </w:r>
      </w:hyperlink>
    </w:p>
    <w:p>
      <w:pPr>
        <w:spacing w:after="120"/>
      </w:pPr>
      <w:r>
        <w:rPr>
          <w:rFonts w:ascii="Calibri" w:hAnsi="Calibri"/>
          <w:b/>
          <w:color w:val="1D2939"/>
          <w:sz w:val="22"/>
        </w:rPr>
        <w:t xml:space="preserve">Toolify - alta y publicidad de herramientas: </w:t>
      </w:r>
      <w:hyperlink r:id="rId13">
        <w:r>
          <w:rPr>
            <w:color w:val="2E74B5"/>
            <w:u w:val="single"/>
          </w:rPr>
          <w:t>https://www.toolify.ai/submit</w:t>
        </w:r>
      </w:hyperlink>
    </w:p>
    <w:p>
      <w:pPr>
        <w:spacing w:after="120"/>
      </w:pPr>
      <w:r>
        <w:rPr>
          <w:rFonts w:ascii="Calibri" w:hAnsi="Calibri"/>
          <w:b/>
          <w:color w:val="1D2939"/>
          <w:sz w:val="22"/>
        </w:rPr>
        <w:t xml:space="preserve">Comisión Europea - Reglamento de Inteligencia Artificial: </w:t>
      </w:r>
      <w:hyperlink r:id="rId14">
        <w:r>
          <w:rPr>
            <w:color w:val="2E74B5"/>
            <w:u w:val="single"/>
          </w:rPr>
          <w:t>https://digital-strategy.ec.europa.eu/en/policies/regulatory-framework-ai</w:t>
        </w:r>
      </w:hyperlink>
    </w:p>
    <w:p>
      <w:pPr>
        <w:spacing w:after="120"/>
      </w:pPr>
      <w:r>
        <w:rPr>
          <w:rFonts w:ascii="Calibri" w:hAnsi="Calibri"/>
          <w:b/>
          <w:color w:val="1D2939"/>
          <w:sz w:val="22"/>
        </w:rPr>
        <w:t xml:space="preserve">Comisión Europea - Reglamento de Servicios Digitales: </w:t>
      </w:r>
      <w:hyperlink r:id="rId15">
        <w:r>
          <w:rPr>
            <w:color w:val="2E74B5"/>
            <w:u w:val="single"/>
          </w:rPr>
          <w:t>https://digital-strategy.ec.europa.eu/en/policies/digital-services-act</w:t>
        </w:r>
      </w:hyperlink>
    </w:p>
    <w:p>
      <w:pPr>
        <w:spacing w:after="120"/>
      </w:pPr>
      <w:r>
        <w:rPr>
          <w:rFonts w:ascii="Calibri" w:hAnsi="Calibri"/>
          <w:b/>
          <w:color w:val="1D2939"/>
          <w:sz w:val="22"/>
        </w:rPr>
        <w:t xml:space="preserve">AEPD - Guías y herramientas: </w:t>
      </w:r>
      <w:hyperlink r:id="rId16">
        <w:r>
          <w:rPr>
            <w:color w:val="2E74B5"/>
            <w:u w:val="single"/>
          </w:rPr>
          <w:t>https://www.aepd.es/guias-y-herramientas/guias</w:t>
        </w:r>
      </w:hyperlink>
    </w:p>
    <w:p>
      <w:pPr>
        <w:spacing w:after="120"/>
      </w:pPr>
      <w:r>
        <w:rPr>
          <w:rFonts w:ascii="Calibri" w:hAnsi="Calibri"/>
          <w:b/>
          <w:color w:val="1D2939"/>
          <w:sz w:val="22"/>
        </w:rPr>
        <w:t xml:space="preserve">AEPD - consentimiento bajo RGPD: </w:t>
      </w:r>
      <w:hyperlink r:id="rId17">
        <w:r>
          <w:rPr>
            <w:color w:val="2E74B5"/>
            <w:u w:val="single"/>
          </w:rPr>
          <w:t>https://www.aepd.es/preguntas-frecuentes/2-tus-obligaciones-como-responsable-del-tratamiento/5-bases-legitimadoras-del-tratamiento/FAQ-0211-segun-el-rgpd-como-debe-solicitarse-el-consentimiento-de-los-interesados-para-tratar-sus-datos-personales</w:t>
        </w:r>
      </w:hyperlink>
    </w:p>
    <w:p>
      <w:pPr>
        <w:spacing w:before="120" w:after="200" w:line="264" w:lineRule="auto"/>
        <w:ind w:left="202" w:right="144"/>
        <w:shd w:fill="E8F5F6"/>
        <w:pBdr>
          <w:left w:val="single" w:sz="18" w:space="8" w:color="008C95"/>
        </w:pBdr>
      </w:pPr>
      <w:r>
        <w:rPr>
          <w:rFonts w:ascii="Calibri" w:hAnsi="Calibri"/>
          <w:b/>
          <w:color w:val="0B2545"/>
          <w:sz w:val="22"/>
        </w:rPr>
        <w:t xml:space="preserve">Cierre: </w:t>
      </w:r>
      <w:r>
        <w:rPr>
          <w:rFonts w:ascii="Calibri" w:hAnsi="Calibri"/>
          <w:color w:val="1D2939"/>
          <w:sz w:val="22"/>
        </w:rPr>
        <w:t>El propósito de este documento es reducir ambigüedad y permitir una propuesta comparable. La fase de descubrimiento deberá confirmar decisiones abiertas, convertir requisitos en backlog estimado y congelar el alcance del MVP antes de comprometer precio y calendario.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8"/>
      </w:rPr>
      <w:t xml:space="preserve">Documento de trabajo  |  Pagina </w:t>
    </w:r>
    <w:r>
      <w:rPr>
        <w:rFonts w:ascii="Calibri" w:hAnsi="Calibr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7085"/>
        <w:sz w:val="17"/>
      </w:rPr>
      <w:t>AI TOOLS ARENA  |  ESPECIFICACION TECNICA Y FUNCIONAL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5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  <w:rPr>
        <w:rFonts w:ascii="Symbol" w:hAnsi="Symbol"/>
      </w:rPr>
    </w:lvl>
  </w:abstractNum>
  <w:num w:numId="50">
    <w:abstractNumId w:val="50"/>
  </w:num>
  <w:abstractNum w:abstractNumId="5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  <w:rPr>
        <w:rFonts w:ascii="Calibri" w:hAnsi="Calibri"/>
      </w:rPr>
    </w:lvl>
  </w:abstractNum>
  <w:num w:numId="5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D293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TABullet">
    <w:name w:val="ATA Bullet"/>
    <w:basedOn w:val="Normal"/>
    <w:pPr>
      <w:spacing w:after="160" w:line="280" w:lineRule="auto"/>
      <w:ind w:left="720" w:hanging="360"/>
      <w:numPr>
        <w:ilvl w:val="0"/>
        <w:numId w:val="50"/>
      </w:numPr>
    </w:pPr>
  </w:style>
  <w:style w:type="paragraph" w:customStyle="1" w:styleId="ATANumber">
    <w:name w:val="ATA Number"/>
    <w:basedOn w:val="Normal"/>
    <w:pPr>
      <w:spacing w:after="160" w:line="280" w:lineRule="auto"/>
      <w:ind w:left="720" w:hanging="360"/>
      <w:numPr>
        <w:ilvl w:val="0"/>
        <w:numId w:val="51"/>
      </w:numPr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ne.es/dyngs/INEbase/es/operacion.htm?c=estadistica_C&amp;cid=1254736176743&amp;idp=1254735576799&amp;menu=ultiDatos" TargetMode="External"/><Relationship Id="rId12" Type="http://schemas.openxmlformats.org/officeDocument/2006/relationships/hyperlink" Target="https://www.futurepedia.io/submit-tool" TargetMode="External"/><Relationship Id="rId13" Type="http://schemas.openxmlformats.org/officeDocument/2006/relationships/hyperlink" Target="https://www.toolify.ai/submit" TargetMode="External"/><Relationship Id="rId14" Type="http://schemas.openxmlformats.org/officeDocument/2006/relationships/hyperlink" Target="https://digital-strategy.ec.europa.eu/en/policies/regulatory-framework-ai" TargetMode="External"/><Relationship Id="rId15" Type="http://schemas.openxmlformats.org/officeDocument/2006/relationships/hyperlink" Target="https://digital-strategy.ec.europa.eu/en/policies/digital-services-act" TargetMode="External"/><Relationship Id="rId16" Type="http://schemas.openxmlformats.org/officeDocument/2006/relationships/hyperlink" Target="https://www.aepd.es/guias-y-herramientas/guias" TargetMode="External"/><Relationship Id="rId17" Type="http://schemas.openxmlformats.org/officeDocument/2006/relationships/hyperlink" Target="https://www.aepd.es/preguntas-frecuentes/2-tus-obligaciones-como-responsable-del-tratamiento/5-bases-legitimadoras-del-tratamiento/FAQ-0211-segun-el-rgpd-como-debe-solicitarse-el-consentimiento-de-los-interesados-para-tratar-sus-datos-persona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Tools Arena - Informe técnico-funcional</dc:title>
  <dc:subject>Especificación para diseño, presupuesto e implementación</dc:subject>
  <dc:creator>Promotor de AI Tools Arena</dc:creator>
  <cp:keywords>AI Tools Arena, IA, automatización, directorio, ranking, freemium, MVP, España</cp:keywords>
  <dc:description>Versión 1.0 para solicitud de propuesta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