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FF5A1F"/>
          <w:sz w:val="38"/>
        </w:rPr>
        <w:t>PideTuCoche.eu</w:t>
      </w:r>
    </w:p>
    <w:p>
      <w:r>
        <w:rPr>
          <w:rFonts w:ascii="Arial" w:hAnsi="Arial"/>
          <w:b/>
          <w:color w:val="0B132B"/>
          <w:sz w:val="22"/>
        </w:rPr>
        <w:t>PLIEGO DE IMPLANTACIÓN</w:t>
      </w:r>
    </w:p>
    <w:p>
      <w:pPr>
        <w:spacing w:before="560" w:after="240"/>
      </w:pPr>
      <w:r>
        <w:rPr>
          <w:rFonts w:ascii="Arial" w:hAnsi="Arial"/>
          <w:b/>
          <w:color w:val="0B132B"/>
          <w:sz w:val="54"/>
        </w:rPr>
        <w:t>Plataforma B2C de vehículos</w:t>
        <w:br/>
        <w:t>de ocasión bajo pedido</w:t>
      </w:r>
    </w:p>
    <w:p>
      <w:r>
        <w:rPr>
          <w:rFonts w:ascii="Arial" w:hAnsi="Arial"/>
          <w:b/>
          <w:color w:val="FF5A1F"/>
          <w:sz w:val="26"/>
        </w:rPr>
        <w:t>Lo buscamos · Lo revisamos · Te lo entregamos</w:t>
      </w:r>
    </w:p>
    <w:p>
      <w:r>
        <w:rPr>
          <w:rFonts w:ascii="Arial" w:hAnsi="Arial"/>
          <w:color w:val="20242A"/>
          <w:sz w:val="22"/>
        </w:rPr>
        <w:t>Especificación funcional, técnica y operativa para construir el negocio digital desde cero en España</w:t>
      </w:r>
    </w:p>
    <w:p>
      <w:pPr>
        <w:spacing w:after="8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63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Marca</w:t>
            </w:r>
          </w:p>
        </w:tc>
        <w:tc>
          <w:tcPr>
            <w:tcW w:type="dxa" w:w="76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PideTuCoche.eu — identidad Naranja Performance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Promotor</w:t>
            </w:r>
          </w:p>
        </w:tc>
        <w:tc>
          <w:tcPr>
            <w:tcW w:type="dxa" w:w="76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[Nombre de la sociedad vendedora]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Base operativa</w:t>
            </w:r>
          </w:p>
        </w:tc>
        <w:tc>
          <w:tcPr>
            <w:tcW w:type="dxa" w:w="76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Ourense, Galicia, España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Modelo</w:t>
            </w:r>
          </w:p>
        </w:tc>
        <w:tc>
          <w:tcPr>
            <w:tcW w:type="dxa" w:w="76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B2C bajo demanda; compra profesional después de reserva y validación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Versión</w:t>
            </w:r>
          </w:p>
        </w:tc>
        <w:tc>
          <w:tcPr>
            <w:tcW w:type="dxa" w:w="76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2.0 · 26 de agosto de 2026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Finalidad</w:t>
            </w:r>
          </w:p>
        </w:tc>
        <w:tc>
          <w:tcPr>
            <w:tcW w:type="dxa" w:w="76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7"/>
              </w:rPr>
              <w:t>Solicitar propuesta, presupuesto, calendario y ejecución del MVP</w:t>
            </w:r>
          </w:p>
        </w:tc>
      </w:tr>
    </w:tbl>
    <w:p>
      <w:pPr>
        <w:spacing w:after="40"/>
      </w:pPr>
    </w:p>
    <w:p>
      <w:pPr>
        <w:spacing w:before="100" w:after="140" w:line="276" w:lineRule="auto"/>
        <w:ind w:left="202" w:right="202"/>
        <w:shd w:fill="FFF1EB"/>
        <w:pBdr>
          <w:left w:val="single" w:sz="18" w:space="6" w:color="FF5A1F"/>
        </w:pBdr>
      </w:pPr>
      <w:r>
        <w:rPr>
          <w:rFonts w:ascii="Arial" w:hAnsi="Arial"/>
          <w:b/>
          <w:color w:val="FF5A1F"/>
          <w:sz w:val="18"/>
        </w:rPr>
        <w:t xml:space="preserve">RESULTADO ESPERADO </w:t>
      </w:r>
      <w:r>
        <w:rPr>
          <w:rFonts w:ascii="Arial" w:hAnsi="Arial"/>
          <w:color w:val="0B132B"/>
          <w:sz w:val="18"/>
        </w:rPr>
        <w:t>MVP público controlado en cuatro semanas, con operación asistida, capacidad de captar solicitudes, formalizar reservas condicionadas, gestionar compras profesionales, coordinar revisión/transporte y entregar el vehículo con trazabilidad completa.</w:t>
      </w:r>
    </w:p>
    <w:p>
      <w:r>
        <w:br w:type="page"/>
      </w:r>
    </w:p>
    <w:p>
      <w:pPr>
        <w:pStyle w:val="Heading1"/>
      </w:pPr>
      <w:r>
        <w:t>0. Cómo utilizar este pliego</w:t>
      </w:r>
    </w:p>
    <w:p>
      <w:r>
        <w:rPr>
          <w:rFonts w:ascii="Arial" w:hAnsi="Arial"/>
        </w:rPr>
        <w:t>Este documento es la fuente funcional de referencia para producto, UX/UI, desarrollo, QA, DevOps, operaciones, legal y proveedores. La empresa desarrolladora deberá identificar expresamente cualquier desviación, supuesto o funcionalidad no incluida en su oferta.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792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Aplicación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Prioridad</w:t>
            </w:r>
          </w:p>
        </w:tc>
        <w:tc>
          <w:tcPr>
            <w:tcW w:type="dxa" w:w="79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Los requisitos Must forman el MVP contractual. Los Should/Could se estiman por separado.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Trazabilidad</w:t>
            </w:r>
          </w:p>
        </w:tc>
        <w:tc>
          <w:tcPr>
            <w:tcW w:type="dxa" w:w="79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Cada requisito numerado debe vincularse a diseño, tarea técnica y prueba de aceptación.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Cambios</w:t>
            </w:r>
          </w:p>
        </w:tc>
        <w:tc>
          <w:tcPr>
            <w:tcW w:type="dxa" w:w="79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Después de congelar el alcance, todo cambio requiere impacto en coste, plazo y riesgo.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Legal</w:t>
            </w:r>
          </w:p>
        </w:tc>
        <w:tc>
          <w:tcPr>
            <w:tcW w:type="dxa" w:w="79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Las reglas configurables se implementan técnicamente; los textos y criterios definitivos los valida asesoría española.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Datos de terceros</w:t>
            </w:r>
          </w:p>
        </w:tc>
        <w:tc>
          <w:tcPr>
            <w:tcW w:type="dxa" w:w="79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se realizará scraping ni republicación sin autorización expresa.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Operación</w:t>
            </w:r>
          </w:p>
        </w:tc>
        <w:tc>
          <w:tcPr>
            <w:tcW w:type="dxa" w:w="79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Cuando una automatización no sea segura o viable en cuatro semanas, el MVP debe ofrecer una tarea manual trazable.</w:t>
            </w:r>
          </w:p>
        </w:tc>
      </w:tr>
    </w:tbl>
    <w:p>
      <w:pPr>
        <w:spacing w:after="40"/>
      </w:pPr>
    </w:p>
    <w:p>
      <w:pPr>
        <w:pStyle w:val="Heading2"/>
      </w:pPr>
      <w:r>
        <w:t>0.1 Decisiones ya aprobadas</w:t>
      </w:r>
    </w:p>
    <w:p>
      <w:pPr>
        <w:pStyle w:val="ListBullet"/>
      </w:pPr>
      <w:r>
        <w:rPr>
          <w:rFonts w:ascii="Arial" w:hAnsi="Arial"/>
        </w:rPr>
        <w:t>Marca: PideTuCoche.eu. Descriptor: “Vehículos de ocasión bajo pedido”.</w:t>
      </w:r>
    </w:p>
    <w:p>
      <w:pPr>
        <w:pStyle w:val="ListBullet"/>
      </w:pPr>
      <w:r>
        <w:rPr>
          <w:rFonts w:ascii="Arial" w:hAnsi="Arial"/>
        </w:rPr>
        <w:t>Identidad: Naranja Performance; azul noche #0B132B, naranja #FF5A1F y blanco cálido #F8F7F3.</w:t>
      </w:r>
    </w:p>
    <w:p>
      <w:pPr>
        <w:pStyle w:val="ListBullet"/>
      </w:pPr>
      <w:r>
        <w:rPr>
          <w:rFonts w:ascii="Arial" w:hAnsi="Arial"/>
        </w:rPr>
        <w:t>Base de operaciones: Ourense, con partners provinciales homologados para recepción, revisión y entrega.</w:t>
      </w:r>
    </w:p>
    <w:p>
      <w:pPr>
        <w:pStyle w:val="ListBullet"/>
      </w:pPr>
      <w:r>
        <w:rPr>
          <w:rFonts w:ascii="Arial" w:hAnsi="Arial"/>
        </w:rPr>
        <w:t>AUTO1.com es la primera fuente profesional de referencia, pero el producto debe admitir otras fuentes.</w:t>
      </w:r>
    </w:p>
    <w:p>
      <w:pPr>
        <w:pStyle w:val="ListBullet"/>
      </w:pPr>
      <w:r>
        <w:rPr>
          <w:rFonts w:ascii="Arial" w:hAnsi="Arial"/>
        </w:rPr>
        <w:t>Las pujas y compras serán manuales en el MVP; no existe dependencia de API para lanzar.</w:t>
      </w:r>
    </w:p>
    <w:p>
      <w:pPr>
        <w:pStyle w:val="ListBullet"/>
      </w:pPr>
      <w:r>
        <w:rPr>
          <w:rFonts w:ascii="Arial" w:hAnsi="Arial"/>
        </w:rPr>
        <w:t>La empresa española compra profesionalmente y vende al consumidor; el partner no es vendedor salvo contrato futuro específico.</w:t>
      </w:r>
    </w:p>
    <w:p>
      <w:pPr>
        <w:pStyle w:val="ListBullet"/>
      </w:pPr>
      <w:r>
        <w:rPr>
          <w:rFonts w:ascii="Arial" w:hAnsi="Arial"/>
        </w:rPr>
        <w:t>Lanzamiento piloto: Galicia y un partner adicional; expansión después de validar proceso y calidad.</w:t>
      </w:r>
    </w:p>
    <w:p>
      <w:pPr>
        <w:pStyle w:val="Heading2"/>
      </w:pPr>
      <w:r>
        <w:t>0.2 Glosario operativo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748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Oportunidad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Vehículo candidato sujeto a disponibilidad/adjudicación; no equivale a stock propio.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Solicitud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Necesidad registrada por un visitante, todavía sin cualificación.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Encargo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Mandato temporal para buscar vehículos que cumplen criterios acordados.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Reserva condicionada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Importe y aceptación que habilitan la operación bajo condiciones definidas; no garantiza adjudicación.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Precio final autorizado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Máximo aceptado por el comprador, con conceptos y supuestos documentados.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Puja máxima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Límite interno calculado para preservar costes, impuestos, riesgo y margen.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Partner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Proveedor homologado que recibe, revisa, prepara o entrega por cuenta de la sociedad vendedora.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Expediente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Registro único que agrupa comprador, criterios, candidatos, contratos, pagos, vehículo y eventos.</w:t>
            </w:r>
          </w:p>
        </w:tc>
      </w:tr>
    </w:tbl>
    <w:p>
      <w:pPr>
        <w:spacing w:after="40"/>
      </w:pPr>
    </w:p>
    <w:p>
      <w:pPr>
        <w:pStyle w:val="Heading1"/>
      </w:pPr>
      <w:r>
        <w:t>1. Resumen ejecutivo</w:t>
      </w:r>
    </w:p>
    <w:p>
      <w:r>
        <w:rPr>
          <w:rFonts w:ascii="Arial" w:hAnsi="Arial"/>
        </w:rPr>
        <w:t>PideTuCoche.eu será una plataforma B2C española para solicitar y adquirir vehículos de ocasión bajo pedido. El cliente no queda limitado al stock físico de un concesionario: define su necesidad, recibe oportunidades procedentes de canales profesionales autorizados, acepta un candidato y un precio máximo, formaliza una reserva condicionada y sigue digitalmente la compra, transporte, revisión, preparación y entrega.</w:t>
      </w:r>
    </w:p>
    <w:p>
      <w:pPr>
        <w:spacing w:before="100" w:after="140" w:line="276" w:lineRule="auto"/>
        <w:ind w:left="202" w:right="202"/>
        <w:shd w:fill="FFF1EB"/>
        <w:pBdr>
          <w:left w:val="single" w:sz="18" w:space="6" w:color="FF5A1F"/>
        </w:pBdr>
      </w:pPr>
      <w:r>
        <w:rPr>
          <w:rFonts w:ascii="Arial" w:hAnsi="Arial"/>
          <w:b/>
          <w:color w:val="FF5A1F"/>
          <w:sz w:val="18"/>
        </w:rPr>
        <w:t xml:space="preserve">DECISIÓN DE PRODUCTO </w:t>
      </w:r>
      <w:r>
        <w:rPr>
          <w:rFonts w:ascii="Arial" w:hAnsi="Arial"/>
          <w:color w:val="0B132B"/>
          <w:sz w:val="18"/>
        </w:rPr>
        <w:t>La experiencia debe sentirse digital y transparente para el comprador, aunque la compra en la subasta, la revisión económica y varias decisiones de riesgo sean manuales en el MVP. Cada intervención manual tendrá responsable, fecha, evidencia y resultado.</w:t>
      </w:r>
    </w:p>
    <w:p>
      <w:pPr>
        <w:pStyle w:val="Heading2"/>
      </w:pPr>
      <w:r>
        <w:t>1.1 Objetivos de negocio</w:t>
      </w:r>
    </w:p>
    <w:p>
      <w:pPr>
        <w:pStyle w:val="ListBullet"/>
      </w:pPr>
      <w:r>
        <w:rPr>
          <w:rFonts w:ascii="Arial" w:hAnsi="Arial"/>
        </w:rPr>
        <w:t>Reducir capital inmovilizado y riesgo de inventario retenido.</w:t>
      </w:r>
    </w:p>
    <w:p>
      <w:pPr>
        <w:pStyle w:val="ListBullet"/>
      </w:pPr>
      <w:r>
        <w:rPr>
          <w:rFonts w:ascii="Arial" w:hAnsi="Arial"/>
        </w:rPr>
        <w:t>Comprar solamente unidades respaldadas por demanda cualificada y precio aceptado.</w:t>
      </w:r>
    </w:p>
    <w:p>
      <w:pPr>
        <w:pStyle w:val="ListBullet"/>
      </w:pPr>
      <w:r>
        <w:rPr>
          <w:rFonts w:ascii="Arial" w:hAnsi="Arial"/>
        </w:rPr>
        <w:t>Obtener margen de compraventa y contribución de financiación, garantía, transporte o servicios permitidos.</w:t>
      </w:r>
    </w:p>
    <w:p>
      <w:pPr>
        <w:pStyle w:val="ListBullet"/>
      </w:pPr>
      <w:r>
        <w:rPr>
          <w:rFonts w:ascii="Arial" w:hAnsi="Arial"/>
        </w:rPr>
        <w:t>Centralizar control, documentación y calidad en Ourense sin obligar a que todo vehículo pase físicamente por el hub.</w:t>
      </w:r>
    </w:p>
    <w:p>
      <w:pPr>
        <w:pStyle w:val="ListBullet"/>
      </w:pPr>
      <w:r>
        <w:rPr>
          <w:rFonts w:ascii="Arial" w:hAnsi="Arial"/>
        </w:rPr>
        <w:t>Construir una red nacional de partners con SLA, evidencias y liquidaciones controladas.</w:t>
      </w:r>
    </w:p>
    <w:p>
      <w:pPr>
        <w:pStyle w:val="ListBullet"/>
      </w:pPr>
      <w:r>
        <w:rPr>
          <w:rFonts w:ascii="Arial" w:hAnsi="Arial"/>
        </w:rPr>
        <w:t>Validar como referencia cinco ventas mensuales y más de 10.000 € de contribución bruta en el tercer mes; no es garantía financiera.</w:t>
      </w:r>
    </w:p>
    <w:p>
      <w:pPr>
        <w:pStyle w:val="Heading2"/>
      </w:pPr>
      <w:r>
        <w:t>1.2 Indicadores de éxito del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5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3311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75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Meta inicial/criterio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Conversión</w:t>
            </w:r>
          </w:p>
        </w:tc>
        <w:tc>
          <w:tcPr>
            <w:tcW w:type="dxa" w:w="33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Solicitud cualificada / lead</w:t>
            </w:r>
          </w:p>
        </w:tc>
        <w:tc>
          <w:tcPr>
            <w:tcW w:type="dxa" w:w="47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Medir por canal; línea base en primeras 4 semanas.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Comercial</w:t>
            </w:r>
          </w:p>
        </w:tc>
        <w:tc>
          <w:tcPr>
            <w:tcW w:type="dxa" w:w="331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Reserva / solicitud cualificada</w:t>
            </w:r>
          </w:p>
        </w:tc>
        <w:tc>
          <w:tcPr>
            <w:tcW w:type="dxa" w:w="47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Objetivo inicial a validar: 10–20 %.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Compra</w:t>
            </w:r>
          </w:p>
        </w:tc>
        <w:tc>
          <w:tcPr>
            <w:tcW w:type="dxa" w:w="33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Adjudicación / candidato aprobado</w:t>
            </w:r>
          </w:p>
        </w:tc>
        <w:tc>
          <w:tcPr>
            <w:tcW w:type="dxa" w:w="47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Registrar por fuente, marca y rango de precio.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Margen</w:t>
            </w:r>
          </w:p>
        </w:tc>
        <w:tc>
          <w:tcPr>
            <w:tcW w:type="dxa" w:w="331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Contribución prevista vs. real</w:t>
            </w:r>
          </w:p>
        </w:tc>
        <w:tc>
          <w:tcPr>
            <w:tcW w:type="dxa" w:w="47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Desviación visible por operación y concepto.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Operación</w:t>
            </w:r>
          </w:p>
        </w:tc>
        <w:tc>
          <w:tcPr>
            <w:tcW w:type="dxa" w:w="33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Días reserva → entrega</w:t>
            </w:r>
          </w:p>
        </w:tc>
        <w:tc>
          <w:tcPr>
            <w:tcW w:type="dxa" w:w="47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Rango comunicado y SLA por etapa.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Calidad</w:t>
            </w:r>
          </w:p>
        </w:tc>
        <w:tc>
          <w:tcPr>
            <w:tcW w:type="dxa" w:w="331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Incidencias postentrega</w:t>
            </w:r>
          </w:p>
        </w:tc>
        <w:tc>
          <w:tcPr>
            <w:tcW w:type="dxa" w:w="47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Tipología, coste, responsable y tiempo de resolución.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Experiencia</w:t>
            </w:r>
          </w:p>
        </w:tc>
        <w:tc>
          <w:tcPr>
            <w:tcW w:type="dxa" w:w="33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NPS/CSAT tras entrega</w:t>
            </w:r>
          </w:p>
        </w:tc>
        <w:tc>
          <w:tcPr>
            <w:tcW w:type="dxa" w:w="47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Recoger solo después de operación completada.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Caja</w:t>
            </w:r>
          </w:p>
        </w:tc>
        <w:tc>
          <w:tcPr>
            <w:tcW w:type="dxa" w:w="331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Capital comprometido y cobrado</w:t>
            </w:r>
          </w:p>
        </w:tc>
        <w:tc>
          <w:tcPr>
            <w:tcW w:type="dxa" w:w="47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Panel diario; ninguna compra sin cobertura aprobada.</w:t>
            </w:r>
          </w:p>
        </w:tc>
      </w:tr>
    </w:tbl>
    <w:p>
      <w:pPr>
        <w:spacing w:after="40"/>
      </w:pPr>
    </w:p>
    <w:p>
      <w:pPr>
        <w:pStyle w:val="Heading1"/>
      </w:pPr>
      <w:r>
        <w:t>2. Modelo de negocio y contractual</w:t>
      </w:r>
    </w:p>
    <w:p>
      <w:pPr>
        <w:pStyle w:val="Heading2"/>
      </w:pPr>
      <w:r>
        <w:t>2.1 Actores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439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38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 debe asumir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Sociedad PideTuCoche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Compra profesional, venta B2C, precio, contratos, garantía y atención.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atribuir disponibilidad que no controla.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Comprador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Define necesidad, aporta documentación, acepta condiciones, reserva y paga.</w:t>
            </w:r>
          </w:p>
        </w:tc>
        <w:tc>
          <w:tcPr>
            <w:tcW w:type="dxa" w:w="33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accede a datos internos o credenciales de subasta.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Fuente profesional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Ofrece unidades y documentación bajo sus condiciones.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se presenta como vendedor B2C de PideTuCoche.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Transportista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Recogida, custodia y entrega logística.</w:t>
            </w:r>
          </w:p>
        </w:tc>
        <w:tc>
          <w:tcPr>
            <w:tcW w:type="dxa" w:w="33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valida mecánica ni precio.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Partner provincial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Recepción, inspección, trabajos aprobados y entrega.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se presenta como vendedor salvo acuerdo específico.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Financiador/garantía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Presta servicios regulados o cobertura contractual.</w:t>
            </w:r>
          </w:p>
        </w:tc>
        <w:tc>
          <w:tcPr>
            <w:tcW w:type="dxa" w:w="33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PideTuCoche no suplanta autorizaciones regulatorias.</w:t>
            </w:r>
          </w:p>
        </w:tc>
      </w:tr>
    </w:tbl>
    <w:p>
      <w:pPr>
        <w:spacing w:after="40"/>
      </w:pPr>
    </w:p>
    <w:p>
      <w:pPr>
        <w:pStyle w:val="Heading2"/>
      </w:pPr>
      <w:r>
        <w:t>2.2 Modalidad A — oportunidad concreta</w:t>
      </w:r>
    </w:p>
    <w:p>
      <w:pPr>
        <w:pStyle w:val="ListNumber"/>
      </w:pPr>
      <w:r>
        <w:rPr>
          <w:rFonts w:ascii="Arial" w:hAnsi="Arial"/>
        </w:rPr>
        <w:t>Operador crea una oportunidad autorizada con caducidad.</w:t>
      </w:r>
    </w:p>
    <w:p>
      <w:pPr>
        <w:pStyle w:val="ListNumber"/>
      </w:pPr>
      <w:r>
        <w:rPr>
          <w:rFonts w:ascii="Arial" w:hAnsi="Arial"/>
        </w:rPr>
        <w:t>Cliente consulta condiciones y solicita reserva.</w:t>
      </w:r>
    </w:p>
    <w:p>
      <w:pPr>
        <w:pStyle w:val="ListNumber"/>
      </w:pPr>
      <w:r>
        <w:rPr>
          <w:rFonts w:ascii="Arial" w:hAnsi="Arial"/>
        </w:rPr>
        <w:t>Equipo valida identidad, capacidad económica, disponibilidad y margen.</w:t>
      </w:r>
    </w:p>
    <w:p>
      <w:pPr>
        <w:pStyle w:val="ListNumber"/>
      </w:pPr>
      <w:r>
        <w:rPr>
          <w:rFonts w:ascii="Arial" w:hAnsi="Arial"/>
        </w:rPr>
        <w:t>Cliente acepta contrato, precio máximo y reserva condicionada.</w:t>
      </w:r>
    </w:p>
    <w:p>
      <w:pPr>
        <w:pStyle w:val="ListNumber"/>
      </w:pPr>
      <w:r>
        <w:rPr>
          <w:rFonts w:ascii="Arial" w:hAnsi="Arial"/>
        </w:rPr>
        <w:t>Comprador profesional ejecuta la puja manual.</w:t>
      </w:r>
    </w:p>
    <w:p>
      <w:pPr>
        <w:pStyle w:val="ListNumber"/>
      </w:pPr>
      <w:r>
        <w:rPr>
          <w:rFonts w:ascii="Arial" w:hAnsi="Arial"/>
        </w:rPr>
        <w:t>Adjudicada: se crea compra y logística. No adjudicada: reembolso, alternativa o continuidad conforme al contrato.</w:t>
      </w:r>
    </w:p>
    <w:p>
      <w:pPr>
        <w:pStyle w:val="Heading2"/>
      </w:pPr>
      <w:r>
        <w:t>2.3 Modalidad B — búsqueda por encargo</w:t>
      </w:r>
    </w:p>
    <w:p>
      <w:pPr>
        <w:pStyle w:val="ListNumber"/>
      </w:pPr>
      <w:r>
        <w:rPr>
          <w:rFonts w:ascii="Arial" w:hAnsi="Arial"/>
        </w:rPr>
        <w:t>Cliente configura presupuesto, modelos, antigüedad, km, combustible, uso y tolerancias.</w:t>
      </w:r>
    </w:p>
    <w:p>
      <w:pPr>
        <w:pStyle w:val="ListNumber"/>
      </w:pPr>
      <w:r>
        <w:rPr>
          <w:rFonts w:ascii="Arial" w:hAnsi="Arial"/>
        </w:rPr>
        <w:t>Asesor valida viabilidad y propone rango realista.</w:t>
      </w:r>
    </w:p>
    <w:p>
      <w:pPr>
        <w:pStyle w:val="ListNumber"/>
      </w:pPr>
      <w:r>
        <w:rPr>
          <w:rFonts w:ascii="Arial" w:hAnsi="Arial"/>
        </w:rPr>
        <w:t>Cliente acepta orden de búsqueda de 7–15 días y tarifa/reserva deducible.</w:t>
      </w:r>
    </w:p>
    <w:p>
      <w:pPr>
        <w:pStyle w:val="ListNumber"/>
      </w:pPr>
      <w:r>
        <w:rPr>
          <w:rFonts w:ascii="Arial" w:hAnsi="Arial"/>
        </w:rPr>
        <w:t>Operador propone candidatos comparables con diferencias visibles.</w:t>
      </w:r>
    </w:p>
    <w:p>
      <w:pPr>
        <w:pStyle w:val="ListNumber"/>
      </w:pPr>
      <w:r>
        <w:rPr>
          <w:rFonts w:ascii="Arial" w:hAnsi="Arial"/>
        </w:rPr>
        <w:t>Cliente aprueba por soporte duradero un candidato y precio máximo.</w:t>
      </w:r>
    </w:p>
    <w:p>
      <w:pPr>
        <w:pStyle w:val="ListNumber"/>
      </w:pPr>
      <w:r>
        <w:rPr>
          <w:rFonts w:ascii="Arial" w:hAnsi="Arial"/>
        </w:rPr>
        <w:t>Se ejecuta compra manual y continúa el expediente hasta entrega.</w:t>
      </w:r>
    </w:p>
    <w:p>
      <w:pPr>
        <w:pStyle w:val="Heading2"/>
      </w:pPr>
      <w:r>
        <w:t>2.4 Fuentes de ingresos y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45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Tratamiento en sistema</w:t>
            </w:r>
          </w:p>
        </w:tc>
        <w:tc>
          <w:tcPr>
            <w:tcW w:type="dxa" w:w="309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Margen de compraventa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Previsto y real, separado de impuestos y provisiones.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Mínimo configurable y bloqueo de puja.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Tarifa de búsqueda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Pedido, factura y condición de deducción/reembolso.</w:t>
            </w:r>
          </w:p>
        </w:tc>
        <w:tc>
          <w:tcPr>
            <w:tcW w:type="dxa" w:w="30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Contrato y comunicación previa.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Financiación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Comisión registrada cuando sea legal y liquidada.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Consentimiento y proveedor autorizado.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Garantía ampliada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Producto, cobertura, coste y comisión separados.</w:t>
            </w:r>
          </w:p>
        </w:tc>
        <w:tc>
          <w:tcPr>
            <w:tcW w:type="dxa" w:w="30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confundir con garantía legal.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Transporte/entrega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Coste repercutido o incluido, siempre visible.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doble contabilización.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Servicios adicionales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Gestoría, preparación, accesorios o entrega premium.</w:t>
            </w:r>
          </w:p>
        </w:tc>
        <w:tc>
          <w:tcPr>
            <w:tcW w:type="dxa" w:w="30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Opt-in y precio antes de contratar.</w:t>
            </w:r>
          </w:p>
        </w:tc>
      </w:tr>
    </w:tbl>
    <w:p>
      <w:pPr>
        <w:spacing w:after="40"/>
      </w:pPr>
    </w:p>
    <w:p>
      <w:pPr>
        <w:pStyle w:val="Heading1"/>
      </w:pPr>
      <w:r>
        <w:t>3. Alcance del MVP y exclusiones</w:t>
      </w:r>
    </w:p>
    <w:p>
      <w:pPr>
        <w:pStyle w:val="Heading2"/>
      </w:pPr>
      <w:r>
        <w:t>3.1 Incluido — Must</w:t>
      </w:r>
    </w:p>
    <w:p>
      <w:pPr>
        <w:pStyle w:val="ListBullet"/>
      </w:pPr>
      <w:r>
        <w:rPr>
          <w:rFonts w:ascii="Arial" w:hAnsi="Arial"/>
        </w:rPr>
        <w:t>Web pública responsive y orientada a conversión con identidad PideTuCoche.eu.</w:t>
      </w:r>
    </w:p>
    <w:p>
      <w:pPr>
        <w:pStyle w:val="ListBullet"/>
      </w:pPr>
      <w:r>
        <w:rPr>
          <w:rFonts w:ascii="Arial" w:hAnsi="Arial"/>
        </w:rPr>
        <w:t>Configurador de vehículo bajo pedido y captación de leads.</w:t>
      </w:r>
    </w:p>
    <w:p>
      <w:pPr>
        <w:pStyle w:val="ListBullet"/>
      </w:pPr>
      <w:r>
        <w:rPr>
          <w:rFonts w:ascii="Arial" w:hAnsi="Arial"/>
        </w:rPr>
        <w:t>Gestión manual/CSV de oportunidades autorizadas, con caducidad.</w:t>
      </w:r>
    </w:p>
    <w:p>
      <w:pPr>
        <w:pStyle w:val="ListBullet"/>
      </w:pPr>
      <w:r>
        <w:rPr>
          <w:rFonts w:ascii="Arial" w:hAnsi="Arial"/>
        </w:rPr>
        <w:t>Comparación de candidatos y desglose de precio final.</w:t>
      </w:r>
    </w:p>
    <w:p>
      <w:pPr>
        <w:pStyle w:val="ListBullet"/>
      </w:pPr>
      <w:r>
        <w:rPr>
          <w:rFonts w:ascii="Arial" w:hAnsi="Arial"/>
        </w:rPr>
        <w:t>Reserva condicionada, contrato versionado, cobro y reembolso.</w:t>
      </w:r>
    </w:p>
    <w:p>
      <w:pPr>
        <w:pStyle w:val="ListBullet"/>
      </w:pPr>
      <w:r>
        <w:rPr>
          <w:rFonts w:ascii="Arial" w:hAnsi="Arial"/>
        </w:rPr>
        <w:t>Portal cliente con timeline, documentos, pagos, incidencias y entrega.</w:t>
      </w:r>
    </w:p>
    <w:p>
      <w:pPr>
        <w:pStyle w:val="ListBullet"/>
      </w:pPr>
      <w:r>
        <w:rPr>
          <w:rFonts w:ascii="Arial" w:hAnsi="Arial"/>
        </w:rPr>
        <w:t>Backoffice con CRM, pipeline, cálculo económico, compras y auditoría.</w:t>
      </w:r>
    </w:p>
    <w:p>
      <w:pPr>
        <w:pStyle w:val="ListBullet"/>
      </w:pPr>
      <w:r>
        <w:rPr>
          <w:rFonts w:ascii="Arial" w:hAnsi="Arial"/>
        </w:rPr>
        <w:t>Portal partner con recepción, inspección, fotos, presupuestos y entrega.</w:t>
      </w:r>
    </w:p>
    <w:p>
      <w:pPr>
        <w:pStyle w:val="ListBullet"/>
      </w:pPr>
      <w:r>
        <w:rPr>
          <w:rFonts w:ascii="Arial" w:hAnsi="Arial"/>
        </w:rPr>
        <w:t>Notificaciones transaccionales por email y enlaces WhatsApp controlados.</w:t>
      </w:r>
    </w:p>
    <w:p>
      <w:pPr>
        <w:pStyle w:val="ListBullet"/>
      </w:pPr>
      <w:r>
        <w:rPr>
          <w:rFonts w:ascii="Arial" w:hAnsi="Arial"/>
        </w:rPr>
        <w:t>Analítica, dashboard, exportaciones, consentimientos, RGPD y cookies.</w:t>
      </w:r>
    </w:p>
    <w:p>
      <w:pPr>
        <w:pStyle w:val="ListBullet"/>
      </w:pPr>
      <w:r>
        <w:rPr>
          <w:rFonts w:ascii="Arial" w:hAnsi="Arial"/>
        </w:rPr>
        <w:t>Staging, producción, monitorización, backups y documentación de traspaso.</w:t>
      </w:r>
    </w:p>
    <w:p>
      <w:pPr>
        <w:pStyle w:val="Heading2"/>
      </w:pPr>
      <w:r>
        <w:t>3.2 Fuera del MVP</w:t>
      </w:r>
    </w:p>
    <w:p>
      <w:pPr>
        <w:pStyle w:val="ListBullet"/>
      </w:pPr>
      <w:r>
        <w:rPr>
          <w:rFonts w:ascii="Arial" w:hAnsi="Arial"/>
        </w:rPr>
        <w:t>Scraping o copia masiva de AUTO1 u otra fuente.</w:t>
      </w:r>
    </w:p>
    <w:p>
      <w:pPr>
        <w:pStyle w:val="ListBullet"/>
      </w:pPr>
      <w:r>
        <w:rPr>
          <w:rFonts w:ascii="Arial" w:hAnsi="Arial"/>
        </w:rPr>
        <w:t>API AUTO1 no documentada/autorizada.</w:t>
      </w:r>
    </w:p>
    <w:p>
      <w:pPr>
        <w:pStyle w:val="ListBullet"/>
      </w:pPr>
      <w:r>
        <w:rPr>
          <w:rFonts w:ascii="Arial" w:hAnsi="Arial"/>
        </w:rPr>
        <w:t>Puja o compra automática.</w:t>
      </w:r>
    </w:p>
    <w:p>
      <w:pPr>
        <w:pStyle w:val="ListBullet"/>
      </w:pPr>
      <w:r>
        <w:rPr>
          <w:rFonts w:ascii="Arial" w:hAnsi="Arial"/>
        </w:rPr>
        <w:t>Marketplace abierto multi-vendedor.</w:t>
      </w:r>
    </w:p>
    <w:p>
      <w:pPr>
        <w:pStyle w:val="ListBullet"/>
      </w:pPr>
      <w:r>
        <w:rPr>
          <w:rFonts w:ascii="Arial" w:hAnsi="Arial"/>
        </w:rPr>
        <w:t>Aplicaciones móviles nativas.</w:t>
      </w:r>
    </w:p>
    <w:p>
      <w:pPr>
        <w:pStyle w:val="ListBullet"/>
      </w:pPr>
      <w:r>
        <w:rPr>
          <w:rFonts w:ascii="Arial" w:hAnsi="Arial"/>
        </w:rPr>
        <w:t>Concesión propia de crédito o seguro.</w:t>
      </w:r>
    </w:p>
    <w:p>
      <w:pPr>
        <w:pStyle w:val="ListBullet"/>
      </w:pPr>
      <w:r>
        <w:rPr>
          <w:rFonts w:ascii="Arial" w:hAnsi="Arial"/>
        </w:rPr>
        <w:t>ERP, contabilidad o DMS de taller completo.</w:t>
      </w:r>
    </w:p>
    <w:p>
      <w:pPr>
        <w:pStyle w:val="ListBullet"/>
      </w:pPr>
      <w:r>
        <w:rPr>
          <w:rFonts w:ascii="Arial" w:hAnsi="Arial"/>
        </w:rPr>
        <w:t>Escrow complejo, franquicias o liquidación automática de comisiones.</w:t>
      </w:r>
    </w:p>
    <w:p>
      <w:pPr>
        <w:pStyle w:val="ListBullet"/>
      </w:pPr>
      <w:r>
        <w:rPr>
          <w:rFonts w:ascii="Arial" w:hAnsi="Arial"/>
        </w:rPr>
        <w:t>Importación extracomunitaria y homologaciones complejas.</w:t>
      </w:r>
    </w:p>
    <w:p>
      <w:pPr>
        <w:pStyle w:val="ListBullet"/>
      </w:pPr>
      <w:r>
        <w:rPr>
          <w:rFonts w:ascii="Arial" w:hAnsi="Arial"/>
        </w:rPr>
        <w:t>IA que apruebe riesgos o decisiones contractuales sin supervisión.</w:t>
      </w:r>
    </w:p>
    <w:p>
      <w:pPr>
        <w:pStyle w:val="Heading2"/>
      </w:pPr>
      <w:r>
        <w:t>3.3 Estrategia de datos de catálogo</w:t>
      </w:r>
    </w:p>
    <w:p>
      <w:pPr>
        <w:spacing w:before="100" w:after="140" w:line="276" w:lineRule="auto"/>
        <w:ind w:left="202" w:right="202"/>
        <w:shd w:fill="FFF1EB"/>
        <w:pBdr>
          <w:left w:val="single" w:sz="18" w:space="6" w:color="FF5A1F"/>
        </w:pBdr>
      </w:pPr>
      <w:r>
        <w:rPr>
          <w:rFonts w:ascii="Arial" w:hAnsi="Arial"/>
          <w:b/>
          <w:color w:val="FF5A1F"/>
          <w:sz w:val="18"/>
        </w:rPr>
        <w:t xml:space="preserve">REGLA CRÍTICA </w:t>
      </w:r>
      <w:r>
        <w:rPr>
          <w:rFonts w:ascii="Arial" w:hAnsi="Arial"/>
          <w:color w:val="0B132B"/>
          <w:sz w:val="18"/>
        </w:rPr>
        <w:t>Solo se publicarán imágenes, descripciones y datos para los que PideTuCoche disponga de derecho de uso. Si la fuente no autoriza republicación, el MVP utilizará fichas representativas propias, datos introducidos manualmente y propuestas privadas al cliente.</w:t>
      </w:r>
    </w:p>
    <w:p>
      <w:pPr>
        <w:pStyle w:val="Heading1"/>
      </w:pPr>
      <w:r>
        <w:t>4. Usuarios, roles y permisos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446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Funciones</w:t>
            </w:r>
          </w:p>
        </w:tc>
        <w:tc>
          <w:tcPr>
            <w:tcW w:type="dxa" w:w="3311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Restricciones clave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Visitante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Contenido, simulación, solicitud y contacto.</w:t>
            </w:r>
          </w:p>
        </w:tc>
        <w:tc>
          <w:tcPr>
            <w:tcW w:type="dxa" w:w="33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Sin datos privados ni internos de fuente.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Comprador</w:t>
            </w:r>
          </w:p>
        </w:tc>
        <w:tc>
          <w:tcPr>
            <w:tcW w:type="dxa" w:w="44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Expediente, candidatos, reserva, documentos, pagos y seguimiento.</w:t>
            </w:r>
          </w:p>
        </w:tc>
        <w:tc>
          <w:tcPr>
            <w:tcW w:type="dxa" w:w="331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Solo sus expedientes.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Asesor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Leads, cualificación, propuestas y comunicación.</w:t>
            </w:r>
          </w:p>
        </w:tc>
        <w:tc>
          <w:tcPr>
            <w:tcW w:type="dxa" w:w="33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altera coste base ni autoriza compras.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Comprador profesional</w:t>
            </w:r>
          </w:p>
        </w:tc>
        <w:tc>
          <w:tcPr>
            <w:tcW w:type="dxa" w:w="44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Costes, puja máxima, adjudicación y fuente.</w:t>
            </w:r>
          </w:p>
        </w:tc>
        <w:tc>
          <w:tcPr>
            <w:tcW w:type="dxa" w:w="331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Doble aprobación sobre umbral.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Operaciones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Transporte, partner, inspección, preparación y entrega.</w:t>
            </w:r>
          </w:p>
        </w:tc>
        <w:tc>
          <w:tcPr>
            <w:tcW w:type="dxa" w:w="33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modifica contratos firmados.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Finanzas</w:t>
            </w:r>
          </w:p>
        </w:tc>
        <w:tc>
          <w:tcPr>
            <w:tcW w:type="dxa" w:w="44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Cobros, reembolsos, conciliación, facturas y margen real.</w:t>
            </w:r>
          </w:p>
        </w:tc>
        <w:tc>
          <w:tcPr>
            <w:tcW w:type="dxa" w:w="331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Sin borrado de transacciones.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Partner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Órdenes asignadas, checklist, evidencias y entrega.</w:t>
            </w:r>
          </w:p>
        </w:tc>
        <w:tc>
          <w:tcPr>
            <w:tcW w:type="dxa" w:w="33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Sin margen, datos de fuente o clientes ajenos.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Administrador</w:t>
            </w:r>
          </w:p>
        </w:tc>
        <w:tc>
          <w:tcPr>
            <w:tcW w:type="dxa" w:w="44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Usuarios, configuración y plantillas.</w:t>
            </w:r>
          </w:p>
        </w:tc>
        <w:tc>
          <w:tcPr>
            <w:tcW w:type="dxa" w:w="331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Acciones sensibles auditadas y MFA.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Auditor/lectura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Consulta de trazas y documentos.</w:t>
            </w:r>
          </w:p>
        </w:tc>
        <w:tc>
          <w:tcPr>
            <w:tcW w:type="dxa" w:w="33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Sin modificación.</w:t>
            </w:r>
          </w:p>
        </w:tc>
      </w:tr>
    </w:tbl>
    <w:p>
      <w:pPr>
        <w:spacing w:after="40"/>
      </w:pPr>
    </w:p>
    <w:p>
      <w:pPr>
        <w:pStyle w:val="Heading2"/>
      </w:pPr>
      <w:r>
        <w:t>4.1 Matriz mínima de autorización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252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44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Asesor</w:t>
            </w:r>
          </w:p>
        </w:tc>
        <w:tc>
          <w:tcPr>
            <w:tcW w:type="dxa" w:w="144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Compras</w:t>
            </w:r>
          </w:p>
        </w:tc>
        <w:tc>
          <w:tcPr>
            <w:tcW w:type="dxa" w:w="144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Operaciones</w:t>
            </w:r>
          </w:p>
        </w:tc>
        <w:tc>
          <w:tcPr>
            <w:tcW w:type="dxa" w:w="144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Finanzas</w:t>
            </w:r>
          </w:p>
        </w:tc>
        <w:tc>
          <w:tcPr>
            <w:tcW w:type="dxa" w:w="144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Cambiar margen mínimo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Solicita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Aprueba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Configura</w:t>
            </w:r>
          </w:p>
        </w:tc>
      </w:tr>
      <w:tr>
        <w:trPr>
          <w:cantSplit/>
        </w:trPr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Autorizar puja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Sí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Confirma cobertura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Reembolsar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Solicita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Ejecuta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Aprueba umbral</w:t>
            </w:r>
          </w:p>
        </w:tc>
      </w:tr>
      <w:tr>
        <w:trPr>
          <w:cantSplit/>
        </w:trPr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Aprobar reparación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Sí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Confirma presupuesto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Cambiar contrato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Nueva versión</w:t>
            </w:r>
          </w:p>
        </w:tc>
      </w:tr>
      <w:tr>
        <w:trPr>
          <w:cantSplit/>
        </w:trPr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Exportar datos personales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—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Limitado</w:t>
            </w:r>
          </w:p>
        </w:tc>
        <w:tc>
          <w:tcPr>
            <w:tcW w:type="dxa" w:w="14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Sí + auditoría</w:t>
            </w:r>
          </w:p>
        </w:tc>
      </w:tr>
    </w:tbl>
    <w:p>
      <w:pPr>
        <w:spacing w:after="40"/>
      </w:pPr>
    </w:p>
    <w:p>
      <w:pPr>
        <w:pStyle w:val="Heading1"/>
      </w:pPr>
      <w:r>
        <w:t>5. Experiencia del comprador y estados</w:t>
      </w:r>
    </w:p>
    <w:p>
      <w:pPr>
        <w:pStyle w:val="Heading2"/>
      </w:pPr>
      <w:r>
        <w:t>5.1 Recorrido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460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Pantalla/acción</w:t>
            </w:r>
          </w:p>
        </w:tc>
        <w:tc>
          <w:tcPr>
            <w:tcW w:type="dxa" w:w="360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Salida verificable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Descubrir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Landing, oportunidades, comparador y contenidos.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Consentimiento y fuente de campaña.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Definir</w:t>
            </w:r>
          </w:p>
        </w:tc>
        <w:tc>
          <w:tcPr>
            <w:tcW w:type="dxa" w:w="460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Configurador en pasos y guardado de borrador.</w:t>
            </w:r>
          </w:p>
        </w:tc>
        <w:tc>
          <w:tcPr>
            <w:tcW w:type="dxa" w:w="36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Solicitud con criterios normalizados.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Cualificar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Contacto, identidad y capacidad económica.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Lead qualified/rejected con motivo.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Proponer</w:t>
            </w:r>
          </w:p>
        </w:tc>
        <w:tc>
          <w:tcPr>
            <w:tcW w:type="dxa" w:w="460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Candidatos y diferencias.</w:t>
            </w:r>
          </w:p>
        </w:tc>
        <w:tc>
          <w:tcPr>
            <w:tcW w:type="dxa" w:w="36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Aprobación o rechazo individual.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Reservar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Condiciones, contrato y pago.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Reserva confirmada y evidencia.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Comprar</w:t>
            </w:r>
          </w:p>
        </w:tc>
        <w:tc>
          <w:tcPr>
            <w:tcW w:type="dxa" w:w="460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Disponibilidad, puja y adjudicación.</w:t>
            </w:r>
          </w:p>
        </w:tc>
        <w:tc>
          <w:tcPr>
            <w:tcW w:type="dxa" w:w="36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Won/lost; coste y VIN.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Preparar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Transporte, recepción, inspección y trabajos.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Checklist, fotos, aprobación.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Entregar</w:t>
            </w:r>
          </w:p>
        </w:tc>
        <w:tc>
          <w:tcPr>
            <w:tcW w:type="dxa" w:w="460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Cita, saldo, firma y evidencias.</w:t>
            </w:r>
          </w:p>
        </w:tc>
        <w:tc>
          <w:tcPr>
            <w:tcW w:type="dxa" w:w="36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Entrega completada.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Posventa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Garantía, incidencia y satisfacción.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Caso con SLA y resolución.</w:t>
            </w:r>
          </w:p>
        </w:tc>
      </w:tr>
    </w:tbl>
    <w:p>
      <w:pPr>
        <w:spacing w:after="40"/>
      </w:pPr>
    </w:p>
    <w:p>
      <w:pPr>
        <w:pStyle w:val="Heading2"/>
      </w:pPr>
      <w:r>
        <w:t>5.2 Máquina de estados del expediente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52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439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Siguiente control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LEAD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Solicitud recibida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Cualificar o descartar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QUALIFIED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Comprador viable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Crear encargo/proponer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SEARCHING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Búsqueda activa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Presentar candidatos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CANDIDATE_APPROVED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Candidato aceptado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Formalizar reserva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RESERVED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Contrato y reserva válidos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Autorizar compra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BIDDING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Puja en curso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Won/Lost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WON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Unidad adjudicada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Crear compra/transporte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IN_TRANSIT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 transporte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Registrar recepción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RECEIVED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Vehículo recibido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Inspeccionar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INSPECTION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Revisión en curso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Pass/Repair/Reject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PREPARATION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Trabajos aprobados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Ready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READY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Listo para entrega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Programar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DELIVERED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Entrega firmada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Abrir posventa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CLOSED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Operación cerrada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Solo lectura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CANCELLED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Cancelado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Reembolso/liquidación</w:t>
            </w:r>
          </w:p>
        </w:tc>
      </w:tr>
    </w:tbl>
    <w:p>
      <w:pPr>
        <w:spacing w:after="40"/>
      </w:pPr>
    </w:p>
    <w:p>
      <w:pPr>
        <w:pStyle w:val="Heading2"/>
      </w:pPr>
      <w:r>
        <w:t>5.3 Reglas de transición</w:t>
      </w:r>
    </w:p>
    <w:p>
      <w:pPr>
        <w:pStyle w:val="ListBullet"/>
      </w:pPr>
      <w:r>
        <w:rPr>
          <w:rFonts w:ascii="Arial" w:hAnsi="Arial"/>
        </w:rPr>
        <w:t>Ningún estado se cambia sin usuario, fecha y motivo.</w:t>
      </w:r>
    </w:p>
    <w:p>
      <w:pPr>
        <w:pStyle w:val="ListBullet"/>
      </w:pPr>
      <w:r>
        <w:rPr>
          <w:rFonts w:ascii="Arial" w:hAnsi="Arial"/>
        </w:rPr>
        <w:t>Una transición sensible conserva evidencia y versión de datos.</w:t>
      </w:r>
    </w:p>
    <w:p>
      <w:pPr>
        <w:pStyle w:val="ListBullet"/>
      </w:pPr>
      <w:r>
        <w:rPr>
          <w:rFonts w:ascii="Arial" w:hAnsi="Arial"/>
        </w:rPr>
        <w:t>No se salta de RESERVED a IN_TRANSIT sin adjudicación y compra.</w:t>
      </w:r>
    </w:p>
    <w:p>
      <w:pPr>
        <w:pStyle w:val="ListBullet"/>
      </w:pPr>
      <w:r>
        <w:rPr>
          <w:rFonts w:ascii="Arial" w:hAnsi="Arial"/>
        </w:rPr>
        <w:t>No se marca READY sin inspección resuelta y documentación mínima.</w:t>
      </w:r>
    </w:p>
    <w:p>
      <w:pPr>
        <w:pStyle w:val="ListBullet"/>
      </w:pPr>
      <w:r>
        <w:rPr>
          <w:rFonts w:ascii="Arial" w:hAnsi="Arial"/>
        </w:rPr>
        <w:t>No se marca DELIVERED sin saldo confirmado y acta de entrega.</w:t>
      </w:r>
    </w:p>
    <w:p>
      <w:pPr>
        <w:pStyle w:val="ListBullet"/>
      </w:pPr>
      <w:r>
        <w:rPr>
          <w:rFonts w:ascii="Arial" w:hAnsi="Arial"/>
        </w:rPr>
        <w:t>La cancelación no elimina el expediente ni sus documentos.</w:t>
      </w:r>
    </w:p>
    <w:p>
      <w:pPr>
        <w:pStyle w:val="Heading1"/>
      </w:pPr>
      <w:r>
        <w:t>6. Requisitos funcionales</w:t>
      </w:r>
    </w:p>
    <w:p>
      <w:pPr>
        <w:pStyle w:val="Heading2"/>
      </w:pPr>
      <w:r>
        <w:t>6.1 Web pública y captación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5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0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11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Aceptación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WEB-01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Landing Naranja Performance con CTA “PEDIR MI COCHE”.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Must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LCP móvil objetivo ≤2,5 s en condiciones acordadas.</w:t>
            </w:r>
          </w:p>
        </w:tc>
      </w:tr>
      <w:tr>
        <w:trPr>
          <w:cantSplit/>
        </w:trPr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WEB-02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Configurador multistep con autosave.</w:t>
            </w:r>
          </w:p>
        </w:tc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Must</w:t>
            </w:r>
          </w:p>
        </w:tc>
        <w:tc>
          <w:tcPr>
            <w:tcW w:type="dxa" w:w="311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Crea lead/expediente y recupera borrador.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WEB-03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Oportunidades autorizadas con filtros y caducidad.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Must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Una ficha vencida no permite reservar.</w:t>
            </w:r>
          </w:p>
        </w:tc>
      </w:tr>
      <w:tr>
        <w:trPr>
          <w:cantSplit/>
        </w:trPr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WEB-04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Ficha con disponibilidad condicionada y precio transparente.</w:t>
            </w:r>
          </w:p>
        </w:tc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Must</w:t>
            </w:r>
          </w:p>
        </w:tc>
        <w:tc>
          <w:tcPr>
            <w:tcW w:type="dxa" w:w="311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No usa “en stock” si no se posee.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WEB-05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Comparador de hasta 3 candidatos.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Should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Diferencias de coste, km, año, consumo y riesgos.</w:t>
            </w:r>
          </w:p>
        </w:tc>
      </w:tr>
      <w:tr>
        <w:trPr>
          <w:cantSplit/>
        </w:trPr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WEB-06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Calculadora comparativa eléctrico/convencional.</w:t>
            </w:r>
          </w:p>
        </w:tc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Could</w:t>
            </w:r>
          </w:p>
        </w:tc>
        <w:tc>
          <w:tcPr>
            <w:tcW w:type="dxa" w:w="311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Supuestos editables y aviso metodológico.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WEB-07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SEO técnico, datos estructurados y sitemap.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Must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Páginas indexables controladas y sin contenido duplicado.</w:t>
            </w:r>
          </w:p>
        </w:tc>
      </w:tr>
      <w:tr>
        <w:trPr>
          <w:cantSplit/>
        </w:trPr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WEB-08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FAQ y páginas legales configurables.</w:t>
            </w:r>
          </w:p>
        </w:tc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Must</w:t>
            </w:r>
          </w:p>
        </w:tc>
        <w:tc>
          <w:tcPr>
            <w:tcW w:type="dxa" w:w="311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CMS básico y registro de publicación.</w:t>
            </w:r>
          </w:p>
        </w:tc>
      </w:tr>
    </w:tbl>
    <w:p>
      <w:pPr>
        <w:spacing w:after="40"/>
      </w:pPr>
    </w:p>
    <w:p>
      <w:pPr>
        <w:pStyle w:val="Heading2"/>
      </w:pPr>
      <w:r>
        <w:t>6.2 Solicitudes y CRM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5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0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11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Aceptación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CRM-01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Lead con canal, UTM, criterios y consentimiento.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pierde atribución durante el flujo.</w:t>
            </w:r>
          </w:p>
        </w:tc>
      </w:tr>
      <w:tr>
        <w:trPr>
          <w:cantSplit/>
        </w:trPr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CRM-02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Asignación manual/automática y SLA.</w:t>
            </w:r>
          </w:p>
        </w:tc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Cola visible y alertas de vencimiento.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CRM-03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Scoring configurable, no decisor automático.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Should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Factores explicables y override registrado.</w:t>
            </w:r>
          </w:p>
        </w:tc>
      </w:tr>
      <w:tr>
        <w:trPr>
          <w:cantSplit/>
        </w:trPr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CRM-04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Historial omnicanal básico.</w:t>
            </w:r>
          </w:p>
        </w:tc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Email, llamada y nota con autor/fecha.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CRM-05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Duplicados por email/teléfono y merge controlado.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Should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fusiona expedientes sin confirmación.</w:t>
            </w:r>
          </w:p>
        </w:tc>
      </w:tr>
    </w:tbl>
    <w:p>
      <w:pPr>
        <w:spacing w:after="40"/>
      </w:pPr>
    </w:p>
    <w:p>
      <w:pPr>
        <w:pStyle w:val="Heading2"/>
      </w:pPr>
      <w:r>
        <w:t>6.3 Candidatos, reserva y contratación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5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0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11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Aceptación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CAT-01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Candidato con fuente, caducidad, derechos y VIN protegido.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Campos sensibles solo para roles autorizados.</w:t>
            </w:r>
          </w:p>
        </w:tc>
      </w:tr>
      <w:tr>
        <w:trPr>
          <w:cantSplit/>
        </w:trPr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CAT-02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Versión de propuesta y desglose económico.</w:t>
            </w:r>
          </w:p>
        </w:tc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Se reproduce lo aceptado por el cliente.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RES-01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Reserva configurable por modalidad.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Pago genera recibo y estado único.</w:t>
            </w:r>
          </w:p>
        </w:tc>
      </w:tr>
      <w:tr>
        <w:trPr>
          <w:cantSplit/>
        </w:trPr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RES-02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Contrato/versionado y aceptación reforzada.</w:t>
            </w:r>
          </w:p>
        </w:tc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Hash, versión, fecha, IP/contexto permitido y copia.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RES-03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Reembolso total/parcial con motivo y aprobación.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Registro inmutable y conciliable.</w:t>
            </w:r>
          </w:p>
        </w:tc>
      </w:tr>
      <w:tr>
        <w:trPr>
          <w:cantSplit/>
        </w:trPr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RES-04</w:t>
            </w:r>
          </w:p>
        </w:tc>
        <w:tc>
          <w:tcPr>
            <w:tcW w:type="dxa" w:w="45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Bloqueo lógico de doble asignación.</w:t>
            </w:r>
          </w:p>
        </w:tc>
        <w:tc>
          <w:tcPr>
            <w:tcW w:type="dxa" w:w="10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Prueba concurrente impide doble reserva.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RES-05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Caducidad y recordatorios.</w:t>
            </w:r>
          </w:p>
        </w:tc>
        <w:tc>
          <w:tcPr>
            <w:tcW w:type="dxa" w:w="10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Must</w:t>
            </w:r>
          </w:p>
        </w:tc>
        <w:tc>
          <w:tcPr>
            <w:tcW w:type="dxa" w:w="311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Libera candidato conforme a reglas.</w:t>
            </w:r>
          </w:p>
        </w:tc>
      </w:tr>
    </w:tbl>
    <w:p>
      <w:pPr>
        <w:spacing w:after="40"/>
      </w:pPr>
    </w:p>
    <w:p>
      <w:pPr>
        <w:pStyle w:val="Heading2"/>
      </w:pPr>
      <w:r>
        <w:t>6.4 Portal del comprador</w:t>
      </w:r>
    </w:p>
    <w:p>
      <w:pPr>
        <w:pStyle w:val="ListBullet"/>
      </w:pPr>
      <w:r>
        <w:rPr>
          <w:rFonts w:ascii="Arial" w:hAnsi="Arial"/>
        </w:rPr>
        <w:t>Dashboard con estado, próxima acción y asesor.</w:t>
      </w:r>
    </w:p>
    <w:p>
      <w:pPr>
        <w:pStyle w:val="ListBullet"/>
      </w:pPr>
      <w:r>
        <w:rPr>
          <w:rFonts w:ascii="Arial" w:hAnsi="Arial"/>
        </w:rPr>
        <w:t>Candidatos propuestos, comparación y aprobación/rechazo.</w:t>
      </w:r>
    </w:p>
    <w:p>
      <w:pPr>
        <w:pStyle w:val="ListBullet"/>
      </w:pPr>
      <w:r>
        <w:rPr>
          <w:rFonts w:ascii="Arial" w:hAnsi="Arial"/>
        </w:rPr>
        <w:t>Desglose de precio y cambios aceptados.</w:t>
      </w:r>
    </w:p>
    <w:p>
      <w:pPr>
        <w:pStyle w:val="ListBullet"/>
      </w:pPr>
      <w:r>
        <w:rPr>
          <w:rFonts w:ascii="Arial" w:hAnsi="Arial"/>
        </w:rPr>
        <w:t>Contratos, recibos, facturas y documentos descargables.</w:t>
      </w:r>
    </w:p>
    <w:p>
      <w:pPr>
        <w:pStyle w:val="ListBullet"/>
      </w:pPr>
      <w:r>
        <w:rPr>
          <w:rFonts w:ascii="Arial" w:hAnsi="Arial"/>
        </w:rPr>
        <w:t>Timeline con rangos de fecha y eventos reales.</w:t>
      </w:r>
    </w:p>
    <w:p>
      <w:pPr>
        <w:pStyle w:val="ListBullet"/>
      </w:pPr>
      <w:r>
        <w:rPr>
          <w:rFonts w:ascii="Arial" w:hAnsi="Arial"/>
        </w:rPr>
        <w:t>Cita de entrega, ubicación y requisitos.</w:t>
      </w:r>
    </w:p>
    <w:p>
      <w:pPr>
        <w:pStyle w:val="ListBullet"/>
      </w:pPr>
      <w:r>
        <w:rPr>
          <w:rFonts w:ascii="Arial" w:hAnsi="Arial"/>
        </w:rPr>
        <w:t>Incidencias y garantía con archivos.</w:t>
      </w:r>
    </w:p>
    <w:p>
      <w:pPr>
        <w:pStyle w:val="ListBullet"/>
      </w:pPr>
      <w:r>
        <w:rPr>
          <w:rFonts w:ascii="Arial" w:hAnsi="Arial"/>
        </w:rPr>
        <w:t>Preferencias, consentimientos y derechos de datos.</w:t>
      </w:r>
    </w:p>
    <w:p>
      <w:pPr>
        <w:pStyle w:val="Heading2"/>
      </w:pPr>
      <w:r>
        <w:t>6.5 Backoffice</w:t>
      </w:r>
    </w:p>
    <w:p>
      <w:pPr>
        <w:pStyle w:val="ListBullet"/>
      </w:pPr>
      <w:r>
        <w:rPr>
          <w:rFonts w:ascii="Arial" w:hAnsi="Arial"/>
        </w:rPr>
        <w:t>Pipeline por estado, asesor, provincia, fuente y SLA.</w:t>
      </w:r>
    </w:p>
    <w:p>
      <w:pPr>
        <w:pStyle w:val="ListBullet"/>
      </w:pPr>
      <w:r>
        <w:rPr>
          <w:rFonts w:ascii="Arial" w:hAnsi="Arial"/>
        </w:rPr>
        <w:t>Calculadora de precio/puja con escenario y auditoría.</w:t>
      </w:r>
    </w:p>
    <w:p>
      <w:pPr>
        <w:pStyle w:val="ListBullet"/>
      </w:pPr>
      <w:r>
        <w:rPr>
          <w:rFonts w:ascii="Arial" w:hAnsi="Arial"/>
        </w:rPr>
        <w:t>Compras, adjudicaciones, facturas y VIN.</w:t>
      </w:r>
    </w:p>
    <w:p>
      <w:pPr>
        <w:pStyle w:val="ListBullet"/>
      </w:pPr>
      <w:r>
        <w:rPr>
          <w:rFonts w:ascii="Arial" w:hAnsi="Arial"/>
        </w:rPr>
        <w:t>Órdenes de transporte y tracking manual/integrado.</w:t>
      </w:r>
    </w:p>
    <w:p>
      <w:pPr>
        <w:pStyle w:val="ListBullet"/>
      </w:pPr>
      <w:r>
        <w:rPr>
          <w:rFonts w:ascii="Arial" w:hAnsi="Arial"/>
        </w:rPr>
        <w:t>Asignación de partner y capacidad.</w:t>
      </w:r>
    </w:p>
    <w:p>
      <w:pPr>
        <w:pStyle w:val="ListBullet"/>
      </w:pPr>
      <w:r>
        <w:rPr>
          <w:rFonts w:ascii="Arial" w:hAnsi="Arial"/>
        </w:rPr>
        <w:t>Inspecciones, presupuestos y aprobaciones.</w:t>
      </w:r>
    </w:p>
    <w:p>
      <w:pPr>
        <w:pStyle w:val="ListBullet"/>
      </w:pPr>
      <w:r>
        <w:rPr>
          <w:rFonts w:ascii="Arial" w:hAnsi="Arial"/>
        </w:rPr>
        <w:t>Cobros, reembolsos, conciliación y contribución real.</w:t>
      </w:r>
    </w:p>
    <w:p>
      <w:pPr>
        <w:pStyle w:val="ListBullet"/>
      </w:pPr>
      <w:r>
        <w:rPr>
          <w:rFonts w:ascii="Arial" w:hAnsi="Arial"/>
        </w:rPr>
        <w:t>Plantillas, configuración, permisos, logs y exportación.</w:t>
      </w:r>
    </w:p>
    <w:p>
      <w:pPr>
        <w:pStyle w:val="Heading2"/>
      </w:pPr>
      <w:r>
        <w:t>6.6 Portal del partner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82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374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PAR-01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Aceptar/rechazar orden según capacidad.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Motivo y SLA registrados.</w:t>
            </w:r>
          </w:p>
        </w:tc>
      </w:tr>
      <w:tr>
        <w:trPr>
          <w:cantSplit/>
        </w:trPr>
        <w:tc>
          <w:tcPr>
            <w:tcW w:type="dxa" w:w="11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PAR-02</w:t>
            </w:r>
          </w:p>
        </w:tc>
        <w:tc>
          <w:tcPr>
            <w:tcW w:type="dxa" w:w="482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Recepción con VIN, km, hora y daños de transporte.</w:t>
            </w:r>
          </w:p>
        </w:tc>
        <w:tc>
          <w:tcPr>
            <w:tcW w:type="dxa" w:w="37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Fotos obligatorias antes de continuar.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PAR-03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Checklist mecánico/estético versionado.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completar sin campos críticos.</w:t>
            </w:r>
          </w:p>
        </w:tc>
      </w:tr>
      <w:tr>
        <w:trPr>
          <w:cantSplit/>
        </w:trPr>
        <w:tc>
          <w:tcPr>
            <w:tcW w:type="dxa" w:w="11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PAR-04</w:t>
            </w:r>
          </w:p>
        </w:tc>
        <w:tc>
          <w:tcPr>
            <w:tcW w:type="dxa" w:w="482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Presupuesto adicional y autorización.</w:t>
            </w:r>
          </w:p>
        </w:tc>
        <w:tc>
          <w:tcPr>
            <w:tcW w:type="dxa" w:w="37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 iniciar trabajo sin aprobación.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PAR-05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Preparación y control final.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Evidencias y responsable.</w:t>
            </w:r>
          </w:p>
        </w:tc>
      </w:tr>
      <w:tr>
        <w:trPr>
          <w:cantSplit/>
        </w:trPr>
        <w:tc>
          <w:tcPr>
            <w:tcW w:type="dxa" w:w="11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PAR-06</w:t>
            </w:r>
          </w:p>
        </w:tc>
        <w:tc>
          <w:tcPr>
            <w:tcW w:type="dxa" w:w="482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Entrega con firma, DNI verificado y fotos.</w:t>
            </w:r>
          </w:p>
        </w:tc>
        <w:tc>
          <w:tcPr>
            <w:tcW w:type="dxa" w:w="37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Acta en soporte duradero.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PAR-07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Incidencia y garantía.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SLA, categoría y coste.</w:t>
            </w:r>
          </w:p>
        </w:tc>
      </w:tr>
    </w:tbl>
    <w:p>
      <w:pPr>
        <w:spacing w:after="40"/>
      </w:pPr>
    </w:p>
    <w:p>
      <w:pPr>
        <w:pStyle w:val="Heading1"/>
      </w:pPr>
      <w:r>
        <w:t>7. Motor económico y control de riesgo</w:t>
      </w:r>
    </w:p>
    <w:p>
      <w:pPr>
        <w:pStyle w:val="Heading2"/>
      </w:pPr>
      <w:r>
        <w:t>7.1 Fórmulas</w:t>
      </w:r>
    </w:p>
    <w:p>
      <w:pPr>
        <w:spacing w:before="100" w:after="140" w:line="276" w:lineRule="auto"/>
        <w:ind w:left="202" w:right="202"/>
        <w:shd w:fill="FFF1EB"/>
        <w:pBdr>
          <w:left w:val="single" w:sz="18" w:space="6" w:color="FF5A1F"/>
        </w:pBdr>
      </w:pPr>
      <w:r>
        <w:rPr>
          <w:rFonts w:ascii="Arial" w:hAnsi="Arial"/>
          <w:b/>
          <w:color w:val="FF5A1F"/>
          <w:sz w:val="18"/>
        </w:rPr>
        <w:t xml:space="preserve">PRECIO </w:t>
      </w:r>
      <w:r>
        <w:rPr>
          <w:rFonts w:ascii="Arial" w:hAnsi="Arial"/>
          <w:color w:val="0B132B"/>
          <w:sz w:val="18"/>
        </w:rPr>
        <w:t>Precio final = adquisición + comisión de fuente + transporte + legalización + inspección/preparación + garantía + impuestos/tasas + provisión de riesgo + margen objetivo − ingresos/comisiones aplicables correctamente contabilizados.</w:t>
      </w:r>
    </w:p>
    <w:p>
      <w:pPr>
        <w:spacing w:before="100" w:after="140" w:line="276" w:lineRule="auto"/>
        <w:ind w:left="202" w:right="202"/>
        <w:shd w:fill="FFF1EB"/>
        <w:pBdr>
          <w:left w:val="single" w:sz="18" w:space="6" w:color="FF5A1F"/>
        </w:pBdr>
      </w:pPr>
      <w:r>
        <w:rPr>
          <w:rFonts w:ascii="Arial" w:hAnsi="Arial"/>
          <w:b/>
          <w:color w:val="FF5A1F"/>
          <w:sz w:val="18"/>
        </w:rPr>
        <w:t xml:space="preserve">PUJA MÁXIMA </w:t>
      </w:r>
      <w:r>
        <w:rPr>
          <w:rFonts w:ascii="Arial" w:hAnsi="Arial"/>
          <w:color w:val="0B132B"/>
          <w:sz w:val="18"/>
        </w:rPr>
        <w:t>Puja máxima = precio final autorizado − todos los costes, impuestos, provisiones y margen mínimo distintos del importe de adjudicación.</w:t>
      </w:r>
    </w:p>
    <w:p>
      <w:pPr>
        <w:pStyle w:val="Heading2"/>
      </w:pPr>
      <w:r>
        <w:t>7.2 Variables mínimas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777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Variables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Adquisición</w:t>
            </w:r>
          </w:p>
        </w:tc>
        <w:tc>
          <w:tcPr>
            <w:tcW w:type="dxa" w:w="77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Puja, comisión, IVA/régimen, divisa, documentación, depósito.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Logística</w:t>
            </w:r>
          </w:p>
        </w:tc>
        <w:tc>
          <w:tcPr>
            <w:tcW w:type="dxa" w:w="777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Origen, destino, seguro, recogida, almacenaje, transporte.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Legalización</w:t>
            </w:r>
          </w:p>
        </w:tc>
        <w:tc>
          <w:tcPr>
            <w:tcW w:type="dxa" w:w="77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ITV, matriculación, tasas, impuesto, homologación y gestoría.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Preparación</w:t>
            </w:r>
          </w:p>
        </w:tc>
        <w:tc>
          <w:tcPr>
            <w:tcW w:type="dxa" w:w="777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Diagnóstico, mecánica, carrocería, neumáticos, limpieza, llaves.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Comercial</w:t>
            </w:r>
          </w:p>
        </w:tc>
        <w:tc>
          <w:tcPr>
            <w:tcW w:type="dxa" w:w="77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Garantía, financiación, coste de pago, CAC imputado opcional.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Riesgo</w:t>
            </w:r>
          </w:p>
        </w:tc>
        <w:tc>
          <w:tcPr>
            <w:tcW w:type="dxa" w:w="777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Daños no visibles, cambio de divisa, retraso, devolución, garantía.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Margen</w:t>
            </w:r>
          </w:p>
        </w:tc>
        <w:tc>
          <w:tcPr>
            <w:tcW w:type="dxa" w:w="77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Mínimo absoluto, porcentaje, objetivo y aprobación excepcional.</w:t>
            </w:r>
          </w:p>
        </w:tc>
      </w:tr>
    </w:tbl>
    <w:p>
      <w:pPr>
        <w:spacing w:after="40"/>
      </w:pPr>
    </w:p>
    <w:p>
      <w:pPr>
        <w:pStyle w:val="Heading2"/>
      </w:pPr>
      <w:r>
        <w:t>7.3 Bloqueos obligatorios</w:t>
      </w:r>
    </w:p>
    <w:p>
      <w:pPr>
        <w:pStyle w:val="ListBullet"/>
      </w:pPr>
      <w:r>
        <w:rPr>
          <w:rFonts w:ascii="Arial" w:hAnsi="Arial"/>
        </w:rPr>
        <w:t>Bloquear: Sin reserva vigente y precio máximo aceptado.</w:t>
      </w:r>
    </w:p>
    <w:p>
      <w:pPr>
        <w:pStyle w:val="ListBullet"/>
      </w:pPr>
      <w:r>
        <w:rPr>
          <w:rFonts w:ascii="Arial" w:hAnsi="Arial"/>
        </w:rPr>
        <w:t>Bloquear: Financiación requerida sin preaprobación.</w:t>
      </w:r>
    </w:p>
    <w:p>
      <w:pPr>
        <w:pStyle w:val="ListBullet"/>
      </w:pPr>
      <w:r>
        <w:rPr>
          <w:rFonts w:ascii="Arial" w:hAnsi="Arial"/>
        </w:rPr>
        <w:t>Bloquear: Margen inferior al mínimo.</w:t>
      </w:r>
    </w:p>
    <w:p>
      <w:pPr>
        <w:pStyle w:val="ListBullet"/>
      </w:pPr>
      <w:r>
        <w:rPr>
          <w:rFonts w:ascii="Arial" w:hAnsi="Arial"/>
        </w:rPr>
        <w:t>Bloquear: Costes críticos incompletos o caducados.</w:t>
      </w:r>
    </w:p>
    <w:p>
      <w:pPr>
        <w:pStyle w:val="ListBullet"/>
      </w:pPr>
      <w:r>
        <w:rPr>
          <w:rFonts w:ascii="Arial" w:hAnsi="Arial"/>
        </w:rPr>
        <w:t>Bloquear: Derechos/documentación insuficientes.</w:t>
      </w:r>
    </w:p>
    <w:p>
      <w:pPr>
        <w:pStyle w:val="ListBullet"/>
      </w:pPr>
      <w:r>
        <w:rPr>
          <w:rFonts w:ascii="Arial" w:hAnsi="Arial"/>
        </w:rPr>
        <w:t>Bloquear: Unidad ya asignada.</w:t>
      </w:r>
    </w:p>
    <w:p>
      <w:pPr>
        <w:pStyle w:val="ListBullet"/>
      </w:pPr>
      <w:r>
        <w:rPr>
          <w:rFonts w:ascii="Arial" w:hAnsi="Arial"/>
        </w:rPr>
        <w:t>Bloquear: Compra por encima del umbral sin doble aprobación.</w:t>
      </w:r>
    </w:p>
    <w:p>
      <w:pPr>
        <w:pStyle w:val="ListBullet"/>
      </w:pPr>
      <w:r>
        <w:rPr>
          <w:rFonts w:ascii="Arial" w:hAnsi="Arial"/>
        </w:rPr>
        <w:t>Bloquear: Entrega sin cobro y documentos.</w:t>
      </w:r>
    </w:p>
    <w:p>
      <w:pPr>
        <w:pStyle w:val="Heading1"/>
      </w:pPr>
      <w:r>
        <w:t>8. Arquitectura técnica de referencia</w:t>
      </w:r>
    </w:p>
    <w:p>
      <w:r>
        <w:rPr>
          <w:rFonts w:ascii="Arial" w:hAnsi="Arial"/>
        </w:rPr>
        <w:t>La desarrolladora puede proponer tecnología equivalente, pero debe justificar mantenibilidad, coste, seguridad, contratación de talento y ausencia de dependencia innecesaria. Se recomienda un monolito modular para el MVP, preparado para separar servicios cuando exista volumen real.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02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496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Buenas prácticas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Frontend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Next.js + TypeScript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SSR/SSG, accesibilidad, componentes, validación compartida.</w:t>
            </w:r>
          </w:p>
        </w:tc>
      </w:tr>
      <w:tr>
        <w:trPr>
          <w:cantSplit/>
        </w:trPr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Backend</w:t>
            </w:r>
          </w:p>
        </w:tc>
        <w:tc>
          <w:tcPr>
            <w:tcW w:type="dxa" w:w="302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NestJS/TypeScript o Django</w:t>
            </w:r>
          </w:p>
        </w:tc>
        <w:tc>
          <w:tcPr>
            <w:tcW w:type="dxa" w:w="49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API REST versionada, módulos de dominio y jobs.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Datos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PostgreSQL administrado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Migraciones, constraints, cifrado y PITR.</w:t>
            </w:r>
          </w:p>
        </w:tc>
      </w:tr>
      <w:tr>
        <w:trPr>
          <w:cantSplit/>
        </w:trPr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Archivos</w:t>
            </w:r>
          </w:p>
        </w:tc>
        <w:tc>
          <w:tcPr>
            <w:tcW w:type="dxa" w:w="302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Object storage UE</w:t>
            </w:r>
          </w:p>
        </w:tc>
        <w:tc>
          <w:tcPr>
            <w:tcW w:type="dxa" w:w="49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URLs firmadas, antivirus, retención y hash.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Cache/colas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Redis + worker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Idempotencia, reintentos y dead-letter.</w:t>
            </w:r>
          </w:p>
        </w:tc>
      </w:tr>
      <w:tr>
        <w:trPr>
          <w:cantSplit/>
        </w:trPr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Identidad</w:t>
            </w:r>
          </w:p>
        </w:tc>
        <w:tc>
          <w:tcPr>
            <w:tcW w:type="dxa" w:w="302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Proveedor gestionado o módulo robusto</w:t>
            </w:r>
          </w:p>
        </w:tc>
        <w:tc>
          <w:tcPr>
            <w:tcW w:type="dxa" w:w="49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MFA interno, RBAC y sesiones seguras.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Infraestructura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Cloud UE + IaC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Staging/prod separados, secretos y mínimo privilegio.</w:t>
            </w:r>
          </w:p>
        </w:tc>
      </w:tr>
      <w:tr>
        <w:trPr>
          <w:cantSplit/>
        </w:trPr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Observabilidad</w:t>
            </w:r>
          </w:p>
        </w:tc>
        <w:tc>
          <w:tcPr>
            <w:tcW w:type="dxa" w:w="302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Logs, métricas, trazas y alertas</w:t>
            </w:r>
          </w:p>
        </w:tc>
        <w:tc>
          <w:tcPr>
            <w:tcW w:type="dxa" w:w="49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Correlation ID y datos personales minimizados.</w:t>
            </w:r>
          </w:p>
        </w:tc>
      </w:tr>
    </w:tbl>
    <w:p>
      <w:pPr>
        <w:spacing w:after="40"/>
      </w:pPr>
    </w:p>
    <w:p>
      <w:pPr>
        <w:pStyle w:val="Heading2"/>
      </w:pPr>
      <w:r>
        <w:t>8.1 Dominios del monolito modular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748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Identity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Usuarios, roles, MFA, sesiones y consentimiento.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CRM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Leads, scoring, asignación y comunicaciones.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Sourcing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Fuentes, oportunidades, candidatos y derechos.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Orders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Encargos, expedientes, reservas y estados.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Pricing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Costes, escenarios, margen, puja y aprobaciones.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Procurement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Pujas manuales, adjudicación y compras.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Logistics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Transporte, tracking, recepción y daños.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Inspection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Checklist, evidencias, presupuesto y preparación.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Contracts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Plantillas, versiones, aceptación y documentos.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Payments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Cobros, reembolsos, conciliación y facturación.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Partners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Homologación, capacidad, SLA y liquidaciones.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Delivery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Citas, acta, posventa y garantía.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Notifications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Email/SMS/WhatsApp y preferencias.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Audit</w:t>
            </w:r>
          </w:p>
        </w:tc>
        <w:tc>
          <w:tcPr>
            <w:tcW w:type="dxa" w:w="74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Eventos inmutables y exportación.</w:t>
            </w:r>
          </w:p>
        </w:tc>
      </w:tr>
    </w:tbl>
    <w:p>
      <w:pPr>
        <w:spacing w:after="40"/>
      </w:pPr>
    </w:p>
    <w:p>
      <w:pPr>
        <w:pStyle w:val="Heading2"/>
      </w:pPr>
      <w:r>
        <w:t>8.2 Principios técnicos</w:t>
      </w:r>
    </w:p>
    <w:p>
      <w:pPr>
        <w:pStyle w:val="ListBullet"/>
      </w:pPr>
      <w:r>
        <w:rPr>
          <w:rFonts w:ascii="Arial" w:hAnsi="Arial"/>
        </w:rPr>
        <w:t>API-first sin forzar microservicios.</w:t>
      </w:r>
    </w:p>
    <w:p>
      <w:pPr>
        <w:pStyle w:val="ListBullet"/>
      </w:pPr>
      <w:r>
        <w:rPr>
          <w:rFonts w:ascii="Arial" w:hAnsi="Arial"/>
        </w:rPr>
        <w:t>Idempotencia en pagos, webhooks y transiciones.</w:t>
      </w:r>
    </w:p>
    <w:p>
      <w:pPr>
        <w:pStyle w:val="ListBullet"/>
      </w:pPr>
      <w:r>
        <w:rPr>
          <w:rFonts w:ascii="Arial" w:hAnsi="Arial"/>
        </w:rPr>
        <w:t>Constraints de base de datos para exclusividad y consistencia.</w:t>
      </w:r>
    </w:p>
    <w:p>
      <w:pPr>
        <w:pStyle w:val="ListBullet"/>
      </w:pPr>
      <w:r>
        <w:rPr>
          <w:rFonts w:ascii="Arial" w:hAnsi="Arial"/>
        </w:rPr>
        <w:t>Outbox/eventos para notificaciones fiables.</w:t>
      </w:r>
    </w:p>
    <w:p>
      <w:pPr>
        <w:pStyle w:val="ListBullet"/>
      </w:pPr>
      <w:r>
        <w:rPr>
          <w:rFonts w:ascii="Arial" w:hAnsi="Arial"/>
        </w:rPr>
        <w:t>Configuración versionada de márgenes, contratos y checklists.</w:t>
      </w:r>
    </w:p>
    <w:p>
      <w:pPr>
        <w:pStyle w:val="ListBullet"/>
      </w:pPr>
      <w:r>
        <w:rPr>
          <w:rFonts w:ascii="Arial" w:hAnsi="Arial"/>
        </w:rPr>
        <w:t>Feature flags para integraciones y despliegue gradual.</w:t>
      </w:r>
    </w:p>
    <w:p>
      <w:pPr>
        <w:pStyle w:val="ListBullet"/>
      </w:pPr>
      <w:r>
        <w:rPr>
          <w:rFonts w:ascii="Arial" w:hAnsi="Arial"/>
        </w:rPr>
        <w:t>Nada de credenciales de subasta almacenadas en texto plano.</w:t>
      </w:r>
    </w:p>
    <w:p>
      <w:pPr>
        <w:pStyle w:val="ListBullet"/>
      </w:pPr>
      <w:r>
        <w:rPr>
          <w:rFonts w:ascii="Arial" w:hAnsi="Arial"/>
        </w:rPr>
        <w:t>Zona UE para datos personales salvo evaluación y garantías.</w:t>
      </w:r>
    </w:p>
    <w:p>
      <w:pPr>
        <w:pStyle w:val="Heading1"/>
      </w:pPr>
      <w:r>
        <w:t>9. Modelo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5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439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Campos esenciales</w:t>
            </w:r>
          </w:p>
        </w:tc>
        <w:tc>
          <w:tcPr>
            <w:tcW w:type="dxa" w:w="3671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Relaciones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User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id, estado, MFA, último acceso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Role, Consent, AuditEvent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Customer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contacto, dirección, scoring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User, Lead, Case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Lead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UTM, necesidad, etapa, asesor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Customer, SearchRequest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SearchRequest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criterios, tolerancias, vigencia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Case, Candidate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Opportunity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fuente, caducidad, derechos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Vehicle, Candidate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Vehicle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VIN, marca, modelo, km, año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Documents, Inspection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Candidate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precio, versión, decisión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Case, Opportunity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Case/Order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modalidad, estado, SLA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Customer, Reservation, Vehicle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Reservation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importe, estado, expiración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Payment, Contract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CostScenario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conceptos, margen, puja máxima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Candidate, Approval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Purchase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fuente, lote, adjudicación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Vehicle, Invoice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TransportOrder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origen, destino, ETA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Partner, Vehicle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Inspection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checklist, resultado, fotos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Vehicle, WorkOrder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WorkOrder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concepto, coste, aprobación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Inspection, Partner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Contract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tipo, versión, hash, aceptación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Case, Customer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Payment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provider id, importe, estado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Reservation, Refund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servicios, zona, SLA, capacidad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User, PartnerOrder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Delivery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cita, acta, evidencias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Vehicle, Customer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WarrantyCase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categoría, SLA, coste</w:t>
            </w:r>
          </w:p>
        </w:tc>
        <w:tc>
          <w:tcPr>
            <w:tcW w:type="dxa" w:w="36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Delivery, Partner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AuditEvent</w:t>
            </w:r>
          </w:p>
        </w:tc>
        <w:tc>
          <w:tcPr>
            <w:tcW w:type="dxa" w:w="43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actor, acción, before/after</w:t>
            </w:r>
          </w:p>
        </w:tc>
        <w:tc>
          <w:tcPr>
            <w:tcW w:type="dxa" w:w="3671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Todas las entidades críticas</w:t>
            </w:r>
          </w:p>
        </w:tc>
      </w:tr>
    </w:tbl>
    <w:p>
      <w:pPr>
        <w:spacing w:after="40"/>
      </w:pPr>
    </w:p>
    <w:p>
      <w:pPr>
        <w:pStyle w:val="Heading2"/>
      </w:pPr>
      <w:r>
        <w:t>9.1 Reglas de persistencia</w:t>
      </w:r>
    </w:p>
    <w:p>
      <w:pPr>
        <w:pStyle w:val="ListBullet"/>
      </w:pPr>
      <w:r>
        <w:rPr>
          <w:rFonts w:ascii="Arial" w:hAnsi="Arial"/>
        </w:rPr>
        <w:t>VIN cifrado/mascarado donde proceda y único cuando exista.</w:t>
      </w:r>
    </w:p>
    <w:p>
      <w:pPr>
        <w:pStyle w:val="ListBullet"/>
      </w:pPr>
      <w:r>
        <w:rPr>
          <w:rFonts w:ascii="Arial" w:hAnsi="Arial"/>
        </w:rPr>
        <w:t>Money con moneda y enteros de unidad mínima; nunca float.</w:t>
      </w:r>
    </w:p>
    <w:p>
      <w:pPr>
        <w:pStyle w:val="ListBullet"/>
      </w:pPr>
      <w:r>
        <w:rPr>
          <w:rFonts w:ascii="Arial" w:hAnsi="Arial"/>
        </w:rPr>
        <w:t>Fechas en UTC y presentación Europe/Madrid.</w:t>
      </w:r>
    </w:p>
    <w:p>
      <w:pPr>
        <w:pStyle w:val="ListBullet"/>
      </w:pPr>
      <w:r>
        <w:rPr>
          <w:rFonts w:ascii="Arial" w:hAnsi="Arial"/>
        </w:rPr>
        <w:t>Soft delete únicamente donde sea compatible con conservación legal.</w:t>
      </w:r>
    </w:p>
    <w:p>
      <w:pPr>
        <w:pStyle w:val="ListBullet"/>
      </w:pPr>
      <w:r>
        <w:rPr>
          <w:rFonts w:ascii="Arial" w:hAnsi="Arial"/>
        </w:rPr>
        <w:t>Contratos y evidencias no se sobrescriben: nuevas versiones.</w:t>
      </w:r>
    </w:p>
    <w:p>
      <w:pPr>
        <w:pStyle w:val="ListBullet"/>
      </w:pPr>
      <w:r>
        <w:rPr>
          <w:rFonts w:ascii="Arial" w:hAnsi="Arial"/>
        </w:rPr>
        <w:t>AuditEvent append-only y acceso restringido.</w:t>
      </w:r>
    </w:p>
    <w:p>
      <w:pPr>
        <w:pStyle w:val="ListBullet"/>
      </w:pPr>
      <w:r>
        <w:rPr>
          <w:rFonts w:ascii="Arial" w:hAnsi="Arial"/>
        </w:rPr>
        <w:t>Archivos con hash, tipo, tamaño, propietario, retención y antivirus.</w:t>
      </w:r>
    </w:p>
    <w:p>
      <w:pPr>
        <w:pStyle w:val="Heading1"/>
      </w:pPr>
      <w:r>
        <w:t>10. API e integraciones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72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259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73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Evolución</w:t>
            </w:r>
          </w:p>
        </w:tc>
        <w:tc>
          <w:tcPr>
            <w:tcW w:type="dxa" w:w="266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Condición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AUTO1/fuentes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Manual + CSV autorizado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Feed/API oficial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Contrato y derechos.</w:t>
            </w:r>
          </w:p>
        </w:tc>
      </w:tr>
      <w:tr>
        <w:trPr>
          <w:cantSplit/>
        </w:trPr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Pagos</w:t>
            </w:r>
          </w:p>
        </w:tc>
        <w:tc>
          <w:tcPr>
            <w:tcW w:type="dxa" w:w="25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Stripe u otra pasarela UE</w:t>
            </w:r>
          </w:p>
        </w:tc>
        <w:tc>
          <w:tcPr>
            <w:tcW w:type="dxa" w:w="27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Conciliación avanzada</w:t>
            </w:r>
          </w:p>
        </w:tc>
        <w:tc>
          <w:tcPr>
            <w:tcW w:type="dxa" w:w="26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No almacenar tarjeta.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Firma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Proveedor eIDAS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Firma avanzada/cualificada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Evidencia descargable.</w:t>
            </w:r>
          </w:p>
        </w:tc>
      </w:tr>
      <w:tr>
        <w:trPr>
          <w:cantSplit/>
        </w:trPr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Email</w:t>
            </w:r>
          </w:p>
        </w:tc>
        <w:tc>
          <w:tcPr>
            <w:tcW w:type="dxa" w:w="25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Transaccional</w:t>
            </w:r>
          </w:p>
        </w:tc>
        <w:tc>
          <w:tcPr>
            <w:tcW w:type="dxa" w:w="27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Automatización marketing</w:t>
            </w:r>
          </w:p>
        </w:tc>
        <w:tc>
          <w:tcPr>
            <w:tcW w:type="dxa" w:w="26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Separar bases jurídicas.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WhatsApp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Deep link/plantillas manuales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Business API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Consentimiento y plantillas.</w:t>
            </w:r>
          </w:p>
        </w:tc>
      </w:tr>
      <w:tr>
        <w:trPr>
          <w:cantSplit/>
        </w:trPr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Financiación</w:t>
            </w:r>
          </w:p>
        </w:tc>
        <w:tc>
          <w:tcPr>
            <w:tcW w:type="dxa" w:w="25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Prevalidación manual/enlace</w:t>
            </w:r>
          </w:p>
        </w:tc>
        <w:tc>
          <w:tcPr>
            <w:tcW w:type="dxa" w:w="27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API proveedor</w:t>
            </w:r>
          </w:p>
        </w:tc>
        <w:tc>
          <w:tcPr>
            <w:tcW w:type="dxa" w:w="26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Proveedor autorizado.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DGT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Carga/informe manual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Integración permitida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Términos y coste.</w:t>
            </w:r>
          </w:p>
        </w:tc>
      </w:tr>
      <w:tr>
        <w:trPr>
          <w:cantSplit/>
        </w:trPr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Logística</w:t>
            </w:r>
          </w:p>
        </w:tc>
        <w:tc>
          <w:tcPr>
            <w:tcW w:type="dxa" w:w="25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Orden y tracking manual</w:t>
            </w:r>
          </w:p>
        </w:tc>
        <w:tc>
          <w:tcPr>
            <w:tcW w:type="dxa" w:w="27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API transportista</w:t>
            </w:r>
          </w:p>
        </w:tc>
        <w:tc>
          <w:tcPr>
            <w:tcW w:type="dxa" w:w="26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Webhooks idempotentes.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Garantía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Póliza/documento manual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API proveedor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Cobertura visible.</w:t>
            </w:r>
          </w:p>
        </w:tc>
      </w:tr>
      <w:tr>
        <w:trPr>
          <w:cantSplit/>
        </w:trPr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Analítica</w:t>
            </w:r>
          </w:p>
        </w:tc>
        <w:tc>
          <w:tcPr>
            <w:tcW w:type="dxa" w:w="25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Analytics + eventos backend</w:t>
            </w:r>
          </w:p>
        </w:tc>
        <w:tc>
          <w:tcPr>
            <w:tcW w:type="dxa" w:w="273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Warehouse/BI</w:t>
            </w:r>
          </w:p>
        </w:tc>
        <w:tc>
          <w:tcPr>
            <w:tcW w:type="dxa" w:w="26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Consent mode y minimización.</w:t>
            </w:r>
          </w:p>
        </w:tc>
      </w:tr>
    </w:tbl>
    <w:p>
      <w:pPr>
        <w:spacing w:after="40"/>
      </w:pPr>
    </w:p>
    <w:p>
      <w:pPr>
        <w:pStyle w:val="Heading2"/>
      </w:pPr>
      <w:r>
        <w:t>10.1 Estándar de API</w:t>
      </w:r>
    </w:p>
    <w:p>
      <w:pPr>
        <w:pStyle w:val="ListBullet"/>
      </w:pPr>
      <w:r>
        <w:rPr>
          <w:rFonts w:ascii="Arial" w:hAnsi="Arial"/>
        </w:rPr>
        <w:t>REST JSON versionada bajo /api/v1.</w:t>
      </w:r>
    </w:p>
    <w:p>
      <w:pPr>
        <w:pStyle w:val="ListBullet"/>
      </w:pPr>
      <w:r>
        <w:rPr>
          <w:rFonts w:ascii="Arial" w:hAnsi="Arial"/>
        </w:rPr>
        <w:t>OpenAPI entregada y actualizada en CI.</w:t>
      </w:r>
    </w:p>
    <w:p>
      <w:pPr>
        <w:pStyle w:val="ListBullet"/>
      </w:pPr>
      <w:r>
        <w:rPr>
          <w:rFonts w:ascii="Arial" w:hAnsi="Arial"/>
        </w:rPr>
        <w:t>Errores con código estable, mensaje seguro y correlation_id.</w:t>
      </w:r>
    </w:p>
    <w:p>
      <w:pPr>
        <w:pStyle w:val="ListBullet"/>
      </w:pPr>
      <w:r>
        <w:rPr>
          <w:rFonts w:ascii="Arial" w:hAnsi="Arial"/>
        </w:rPr>
        <w:t>Paginación, filtros y orden explícitos.</w:t>
      </w:r>
    </w:p>
    <w:p>
      <w:pPr>
        <w:pStyle w:val="ListBullet"/>
      </w:pPr>
      <w:r>
        <w:rPr>
          <w:rFonts w:ascii="Arial" w:hAnsi="Arial"/>
        </w:rPr>
        <w:t>Webhooks firmados, con timestamp, idempotency key y reintentos.</w:t>
      </w:r>
    </w:p>
    <w:p>
      <w:pPr>
        <w:pStyle w:val="ListBullet"/>
      </w:pPr>
      <w:r>
        <w:rPr>
          <w:rFonts w:ascii="Arial" w:hAnsi="Arial"/>
        </w:rPr>
        <w:t>Rate limiting por rol/endpoint.</w:t>
      </w:r>
    </w:p>
    <w:p>
      <w:pPr>
        <w:pStyle w:val="ListBullet"/>
      </w:pPr>
      <w:r>
        <w:rPr>
          <w:rFonts w:ascii="Arial" w:hAnsi="Arial"/>
        </w:rPr>
        <w:t>No exponer coste interno, fuente sensible o margen al comprador.</w:t>
      </w:r>
    </w:p>
    <w:p>
      <w:pPr>
        <w:pStyle w:val="Heading1"/>
      </w:pPr>
      <w:r>
        <w:t>11. UX/UI alineada con Naranja Performance</w:t>
      </w:r>
    </w:p>
    <w:p>
      <w:pPr>
        <w:pStyle w:val="Heading2"/>
      </w:pPr>
      <w:r>
        <w:t>11.1 Tokens obligatorios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015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504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brand.navy</w:t>
            </w:r>
          </w:p>
        </w:tc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#0B132B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Fondos oscuros y texto principal.</w:t>
            </w:r>
          </w:p>
        </w:tc>
      </w:tr>
      <w:tr>
        <w:trPr>
          <w:cantSplit/>
        </w:trPr>
        <w:tc>
          <w:tcPr>
            <w:tcW w:type="dxa" w:w="21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brand.orange</w:t>
            </w:r>
          </w:p>
        </w:tc>
        <w:tc>
          <w:tcPr>
            <w:tcW w:type="dxa" w:w="201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#FF5A1F</w:t>
            </w:r>
          </w:p>
        </w:tc>
        <w:tc>
          <w:tcPr>
            <w:tcW w:type="dxa" w:w="50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CTA, selección y precio.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brand.warmWhite</w:t>
            </w:r>
          </w:p>
        </w:tc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#F8F7F3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Fondos claros.</w:t>
            </w:r>
          </w:p>
        </w:tc>
      </w:tr>
      <w:tr>
        <w:trPr>
          <w:cantSplit/>
        </w:trPr>
        <w:tc>
          <w:tcPr>
            <w:tcW w:type="dxa" w:w="21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brand.graphite</w:t>
            </w:r>
          </w:p>
        </w:tc>
        <w:tc>
          <w:tcPr>
            <w:tcW w:type="dxa" w:w="201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#20242A</w:t>
            </w:r>
          </w:p>
        </w:tc>
        <w:tc>
          <w:tcPr>
            <w:tcW w:type="dxa" w:w="50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Texto/tarjetas.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brand.silver</w:t>
            </w:r>
          </w:p>
        </w:tc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#C7CED6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Bordes/neutral.</w:t>
            </w:r>
          </w:p>
        </w:tc>
      </w:tr>
      <w:tr>
        <w:trPr>
          <w:cantSplit/>
        </w:trPr>
        <w:tc>
          <w:tcPr>
            <w:tcW w:type="dxa" w:w="21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status.success</w:t>
            </w:r>
          </w:p>
        </w:tc>
        <w:tc>
          <w:tcPr>
            <w:tcW w:type="dxa" w:w="201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#22C55E</w:t>
            </w:r>
          </w:p>
        </w:tc>
        <w:tc>
          <w:tcPr>
            <w:tcW w:type="dxa" w:w="50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Solo estados validados.</w:t>
            </w:r>
          </w:p>
        </w:tc>
      </w:tr>
    </w:tbl>
    <w:p>
      <w:pPr>
        <w:spacing w:after="40"/>
      </w:pPr>
    </w:p>
    <w:p>
      <w:pPr>
        <w:pStyle w:val="Heading2"/>
      </w:pPr>
      <w:r>
        <w:t>11.2 Principios de experiencia</w:t>
      </w:r>
    </w:p>
    <w:p>
      <w:pPr>
        <w:pStyle w:val="ListBullet"/>
      </w:pPr>
      <w:r>
        <w:rPr>
          <w:rFonts w:ascii="Arial" w:hAnsi="Arial"/>
        </w:rPr>
        <w:t>Mobile first desde 320 px.</w:t>
      </w:r>
    </w:p>
    <w:p>
      <w:pPr>
        <w:pStyle w:val="ListBullet"/>
      </w:pPr>
      <w:r>
        <w:rPr>
          <w:rFonts w:ascii="Arial" w:hAnsi="Arial"/>
        </w:rPr>
        <w:t>Naranja limitado a acciones y puntos de atención; no convertirlo en fondo dominante.</w:t>
      </w:r>
    </w:p>
    <w:p>
      <w:pPr>
        <w:pStyle w:val="ListBullet"/>
      </w:pPr>
      <w:r>
        <w:rPr>
          <w:rFonts w:ascii="Arial" w:hAnsi="Arial"/>
        </w:rPr>
        <w:t>Texto azul noche sobre CTA naranja cuando ofrezca mejor contraste.</w:t>
      </w:r>
    </w:p>
    <w:p>
      <w:pPr>
        <w:pStyle w:val="ListBullet"/>
      </w:pPr>
      <w:r>
        <w:rPr>
          <w:rFonts w:ascii="Arial" w:hAnsi="Arial"/>
        </w:rPr>
        <w:t>WCAG 2.2 AA, teclado, foco visible, zoom 200 % y lectores de pantalla.</w:t>
      </w:r>
    </w:p>
    <w:p>
      <w:pPr>
        <w:pStyle w:val="ListBullet"/>
      </w:pPr>
      <w:r>
        <w:rPr>
          <w:rFonts w:ascii="Arial" w:hAnsi="Arial"/>
        </w:rPr>
        <w:t>Nunca “en stock” cuando sea una oportunidad sujeta a adjudicación.</w:t>
      </w:r>
    </w:p>
    <w:p>
      <w:pPr>
        <w:pStyle w:val="ListBullet"/>
      </w:pPr>
      <w:r>
        <w:rPr>
          <w:rFonts w:ascii="Arial" w:hAnsi="Arial"/>
        </w:rPr>
        <w:t>Precio estimado/máximo y supuestos visibles antes de pagar.</w:t>
      </w:r>
    </w:p>
    <w:p>
      <w:pPr>
        <w:pStyle w:val="ListBullet"/>
      </w:pPr>
      <w:r>
        <w:rPr>
          <w:rFonts w:ascii="Arial" w:hAnsi="Arial"/>
        </w:rPr>
        <w:t>Reserva explicada antes de solicitar datos de pago.</w:t>
      </w:r>
    </w:p>
    <w:p>
      <w:pPr>
        <w:pStyle w:val="ListBullet"/>
      </w:pPr>
      <w:r>
        <w:rPr>
          <w:rFonts w:ascii="Arial" w:hAnsi="Arial"/>
        </w:rPr>
        <w:t>Plazos como rangos actualizables, no fechas ficticias.</w:t>
      </w:r>
    </w:p>
    <w:p>
      <w:pPr>
        <w:pStyle w:val="ListBullet"/>
      </w:pPr>
      <w:r>
        <w:rPr>
          <w:rFonts w:ascii="Arial" w:hAnsi="Arial"/>
        </w:rPr>
        <w:t>Jerga de subasta fuera del recorrido principal.</w:t>
      </w:r>
    </w:p>
    <w:p>
      <w:pPr>
        <w:pStyle w:val="ListBullet"/>
      </w:pPr>
      <w:r>
        <w:rPr>
          <w:rFonts w:ascii="Arial" w:hAnsi="Arial"/>
        </w:rPr>
        <w:t>Estados reales: no usar verde hasta validación efectiva.</w:t>
      </w:r>
    </w:p>
    <w:p>
      <w:pPr>
        <w:pStyle w:val="Heading2"/>
      </w:pPr>
      <w:r>
        <w:t>11.3 Componentes Figma/frontend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777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Navegación</w:t>
            </w:r>
          </w:p>
        </w:tc>
        <w:tc>
          <w:tcPr>
            <w:tcW w:type="dxa" w:w="77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Header, menú móvil, breadcrumbs, footer.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Acciones</w:t>
            </w:r>
          </w:p>
        </w:tc>
        <w:tc>
          <w:tcPr>
            <w:tcW w:type="dxa" w:w="777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Botones primary/secondary/tertiary/icon y estados.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Formularios</w:t>
            </w:r>
          </w:p>
        </w:tc>
        <w:tc>
          <w:tcPr>
            <w:tcW w:type="dxa" w:w="77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Input, select, autocomplete, file upload, validation.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Vehículo</w:t>
            </w:r>
          </w:p>
        </w:tc>
        <w:tc>
          <w:tcPr>
            <w:tcW w:type="dxa" w:w="777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Card, galería, ficha, badges, comparación.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Operación</w:t>
            </w:r>
          </w:p>
        </w:tc>
        <w:tc>
          <w:tcPr>
            <w:tcW w:type="dxa" w:w="77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Timeline, stepper, estado, SLA, task, approval.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Finanzas</w:t>
            </w:r>
          </w:p>
        </w:tc>
        <w:tc>
          <w:tcPr>
            <w:tcW w:type="dxa" w:w="777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Desglose, escenario, pago, reembolso, factura.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Confianza</w:t>
            </w:r>
          </w:p>
        </w:tc>
        <w:tc>
          <w:tcPr>
            <w:tcW w:type="dxa" w:w="77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Inspección, documento, garantía, partner.</w:t>
            </w:r>
          </w:p>
        </w:tc>
      </w:tr>
      <w:tr>
        <w:trPr>
          <w:cantSplit/>
        </w:trPr>
        <w:tc>
          <w:tcPr>
            <w:tcW w:type="dxa" w:w="194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Feedback</w:t>
            </w:r>
          </w:p>
        </w:tc>
        <w:tc>
          <w:tcPr>
            <w:tcW w:type="dxa" w:w="777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Toast, alert, modal, empty/error/loading/success.</w:t>
            </w:r>
          </w:p>
        </w:tc>
      </w:tr>
    </w:tbl>
    <w:p>
      <w:pPr>
        <w:spacing w:after="40"/>
      </w:pPr>
    </w:p>
    <w:p>
      <w:pPr>
        <w:pStyle w:val="Heading2"/>
      </w:pPr>
      <w:r>
        <w:t>11.4 Contenido de la landing</w:t>
      </w:r>
    </w:p>
    <w:p>
      <w:pPr>
        <w:pStyle w:val="ListNumber"/>
      </w:pPr>
      <w:r>
        <w:rPr>
          <w:rFonts w:ascii="Arial" w:hAnsi="Arial"/>
        </w:rPr>
        <w:t>Hero: “Tu próximo coche, bajo pedido”.</w:t>
      </w:r>
    </w:p>
    <w:p>
      <w:pPr>
        <w:pStyle w:val="ListNumber"/>
      </w:pPr>
      <w:r>
        <w:rPr>
          <w:rFonts w:ascii="Arial" w:hAnsi="Arial"/>
        </w:rPr>
        <w:t>Subclaim: “Lo buscamos · Lo revisamos · Te lo entregamos”.</w:t>
      </w:r>
    </w:p>
    <w:p>
      <w:pPr>
        <w:pStyle w:val="ListNumber"/>
      </w:pPr>
      <w:r>
        <w:rPr>
          <w:rFonts w:ascii="Arial" w:hAnsi="Arial"/>
        </w:rPr>
        <w:t>Formulario corto: marca/modelo, presupuesto y combustible.</w:t>
      </w:r>
    </w:p>
    <w:p>
      <w:pPr>
        <w:pStyle w:val="ListNumber"/>
      </w:pPr>
      <w:r>
        <w:rPr>
          <w:rFonts w:ascii="Arial" w:hAnsi="Arial"/>
        </w:rPr>
        <w:t>Cómo funciona en tres pasos.</w:t>
      </w:r>
    </w:p>
    <w:p>
      <w:pPr>
        <w:pStyle w:val="ListNumber"/>
      </w:pPr>
      <w:r>
        <w:rPr>
          <w:rFonts w:ascii="Arial" w:hAnsi="Arial"/>
        </w:rPr>
        <w:t>Oportunidades o ejemplos representativos.</w:t>
      </w:r>
    </w:p>
    <w:p>
      <w:pPr>
        <w:pStyle w:val="ListNumber"/>
      </w:pPr>
      <w:r>
        <w:rPr>
          <w:rFonts w:ascii="Arial" w:hAnsi="Arial"/>
        </w:rPr>
        <w:t>Precio transparente y comparador.</w:t>
      </w:r>
    </w:p>
    <w:p>
      <w:pPr>
        <w:pStyle w:val="ListNumber"/>
      </w:pPr>
      <w:r>
        <w:rPr>
          <w:rFonts w:ascii="Arial" w:hAnsi="Arial"/>
        </w:rPr>
        <w:t>Revisión, garantía y entrega.</w:t>
      </w:r>
    </w:p>
    <w:p>
      <w:pPr>
        <w:pStyle w:val="ListNumber"/>
      </w:pPr>
      <w:r>
        <w:rPr>
          <w:rFonts w:ascii="Arial" w:hAnsi="Arial"/>
        </w:rPr>
        <w:t>Red de puntos de entrega.</w:t>
      </w:r>
    </w:p>
    <w:p>
      <w:pPr>
        <w:pStyle w:val="ListNumber"/>
      </w:pPr>
      <w:r>
        <w:rPr>
          <w:rFonts w:ascii="Arial" w:hAnsi="Arial"/>
        </w:rPr>
        <w:t>Preguntas frecuentes y CTA final.</w:t>
      </w:r>
    </w:p>
    <w:p>
      <w:pPr>
        <w:pStyle w:val="Heading1"/>
      </w:pPr>
      <w:r>
        <w:t>12. Operación desde Ourense y red de partners</w:t>
      </w:r>
    </w:p>
    <w:p>
      <w:pPr>
        <w:pStyle w:val="Heading2"/>
      </w:pPr>
      <w:r>
        <w:t>12.1 Modelo logístico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Modalidad</w:t>
            </w:r>
          </w:p>
        </w:tc>
        <w:tc>
          <w:tcPr>
            <w:tcW w:type="dxa" w:w="424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24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Hub Ourense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Galicia, incidencias o unidades que requieren supervisión.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Control directo y checklist interno.</w:t>
            </w:r>
          </w:p>
        </w:tc>
      </w:tr>
      <w:tr>
        <w:trPr>
          <w:cantSplit/>
        </w:trPr>
        <w:tc>
          <w:tcPr>
            <w:tcW w:type="dxa" w:w="22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Entrega directa a partner</w:t>
            </w:r>
          </w:p>
        </w:tc>
        <w:tc>
          <w:tcPr>
            <w:tcW w:type="dxa" w:w="424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Resto de España cuando reduce coste/plazo.</w:t>
            </w:r>
          </w:p>
        </w:tc>
        <w:tc>
          <w:tcPr>
            <w:tcW w:type="dxa" w:w="324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Partner homologado, evidencias y auditoría.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Entrega a domicilio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Solo cuando operación y documentación lo permitan.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Transportista, acta y protocolo de identidad.</w:t>
            </w:r>
          </w:p>
        </w:tc>
      </w:tr>
    </w:tbl>
    <w:p>
      <w:pPr>
        <w:spacing w:after="40"/>
      </w:pPr>
    </w:p>
    <w:p>
      <w:pPr>
        <w:pStyle w:val="Heading2"/>
      </w:pPr>
      <w:r>
        <w:t>12.2 Homologación del partner</w:t>
      </w:r>
    </w:p>
    <w:p>
      <w:pPr>
        <w:pStyle w:val="ListBullet"/>
      </w:pPr>
      <w:r>
        <w:rPr>
          <w:rFonts w:ascii="Arial" w:hAnsi="Arial"/>
        </w:rPr>
        <w:t>Identidad societaria, seguro, licencias y solvencia básica.</w:t>
      </w:r>
    </w:p>
    <w:p>
      <w:pPr>
        <w:pStyle w:val="ListBullet"/>
      </w:pPr>
      <w:r>
        <w:rPr>
          <w:rFonts w:ascii="Arial" w:hAnsi="Arial"/>
        </w:rPr>
        <w:t>Instalaciones, equipamiento, seguridad y capacidad.</w:t>
      </w:r>
    </w:p>
    <w:p>
      <w:pPr>
        <w:pStyle w:val="ListBullet"/>
      </w:pPr>
      <w:r>
        <w:rPr>
          <w:rFonts w:ascii="Arial" w:hAnsi="Arial"/>
        </w:rPr>
        <w:t>Servicios, tarifas y tiempos aceptados.</w:t>
      </w:r>
    </w:p>
    <w:p>
      <w:pPr>
        <w:pStyle w:val="ListBullet"/>
      </w:pPr>
      <w:r>
        <w:rPr>
          <w:rFonts w:ascii="Arial" w:hAnsi="Arial"/>
        </w:rPr>
        <w:t>Checklist común y estándar fotográfico.</w:t>
      </w:r>
    </w:p>
    <w:p>
      <w:pPr>
        <w:pStyle w:val="ListBullet"/>
      </w:pPr>
      <w:r>
        <w:rPr>
          <w:rFonts w:ascii="Arial" w:hAnsi="Arial"/>
        </w:rPr>
        <w:t>Contrato de encargo, confidencialidad y protección de datos.</w:t>
      </w:r>
    </w:p>
    <w:p>
      <w:pPr>
        <w:pStyle w:val="ListBullet"/>
      </w:pPr>
      <w:r>
        <w:rPr>
          <w:rFonts w:ascii="Arial" w:hAnsi="Arial"/>
        </w:rPr>
        <w:t>SLA, incidencias, penalizaciones y auditoría.</w:t>
      </w:r>
    </w:p>
    <w:p>
      <w:pPr>
        <w:pStyle w:val="ListBullet"/>
      </w:pPr>
      <w:r>
        <w:rPr>
          <w:rFonts w:ascii="Arial" w:hAnsi="Arial"/>
        </w:rPr>
        <w:t>Formación y operación simulada antes de activación.</w:t>
      </w:r>
    </w:p>
    <w:p>
      <w:pPr>
        <w:pStyle w:val="ListBullet"/>
      </w:pPr>
      <w:r>
        <w:rPr>
          <w:rFonts w:ascii="Arial" w:hAnsi="Arial"/>
        </w:rPr>
        <w:t>Revisión periódica por calidad, coste, tiempo y NPS.</w:t>
      </w:r>
    </w:p>
    <w:p>
      <w:pPr>
        <w:pStyle w:val="Heading2"/>
      </w:pPr>
      <w:r>
        <w:t>12.3 SOP de recepción a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72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96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252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Bloqueo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Preaviso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Operaciones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Orden, VIN parcial, ETA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 acepta capacidad.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Recepción</w:t>
            </w:r>
          </w:p>
        </w:tc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Hora, km, VIN y fotos 360º</w:t>
            </w:r>
          </w:p>
        </w:tc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Daño transporte escalado.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Inspección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Técnico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Checklist y diagnóstico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Campos críticos completos.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Presupuesto</w:t>
            </w:r>
          </w:p>
        </w:tc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Conceptos, piezas, horas</w:t>
            </w:r>
          </w:p>
        </w:tc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Aprobación previa.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Preparación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Fotos/partes de trabajo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Dentro de alcance.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Control final</w:t>
            </w:r>
          </w:p>
        </w:tc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 + operaciones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Checklist ready</w:t>
            </w:r>
          </w:p>
        </w:tc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Documentación y pago.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Cita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Asesor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Fecha, identidad y requisitos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Comprador confirma.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Entrega</w:t>
            </w:r>
          </w:p>
        </w:tc>
        <w:tc>
          <w:tcPr>
            <w:tcW w:type="dxa" w:w="17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Firma, fotos y acta</w:t>
            </w:r>
          </w:p>
        </w:tc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Saldo confirmado.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Cierre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Operaciones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Costes reales y encuesta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Expediente completo.</w:t>
            </w:r>
          </w:p>
        </w:tc>
      </w:tr>
    </w:tbl>
    <w:p>
      <w:pPr>
        <w:spacing w:after="40"/>
      </w:pPr>
    </w:p>
    <w:p>
      <w:pPr>
        <w:pStyle w:val="Heading1"/>
      </w:pPr>
      <w:r>
        <w:t>13. Seguridad, privacidad y cumplimiento en España</w:t>
      </w:r>
    </w:p>
    <w:p>
      <w:pPr>
        <w:spacing w:before="100" w:after="140" w:line="276" w:lineRule="auto"/>
        <w:ind w:left="202" w:right="202"/>
        <w:shd w:fill="FFF1EB"/>
        <w:pBdr>
          <w:left w:val="single" w:sz="18" w:space="6" w:color="FF5A1F"/>
        </w:pBdr>
      </w:pPr>
      <w:r>
        <w:rPr>
          <w:rFonts w:ascii="Arial" w:hAnsi="Arial"/>
          <w:b/>
          <w:color w:val="FF5A1F"/>
          <w:sz w:val="18"/>
        </w:rPr>
        <w:t xml:space="preserve">REVISIÓN JURÍDICA </w:t>
      </w:r>
      <w:r>
        <w:rPr>
          <w:rFonts w:ascii="Arial" w:hAnsi="Arial"/>
          <w:color w:val="0B132B"/>
          <w:sz w:val="18"/>
        </w:rPr>
        <w:t>Antes de producción, asesoría española debe validar contratación a distancia, desistimiento, garantía, precio, fiscalidad, financiación, publicidad, reutilización de datos, régimen de reservas y operativa transfronteriza. Este pliego no sustituye asesoramiento jurídico o fiscal.</w:t>
      </w:r>
    </w:p>
    <w:p>
      <w:pPr>
        <w:pStyle w:val="Heading2"/>
      </w:pPr>
      <w:r>
        <w:t>13.1 Privacidad y RGPD</w:t>
      </w:r>
    </w:p>
    <w:p>
      <w:pPr>
        <w:pStyle w:val="ListBullet"/>
      </w:pPr>
      <w:r>
        <w:rPr>
          <w:rFonts w:ascii="Arial" w:hAnsi="Arial"/>
        </w:rPr>
        <w:t>Inventario de tratamientos, finalidades, bases jurídicas y retención.</w:t>
      </w:r>
    </w:p>
    <w:p>
      <w:pPr>
        <w:pStyle w:val="ListBullet"/>
      </w:pPr>
      <w:r>
        <w:rPr>
          <w:rFonts w:ascii="Arial" w:hAnsi="Arial"/>
        </w:rPr>
        <w:t>Información por capas y consentimientos no premarcados.</w:t>
      </w:r>
    </w:p>
    <w:p>
      <w:pPr>
        <w:pStyle w:val="ListBullet"/>
      </w:pPr>
      <w:r>
        <w:rPr>
          <w:rFonts w:ascii="Arial" w:hAnsi="Arial"/>
        </w:rPr>
        <w:t>CMP de cookies por categorías y prueba de consentimiento.</w:t>
      </w:r>
    </w:p>
    <w:p>
      <w:pPr>
        <w:pStyle w:val="ListBullet"/>
      </w:pPr>
      <w:r>
        <w:rPr>
          <w:rFonts w:ascii="Arial" w:hAnsi="Arial"/>
        </w:rPr>
        <w:t>Contratos con encargados y evaluación de transferencias.</w:t>
      </w:r>
    </w:p>
    <w:p>
      <w:pPr>
        <w:pStyle w:val="ListBullet"/>
      </w:pPr>
      <w:r>
        <w:rPr>
          <w:rFonts w:ascii="Arial" w:hAnsi="Arial"/>
        </w:rPr>
        <w:t>Derechos de acceso, rectificación, supresión, oposición, limitación y portabilidad.</w:t>
      </w:r>
    </w:p>
    <w:p>
      <w:pPr>
        <w:pStyle w:val="ListBullet"/>
      </w:pPr>
      <w:r>
        <w:rPr>
          <w:rFonts w:ascii="Arial" w:hAnsi="Arial"/>
        </w:rPr>
        <w:t>Privacy by design, minimización y entornos sin datos reales cuando sea posible.</w:t>
      </w:r>
    </w:p>
    <w:p>
      <w:pPr>
        <w:pStyle w:val="ListBullet"/>
      </w:pPr>
      <w:r>
        <w:rPr>
          <w:rFonts w:ascii="Arial" w:hAnsi="Arial"/>
        </w:rPr>
        <w:t>DPIA si el scoring, financiación o escala lo hacen necesario.</w:t>
      </w:r>
    </w:p>
    <w:p>
      <w:pPr>
        <w:pStyle w:val="ListBullet"/>
      </w:pPr>
      <w:r>
        <w:rPr>
          <w:rFonts w:ascii="Arial" w:hAnsi="Arial"/>
        </w:rPr>
        <w:t>Borrado/anonimización programada y legal hold configurable.</w:t>
      </w:r>
    </w:p>
    <w:p>
      <w:pPr>
        <w:pStyle w:val="Heading2"/>
      </w:pPr>
      <w:r>
        <w:t>13.2 Seguridad técnica mínima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63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Identidad</w:t>
            </w:r>
          </w:p>
        </w:tc>
        <w:tc>
          <w:tcPr>
            <w:tcW w:type="dxa" w:w="76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MFA obligatorio para administración, compras y finanzas.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Acceso</w:t>
            </w:r>
          </w:p>
        </w:tc>
        <w:tc>
          <w:tcPr>
            <w:tcW w:type="dxa" w:w="76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RBAC, mínimo privilegio y revisión trimestral.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Aplicación</w:t>
            </w:r>
          </w:p>
        </w:tc>
        <w:tc>
          <w:tcPr>
            <w:tcW w:type="dxa" w:w="76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OWASP ASVS proporcional; validación server-side y CSRF/XSS/SQLi.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Secretos</w:t>
            </w:r>
          </w:p>
        </w:tc>
        <w:tc>
          <w:tcPr>
            <w:tcW w:type="dxa" w:w="76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Gestor de secretos; rotación; nunca en Git o logs.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Cifrado</w:t>
            </w:r>
          </w:p>
        </w:tc>
        <w:tc>
          <w:tcPr>
            <w:tcW w:type="dxa" w:w="76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TLS vigente y cifrado gestionado en reposo.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Archivos</w:t>
            </w:r>
          </w:p>
        </w:tc>
        <w:tc>
          <w:tcPr>
            <w:tcW w:type="dxa" w:w="76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Antivirus, MIME real, límites y URLs firmadas.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Logs</w:t>
            </w:r>
          </w:p>
        </w:tc>
        <w:tc>
          <w:tcPr>
            <w:tcW w:type="dxa" w:w="76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Centralizados, alertas y redacción de datos sensibles.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Backups</w:t>
            </w:r>
          </w:p>
        </w:tc>
        <w:tc>
          <w:tcPr>
            <w:tcW w:type="dxa" w:w="76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Automáticos, cifrados, retención y restauración probada.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Dependencias</w:t>
            </w:r>
          </w:p>
        </w:tc>
        <w:tc>
          <w:tcPr>
            <w:tcW w:type="dxa" w:w="76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SCA, parches y bloqueo de versiones.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Incidentes</w:t>
            </w:r>
          </w:p>
        </w:tc>
        <w:tc>
          <w:tcPr>
            <w:tcW w:type="dxa" w:w="763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Plan, responsables, evidencias y notificación evaluada.</w:t>
            </w:r>
          </w:p>
        </w:tc>
      </w:tr>
    </w:tbl>
    <w:p>
      <w:pPr>
        <w:spacing w:after="40"/>
      </w:pPr>
    </w:p>
    <w:p>
      <w:pPr>
        <w:pStyle w:val="Heading2"/>
      </w:pPr>
      <w:r>
        <w:t>13.3 Reglas comerciales y de consumo configurables</w:t>
      </w:r>
    </w:p>
    <w:p>
      <w:pPr>
        <w:pStyle w:val="ListBullet"/>
      </w:pPr>
      <w:r>
        <w:rPr>
          <w:rFonts w:ascii="Arial" w:hAnsi="Arial"/>
        </w:rPr>
        <w:t>Información precontractual y precio total.</w:t>
      </w:r>
    </w:p>
    <w:p>
      <w:pPr>
        <w:pStyle w:val="ListBullet"/>
      </w:pPr>
      <w:r>
        <w:rPr>
          <w:rFonts w:ascii="Arial" w:hAnsi="Arial"/>
        </w:rPr>
        <w:t>Versión de términos aceptada y copia en soporte duradero.</w:t>
      </w:r>
    </w:p>
    <w:p>
      <w:pPr>
        <w:pStyle w:val="ListBullet"/>
      </w:pPr>
      <w:r>
        <w:rPr>
          <w:rFonts w:ascii="Arial" w:hAnsi="Arial"/>
        </w:rPr>
        <w:t>Flujo de desistimiento configurable; no asumir exclusión automática por encargo.</w:t>
      </w:r>
    </w:p>
    <w:p>
      <w:pPr>
        <w:pStyle w:val="ListBullet"/>
      </w:pPr>
      <w:r>
        <w:rPr>
          <w:rFonts w:ascii="Arial" w:hAnsi="Arial"/>
        </w:rPr>
        <w:t>Garantía legal separada de extensiones comerciales.</w:t>
      </w:r>
    </w:p>
    <w:p>
      <w:pPr>
        <w:pStyle w:val="ListBullet"/>
      </w:pPr>
      <w:r>
        <w:rPr>
          <w:rFonts w:ascii="Arial" w:hAnsi="Arial"/>
        </w:rPr>
        <w:t>Gestión documentada de reclamaciones.</w:t>
      </w:r>
    </w:p>
    <w:p>
      <w:pPr>
        <w:pStyle w:val="ListBullet"/>
      </w:pPr>
      <w:r>
        <w:rPr>
          <w:rFonts w:ascii="Arial" w:hAnsi="Arial"/>
        </w:rPr>
        <w:t>Financiación ofrecida por entidad autorizada con disclosures.</w:t>
      </w:r>
    </w:p>
    <w:p>
      <w:pPr>
        <w:pStyle w:val="ListBullet"/>
      </w:pPr>
      <w:r>
        <w:rPr>
          <w:rFonts w:ascii="Arial" w:hAnsi="Arial"/>
        </w:rPr>
        <w:t>Publicidad verificable: no usar “sin riesgo”, “garantizado” o “mejor precio” sin soporte.</w:t>
      </w:r>
    </w:p>
    <w:p>
      <w:pPr>
        <w:pStyle w:val="Heading1"/>
      </w:pPr>
      <w:r>
        <w:t>14. Analítica, SEO y crecimiento</w:t>
      </w:r>
    </w:p>
    <w:p>
      <w:pPr>
        <w:pStyle w:val="Heading2"/>
      </w:pPr>
      <w:r>
        <w:t>14.1 Eventos mínimos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15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Embudo</w:t>
            </w:r>
          </w:p>
        </w:tc>
        <w:tc>
          <w:tcPr>
            <w:tcW w:type="dxa" w:w="7703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Eventos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Captación</w:t>
            </w:r>
          </w:p>
        </w:tc>
        <w:tc>
          <w:tcPr>
            <w:tcW w:type="dxa" w:w="77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landing_viewed, search_started, search_completed, lead_submitted</w:t>
            </w:r>
          </w:p>
        </w:tc>
      </w:tr>
      <w:tr>
        <w:trPr>
          <w:cantSplit/>
        </w:trPr>
        <w:tc>
          <w:tcPr>
            <w:tcW w:type="dxa" w:w="201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Cualificación</w:t>
            </w:r>
          </w:p>
        </w:tc>
        <w:tc>
          <w:tcPr>
            <w:tcW w:type="dxa" w:w="77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lead_assigned, qualified, rejected, finance_requested/preapproved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Candidato</w:t>
            </w:r>
          </w:p>
        </w:tc>
        <w:tc>
          <w:tcPr>
            <w:tcW w:type="dxa" w:w="77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candidate_proposed/viewed/approved/rejected</w:t>
            </w:r>
          </w:p>
        </w:tc>
      </w:tr>
      <w:tr>
        <w:trPr>
          <w:cantSplit/>
        </w:trPr>
        <w:tc>
          <w:tcPr>
            <w:tcW w:type="dxa" w:w="201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Reserva</w:t>
            </w:r>
          </w:p>
        </w:tc>
        <w:tc>
          <w:tcPr>
            <w:tcW w:type="dxa" w:w="77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reservation_started, contract_accepted, paid, expired, refunded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Compra</w:t>
            </w:r>
          </w:p>
        </w:tc>
        <w:tc>
          <w:tcPr>
            <w:tcW w:type="dxa" w:w="77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bid_started, won, lost, purchase_recorded</w:t>
            </w:r>
          </w:p>
        </w:tc>
      </w:tr>
      <w:tr>
        <w:trPr>
          <w:cantSplit/>
        </w:trPr>
        <w:tc>
          <w:tcPr>
            <w:tcW w:type="dxa" w:w="201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Operación</w:t>
            </w:r>
          </w:p>
        </w:tc>
        <w:tc>
          <w:tcPr>
            <w:tcW w:type="dxa" w:w="77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transport_started, received, inspection_passed/failed, ready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Entrega</w:t>
            </w:r>
          </w:p>
        </w:tc>
        <w:tc>
          <w:tcPr>
            <w:tcW w:type="dxa" w:w="77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scheduled, completed, nps_submitted</w:t>
            </w:r>
          </w:p>
        </w:tc>
      </w:tr>
      <w:tr>
        <w:trPr>
          <w:cantSplit/>
        </w:trPr>
        <w:tc>
          <w:tcPr>
            <w:tcW w:type="dxa" w:w="201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Posventa</w:t>
            </w:r>
          </w:p>
        </w:tc>
        <w:tc>
          <w:tcPr>
            <w:tcW w:type="dxa" w:w="77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warranty_opened, first_response, resolved</w:t>
            </w:r>
          </w:p>
        </w:tc>
      </w:tr>
    </w:tbl>
    <w:p>
      <w:pPr>
        <w:spacing w:after="40"/>
      </w:pPr>
    </w:p>
    <w:p>
      <w:pPr>
        <w:pStyle w:val="Heading2"/>
      </w:pPr>
      <w:r>
        <w:t>14.2 Paneles</w:t>
      </w:r>
    </w:p>
    <w:p>
      <w:pPr>
        <w:pStyle w:val="ListBullet"/>
      </w:pPr>
      <w:r>
        <w:rPr>
          <w:rFonts w:ascii="Arial" w:hAnsi="Arial"/>
        </w:rPr>
        <w:t>Embudo por canal, campaña, asesor y provincia.</w:t>
      </w:r>
    </w:p>
    <w:p>
      <w:pPr>
        <w:pStyle w:val="ListBullet"/>
      </w:pPr>
      <w:r>
        <w:rPr>
          <w:rFonts w:ascii="Arial" w:hAnsi="Arial"/>
        </w:rPr>
        <w:t>Tiempo por estado y SLA vencidos.</w:t>
      </w:r>
    </w:p>
    <w:p>
      <w:pPr>
        <w:pStyle w:val="ListBullet"/>
      </w:pPr>
      <w:r>
        <w:rPr>
          <w:rFonts w:ascii="Arial" w:hAnsi="Arial"/>
        </w:rPr>
        <w:t>Margen previsto vs. real por operación.</w:t>
      </w:r>
    </w:p>
    <w:p>
      <w:pPr>
        <w:pStyle w:val="ListBullet"/>
      </w:pPr>
      <w:r>
        <w:rPr>
          <w:rFonts w:ascii="Arial" w:hAnsi="Arial"/>
        </w:rPr>
        <w:t>Caja comprometida, cobros, reembolsos y pagos a proveedor.</w:t>
      </w:r>
    </w:p>
    <w:p>
      <w:pPr>
        <w:pStyle w:val="ListBullet"/>
      </w:pPr>
      <w:r>
        <w:rPr>
          <w:rFonts w:ascii="Arial" w:hAnsi="Arial"/>
        </w:rPr>
        <w:t>Calidad por partner: defectos, retrasos, extras y NPS.</w:t>
      </w:r>
    </w:p>
    <w:p>
      <w:pPr>
        <w:pStyle w:val="ListBullet"/>
      </w:pPr>
      <w:r>
        <w:rPr>
          <w:rFonts w:ascii="Arial" w:hAnsi="Arial"/>
        </w:rPr>
        <w:t>Fuentes: adjudicación, coste y desviaciones.</w:t>
      </w:r>
    </w:p>
    <w:p>
      <w:pPr>
        <w:pStyle w:val="ListBullet"/>
      </w:pPr>
      <w:r>
        <w:rPr>
          <w:rFonts w:ascii="Arial" w:hAnsi="Arial"/>
        </w:rPr>
        <w:t>Cohortes y referidos después de volumen suficiente.</w:t>
      </w:r>
    </w:p>
    <w:p>
      <w:pPr>
        <w:pStyle w:val="Heading2"/>
      </w:pPr>
      <w:r>
        <w:t>14.3 SEO y contenido</w:t>
      </w:r>
    </w:p>
    <w:p>
      <w:pPr>
        <w:pStyle w:val="ListBullet"/>
      </w:pPr>
      <w:r>
        <w:rPr>
          <w:rFonts w:ascii="Arial" w:hAnsi="Arial"/>
        </w:rPr>
        <w:t>Arquitectura indexable limitada a contenido útil y estable.</w:t>
      </w:r>
    </w:p>
    <w:p>
      <w:pPr>
        <w:pStyle w:val="ListBullet"/>
      </w:pPr>
      <w:r>
        <w:rPr>
          <w:rFonts w:ascii="Arial" w:hAnsi="Arial"/>
        </w:rPr>
        <w:t>Páginas por intención: bajo pedido, comparativas, financiación, eléctricos y guías.</w:t>
      </w:r>
    </w:p>
    <w:p>
      <w:pPr>
        <w:pStyle w:val="ListBullet"/>
      </w:pPr>
      <w:r>
        <w:rPr>
          <w:rFonts w:ascii="Arial" w:hAnsi="Arial"/>
        </w:rPr>
        <w:t>Datos estructurados solo cuando correspondan y coincidan con contenido visible.</w:t>
      </w:r>
    </w:p>
    <w:p>
      <w:pPr>
        <w:pStyle w:val="ListBullet"/>
      </w:pPr>
      <w:r>
        <w:rPr>
          <w:rFonts w:ascii="Arial" w:hAnsi="Arial"/>
        </w:rPr>
        <w:t>Canonical, sitemap, robots y control de parámetros.</w:t>
      </w:r>
    </w:p>
    <w:p>
      <w:pPr>
        <w:pStyle w:val="ListBullet"/>
      </w:pPr>
      <w:r>
        <w:rPr>
          <w:rFonts w:ascii="Arial" w:hAnsi="Arial"/>
        </w:rPr>
        <w:t>Imágenes optimizadas AVIF/WebP y metadatos correctos.</w:t>
      </w:r>
    </w:p>
    <w:p>
      <w:pPr>
        <w:pStyle w:val="ListBullet"/>
      </w:pPr>
      <w:r>
        <w:rPr>
          <w:rFonts w:ascii="Arial" w:hAnsi="Arial"/>
        </w:rPr>
        <w:t>No indexar fichas efímeras, duplicadas o sin derechos.</w:t>
      </w:r>
    </w:p>
    <w:p>
      <w:pPr>
        <w:pStyle w:val="ListBullet"/>
      </w:pPr>
      <w:r>
        <w:rPr>
          <w:rFonts w:ascii="Arial" w:hAnsi="Arial"/>
        </w:rPr>
        <w:t>Contenido firmado/revisado para temas financieros, legales y técnicos.</w:t>
      </w:r>
    </w:p>
    <w:p>
      <w:pPr>
        <w:pStyle w:val="Heading1"/>
      </w:pPr>
      <w:r>
        <w:t>15. DevOps, calidad y observabilidad</w:t>
      </w:r>
    </w:p>
    <w:p>
      <w:pPr>
        <w:pStyle w:val="Heading2"/>
      </w:pPr>
      <w:r>
        <w:t>15.1 Entornos y despliegue</w:t>
      </w:r>
    </w:p>
    <w:p>
      <w:pPr>
        <w:pStyle w:val="ListBullet"/>
      </w:pPr>
      <w:r>
        <w:rPr>
          <w:rFonts w:ascii="Arial" w:hAnsi="Arial"/>
        </w:rPr>
        <w:t>Local, CI, staging y producción separados.</w:t>
      </w:r>
    </w:p>
    <w:p>
      <w:pPr>
        <w:pStyle w:val="ListBullet"/>
      </w:pPr>
      <w:r>
        <w:rPr>
          <w:rFonts w:ascii="Arial" w:hAnsi="Arial"/>
        </w:rPr>
        <w:t>Infraestructura como código y despliegue repetible.</w:t>
      </w:r>
    </w:p>
    <w:p>
      <w:pPr>
        <w:pStyle w:val="ListBullet"/>
      </w:pPr>
      <w:r>
        <w:rPr>
          <w:rFonts w:ascii="Arial" w:hAnsi="Arial"/>
        </w:rPr>
        <w:t>Pull request, revisión y checks obligatorios.</w:t>
      </w:r>
    </w:p>
    <w:p>
      <w:pPr>
        <w:pStyle w:val="ListBullet"/>
      </w:pPr>
      <w:r>
        <w:rPr>
          <w:rFonts w:ascii="Arial" w:hAnsi="Arial"/>
        </w:rPr>
        <w:t>Migraciones forward y plan de rollback.</w:t>
      </w:r>
    </w:p>
    <w:p>
      <w:pPr>
        <w:pStyle w:val="ListBullet"/>
      </w:pPr>
      <w:r>
        <w:rPr>
          <w:rFonts w:ascii="Arial" w:hAnsi="Arial"/>
        </w:rPr>
        <w:t>Feature flags para funciones incompletas.</w:t>
      </w:r>
    </w:p>
    <w:p>
      <w:pPr>
        <w:pStyle w:val="ListBullet"/>
      </w:pPr>
      <w:r>
        <w:rPr>
          <w:rFonts w:ascii="Arial" w:hAnsi="Arial"/>
        </w:rPr>
        <w:t>Datos sintéticos/anónimos en no producción.</w:t>
      </w:r>
    </w:p>
    <w:p>
      <w:pPr>
        <w:pStyle w:val="ListBullet"/>
      </w:pPr>
      <w:r>
        <w:rPr>
          <w:rFonts w:ascii="Arial" w:hAnsi="Arial"/>
        </w:rPr>
        <w:t>Dominio, cloud, repositorio y proveedores a nombre del promotor.</w:t>
      </w:r>
    </w:p>
    <w:p>
      <w:pPr>
        <w:pStyle w:val="Heading2"/>
      </w:pPr>
      <w:r>
        <w:t>15.2 Pirámide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792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Cobertura requerida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Unitarias</w:t>
            </w:r>
          </w:p>
        </w:tc>
        <w:tc>
          <w:tcPr>
            <w:tcW w:type="dxa" w:w="79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Pricing, puja máxima, permisos, transiciones y validaciones.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Integración</w:t>
            </w:r>
          </w:p>
        </w:tc>
        <w:tc>
          <w:tcPr>
            <w:tcW w:type="dxa" w:w="79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DB, pagos, webhooks, documentos, colas y archivos.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Contrato API</w:t>
            </w:r>
          </w:p>
        </w:tc>
        <w:tc>
          <w:tcPr>
            <w:tcW w:type="dxa" w:w="79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OpenAPI y consumidores críticos.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E2E</w:t>
            </w:r>
          </w:p>
        </w:tc>
        <w:tc>
          <w:tcPr>
            <w:tcW w:type="dxa" w:w="79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Solicitud → reserva; adjudicación → entrega; reembolso; incidencia.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Seguridad</w:t>
            </w:r>
          </w:p>
        </w:tc>
        <w:tc>
          <w:tcPr>
            <w:tcW w:type="dxa" w:w="79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SAST, SCA, secretos, cabeceras y pentest proporcional.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Accesibilidad</w:t>
            </w:r>
          </w:p>
        </w:tc>
        <w:tc>
          <w:tcPr>
            <w:tcW w:type="dxa" w:w="79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Automática + teclado/lector/zoom manual.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Rendimiento</w:t>
            </w:r>
          </w:p>
        </w:tc>
        <w:tc>
          <w:tcPr>
            <w:tcW w:type="dxa" w:w="79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Core Web Vitals, carga de endpoints y jobs.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Recuperación</w:t>
            </w:r>
          </w:p>
        </w:tc>
        <w:tc>
          <w:tcPr>
            <w:tcW w:type="dxa" w:w="79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Restauración de backup y rollback ensayados.</w:t>
            </w:r>
          </w:p>
        </w:tc>
      </w:tr>
    </w:tbl>
    <w:p>
      <w:pPr>
        <w:spacing w:after="40"/>
      </w:pPr>
    </w:p>
    <w:p>
      <w:pPr>
        <w:pStyle w:val="Heading2"/>
      </w:pPr>
      <w:r>
        <w:t>15.3 SLO iniciales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16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655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Objetivo inicial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Disponibilidad pública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99,5 % mensual, excluyendo mantenimiento acordado.</w:t>
            </w:r>
          </w:p>
        </w:tc>
      </w:tr>
      <w:tr>
        <w:trPr>
          <w:cantSplit/>
        </w:trPr>
        <w:tc>
          <w:tcPr>
            <w:tcW w:type="dxa" w:w="31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API p95</w:t>
            </w:r>
          </w:p>
        </w:tc>
        <w:tc>
          <w:tcPr>
            <w:tcW w:type="dxa" w:w="65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&lt;500 ms en operaciones estándar sin terceros.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Errores 5xx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&lt;1 % de solicitudes estándar.</w:t>
            </w:r>
          </w:p>
        </w:tc>
      </w:tr>
      <w:tr>
        <w:trPr>
          <w:cantSplit/>
        </w:trPr>
        <w:tc>
          <w:tcPr>
            <w:tcW w:type="dxa" w:w="31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RPO</w:t>
            </w:r>
          </w:p>
        </w:tc>
        <w:tc>
          <w:tcPr>
            <w:tcW w:type="dxa" w:w="65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≤24 h en MVP; mejorar según operación.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RTO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≤8 h en MVP; documentar proceso.</w:t>
            </w:r>
          </w:p>
        </w:tc>
      </w:tr>
      <w:tr>
        <w:trPr>
          <w:cantSplit/>
        </w:trPr>
        <w:tc>
          <w:tcPr>
            <w:tcW w:type="dxa" w:w="31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Alerta crítica</w:t>
            </w:r>
          </w:p>
        </w:tc>
        <w:tc>
          <w:tcPr>
            <w:tcW w:type="dxa" w:w="65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Acuse interno ≤30 min en horario pactado.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LCP móvil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≤2,5 s en páginas clave bajo condiciones de prueba.</w:t>
            </w:r>
          </w:p>
        </w:tc>
      </w:tr>
    </w:tbl>
    <w:p>
      <w:pPr>
        <w:spacing w:after="40"/>
      </w:pPr>
    </w:p>
    <w:p>
      <w:pPr>
        <w:pStyle w:val="Heading1"/>
      </w:pPr>
      <w:r>
        <w:t>16. Plan de implantación en cuatro semanas</w:t>
      </w:r>
    </w:p>
    <w:p>
      <w:pPr>
        <w:spacing w:before="100" w:after="140" w:line="276" w:lineRule="auto"/>
        <w:ind w:left="202" w:right="202"/>
        <w:shd w:fill="FFF1EB"/>
        <w:pBdr>
          <w:left w:val="single" w:sz="18" w:space="6" w:color="FF5A1F"/>
        </w:pBdr>
      </w:pPr>
      <w:r>
        <w:rPr>
          <w:rFonts w:ascii="Arial" w:hAnsi="Arial"/>
          <w:b/>
          <w:color w:val="FF5A1F"/>
          <w:sz w:val="18"/>
        </w:rPr>
        <w:t xml:space="preserve">CONDICIÓN DE PLAZO </w:t>
      </w:r>
      <w:r>
        <w:rPr>
          <w:rFonts w:ascii="Arial" w:hAnsi="Arial"/>
          <w:color w:val="0B132B"/>
          <w:sz w:val="18"/>
        </w:rPr>
        <w:t>Cuatro semanas es viable como MVP asistido si el promotor decide diariamente, el alcance se congela al final de la semana 1, los proveedores se contratan a tiempo y no se incorpora una integración no autorizada con AUTO1.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8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352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Producto y desarrollo</w:t>
            </w:r>
          </w:p>
        </w:tc>
        <w:tc>
          <w:tcPr>
            <w:tcW w:type="dxa" w:w="352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Negocio y operación</w:t>
            </w:r>
          </w:p>
        </w:tc>
        <w:tc>
          <w:tcPr>
            <w:tcW w:type="dxa" w:w="158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Hito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1 · Fundamentos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Discovery, arquitectura, UX, datos, auth, CI/CD y entornos.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Contratos, cuenta profesional, pagos, garantía, partners y reglas de margen.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Prototipo y backlog Must aprobados.</w:t>
            </w:r>
          </w:p>
        </w:tc>
      </w:tr>
      <w:tr>
        <w:trPr>
          <w:cantSplit/>
        </w:trPr>
        <w:tc>
          <w:tcPr>
            <w:tcW w:type="dxa" w:w="108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2 · Captación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Landing, configurador, CRM, oportunidades y pricing.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20 oportunidades representativas, guiones y casos de prueba.</w:t>
            </w:r>
          </w:p>
        </w:tc>
        <w:tc>
          <w:tcPr>
            <w:tcW w:type="dxa" w:w="15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Lead → propuesta en staging.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3 · Transacción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Reserva, pago, contrato, portales, logística e inspección.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Operación simulada, formación y partner piloto.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Reserva → entrega validada.</w:t>
            </w:r>
          </w:p>
        </w:tc>
      </w:tr>
      <w:tr>
        <w:trPr>
          <w:cantSplit/>
        </w:trPr>
        <w:tc>
          <w:tcPr>
            <w:tcW w:type="dxa" w:w="108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4 · Lanzamiento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QA, seguridad, analítica, contenidos, monitorización y producción.</w:t>
            </w:r>
          </w:p>
        </w:tc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Campaña piloto, soporte, contingencia y go/no-go.</w:t>
            </w:r>
          </w:p>
        </w:tc>
        <w:tc>
          <w:tcPr>
            <w:tcW w:type="dxa" w:w="15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MVP público controlado.</w:t>
            </w:r>
          </w:p>
        </w:tc>
      </w:tr>
    </w:tbl>
    <w:p>
      <w:pPr>
        <w:spacing w:after="40"/>
      </w:pPr>
    </w:p>
    <w:p>
      <w:pPr>
        <w:pStyle w:val="Heading2"/>
      </w:pPr>
      <w:r>
        <w:t>16.1 Plan día a día orientativo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655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Días</w:t>
            </w:r>
          </w:p>
        </w:tc>
        <w:tc>
          <w:tcPr>
            <w:tcW w:type="dxa" w:w="8063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Entregas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1–2</w:t>
            </w:r>
          </w:p>
        </w:tc>
        <w:tc>
          <w:tcPr>
            <w:tcW w:type="dxa" w:w="806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Kickoff, procesos, riesgos, repositorios, cuentas y decisiones pendientes.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3–5</w:t>
            </w:r>
          </w:p>
        </w:tc>
        <w:tc>
          <w:tcPr>
            <w:tcW w:type="dxa" w:w="806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Wireframes, arquitectura, modelo de datos, design tokens y backlog congelado.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6–8</w:t>
            </w:r>
          </w:p>
        </w:tc>
        <w:tc>
          <w:tcPr>
            <w:tcW w:type="dxa" w:w="806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Landing/configurador, CRM, auth y catálogo manual.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9–10</w:t>
            </w:r>
          </w:p>
        </w:tc>
        <w:tc>
          <w:tcPr>
            <w:tcW w:type="dxa" w:w="806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Pricing, candidatos, comparador y propuesta.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11–13</w:t>
            </w:r>
          </w:p>
        </w:tc>
        <w:tc>
          <w:tcPr>
            <w:tcW w:type="dxa" w:w="806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Reserva, pagos, contratos y portal cliente.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14–15</w:t>
            </w:r>
          </w:p>
        </w:tc>
        <w:tc>
          <w:tcPr>
            <w:tcW w:type="dxa" w:w="806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Backoffice, partner, transporte e inspección.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16–17</w:t>
            </w:r>
          </w:p>
        </w:tc>
        <w:tc>
          <w:tcPr>
            <w:tcW w:type="dxa" w:w="806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Analítica, notificaciones, legal, accesibilidad y hardening.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18</w:t>
            </w:r>
          </w:p>
        </w:tc>
        <w:tc>
          <w:tcPr>
            <w:tcW w:type="dxa" w:w="806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UAT con operación simulada y restauración.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19</w:t>
            </w:r>
          </w:p>
        </w:tc>
        <w:tc>
          <w:tcPr>
            <w:tcW w:type="dxa" w:w="806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Correcciones, formación, carga inicial y go/no-go.</w:t>
            </w:r>
          </w:p>
        </w:tc>
      </w:tr>
      <w:tr>
        <w:trPr>
          <w:cantSplit/>
        </w:trPr>
        <w:tc>
          <w:tcPr>
            <w:tcW w:type="dxa" w:w="1655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20</w:t>
            </w:r>
          </w:p>
        </w:tc>
        <w:tc>
          <w:tcPr>
            <w:tcW w:type="dxa" w:w="806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Producción controlada y monitorización intensiva.</w:t>
            </w:r>
          </w:p>
        </w:tc>
      </w:tr>
    </w:tbl>
    <w:p>
      <w:pPr>
        <w:spacing w:after="40"/>
      </w:pPr>
    </w:p>
    <w:p>
      <w:pPr>
        <w:pStyle w:val="Heading2"/>
      </w:pPr>
      <w:r>
        <w:t>16.2 Responsabilidades del promotor</w:t>
      </w:r>
    </w:p>
    <w:p>
      <w:pPr>
        <w:pStyle w:val="ListBullet"/>
      </w:pPr>
      <w:r>
        <w:rPr>
          <w:rFonts w:ascii="Arial" w:hAnsi="Arial"/>
        </w:rPr>
        <w:t>Responsable con capacidad diaria de decisión.</w:t>
      </w:r>
    </w:p>
    <w:p>
      <w:pPr>
        <w:pStyle w:val="ListBullet"/>
      </w:pPr>
      <w:r>
        <w:rPr>
          <w:rFonts w:ascii="Arial" w:hAnsi="Arial"/>
        </w:rPr>
        <w:t>Sociedad vendedora y datos fiscales.</w:t>
      </w:r>
    </w:p>
    <w:p>
      <w:pPr>
        <w:pStyle w:val="ListBullet"/>
      </w:pPr>
      <w:r>
        <w:rPr>
          <w:rFonts w:ascii="Arial" w:hAnsi="Arial"/>
        </w:rPr>
        <w:t>Cuenta profesional de aprovisionamiento.</w:t>
      </w:r>
    </w:p>
    <w:p>
      <w:pPr>
        <w:pStyle w:val="ListBullet"/>
      </w:pPr>
      <w:r>
        <w:rPr>
          <w:rFonts w:ascii="Arial" w:hAnsi="Arial"/>
        </w:rPr>
        <w:t>Autorización de datos/imágenes.</w:t>
      </w:r>
    </w:p>
    <w:p>
      <w:pPr>
        <w:pStyle w:val="ListBullet"/>
      </w:pPr>
      <w:r>
        <w:rPr>
          <w:rFonts w:ascii="Arial" w:hAnsi="Arial"/>
        </w:rPr>
        <w:t>Contratos y textos legales.</w:t>
      </w:r>
    </w:p>
    <w:p>
      <w:pPr>
        <w:pStyle w:val="ListBullet"/>
      </w:pPr>
      <w:r>
        <w:rPr>
          <w:rFonts w:ascii="Arial" w:hAnsi="Arial"/>
        </w:rPr>
        <w:t>Cuenta de pagos/firma/email.</w:t>
      </w:r>
    </w:p>
    <w:p>
      <w:pPr>
        <w:pStyle w:val="ListBullet"/>
      </w:pPr>
      <w:r>
        <w:rPr>
          <w:rFonts w:ascii="Arial" w:hAnsi="Arial"/>
        </w:rPr>
        <w:t>Tarifas, márgenes y provisiones.</w:t>
      </w:r>
    </w:p>
    <w:p>
      <w:pPr>
        <w:pStyle w:val="ListBullet"/>
      </w:pPr>
      <w:r>
        <w:rPr>
          <w:rFonts w:ascii="Arial" w:hAnsi="Arial"/>
        </w:rPr>
        <w:t>Partner piloto y transportista.</w:t>
      </w:r>
    </w:p>
    <w:p>
      <w:pPr>
        <w:pStyle w:val="ListBullet"/>
      </w:pPr>
      <w:r>
        <w:rPr>
          <w:rFonts w:ascii="Arial" w:hAnsi="Arial"/>
        </w:rPr>
        <w:t>Datos representativos y usuarios UAT.</w:t>
      </w:r>
    </w:p>
    <w:p>
      <w:pPr>
        <w:pStyle w:val="ListBullet"/>
      </w:pPr>
      <w:r>
        <w:rPr>
          <w:rFonts w:ascii="Arial" w:hAnsi="Arial"/>
        </w:rPr>
        <w:t>Aprobación de diseño y contenido.</w:t>
      </w:r>
    </w:p>
    <w:p>
      <w:pPr>
        <w:pStyle w:val="Heading1"/>
      </w:pPr>
      <w:r>
        <w:t>17. Backlog priorizado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338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Must MVP</w:t>
            </w:r>
          </w:p>
        </w:tc>
        <w:tc>
          <w:tcPr>
            <w:tcW w:type="dxa" w:w="252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Should siguiente</w:t>
            </w:r>
          </w:p>
        </w:tc>
        <w:tc>
          <w:tcPr>
            <w:tcW w:type="dxa" w:w="230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Could futuro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Marca/captación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Landing, CMS legal, configurador.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Comparador y contenidos.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Personalización IA supervisada.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CRM</w:t>
            </w:r>
          </w:p>
        </w:tc>
        <w:tc>
          <w:tcPr>
            <w:tcW w:type="dxa" w:w="33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Lead, asignación, SLA, notas.</w:t>
            </w:r>
          </w:p>
        </w:tc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Scoring explicable.</w:t>
            </w:r>
          </w:p>
        </w:tc>
        <w:tc>
          <w:tcPr>
            <w:tcW w:type="dxa" w:w="230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Automatización omnicanal.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Catálogo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Manual/CSV, caducidad, derechos.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Feed oficial.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Múltiples fuentes normalizadas.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Pricing</w:t>
            </w:r>
          </w:p>
        </w:tc>
        <w:tc>
          <w:tcPr>
            <w:tcW w:type="dxa" w:w="33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Costes, margen, puja y bloqueo.</w:t>
            </w:r>
          </w:p>
        </w:tc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Escenarios avanzados.</w:t>
            </w:r>
          </w:p>
        </w:tc>
        <w:tc>
          <w:tcPr>
            <w:tcW w:type="dxa" w:w="230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Predicción con override.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Reserva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Contrato, pago, expiración, reembolso.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Firma avanzada.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Escrow si se justifica.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Compras</w:t>
            </w:r>
          </w:p>
        </w:tc>
        <w:tc>
          <w:tcPr>
            <w:tcW w:type="dxa" w:w="33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Puja/adjudicación manual.</w:t>
            </w:r>
          </w:p>
        </w:tc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Importación de facturas.</w:t>
            </w:r>
          </w:p>
        </w:tc>
        <w:tc>
          <w:tcPr>
            <w:tcW w:type="dxa" w:w="230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API oficial.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Operación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Transporte, inspección, partner y entrega.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APIs logísticas.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Optimización de rutas.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Cliente</w:t>
            </w:r>
          </w:p>
        </w:tc>
        <w:tc>
          <w:tcPr>
            <w:tcW w:type="dxa" w:w="33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Timeline, docs, pagos, soporte.</w:t>
            </w:r>
          </w:p>
        </w:tc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Notificaciones avanzadas.</w:t>
            </w:r>
          </w:p>
        </w:tc>
        <w:tc>
          <w:tcPr>
            <w:tcW w:type="dxa" w:w="230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App nativa.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Datos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KPIs, eventos y exportación.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BI/warehouse.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Modelos de rentabilidad.</w:t>
            </w:r>
          </w:p>
        </w:tc>
      </w:tr>
      <w:tr>
        <w:trPr>
          <w:cantSplit/>
        </w:trPr>
        <w:tc>
          <w:tcPr>
            <w:tcW w:type="dxa" w:w="151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Plataforma</w:t>
            </w:r>
          </w:p>
        </w:tc>
        <w:tc>
          <w:tcPr>
            <w:tcW w:type="dxa" w:w="338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RBAC, auditoría, CI/CD, backup.</w:t>
            </w:r>
          </w:p>
        </w:tc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Multiempresa.</w:t>
            </w:r>
          </w:p>
        </w:tc>
        <w:tc>
          <w:tcPr>
            <w:tcW w:type="dxa" w:w="230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4"/>
              </w:rPr>
              <w:t>White-label/B2B2C.</w:t>
            </w:r>
          </w:p>
        </w:tc>
      </w:tr>
    </w:tbl>
    <w:p>
      <w:pPr>
        <w:spacing w:after="40"/>
      </w:pPr>
    </w:p>
    <w:p>
      <w:pPr>
        <w:pStyle w:val="Heading1"/>
      </w:pPr>
      <w:r>
        <w:t>18. Pruebas de aceptación del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68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96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UAT-01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Usuario completa solicitud desde móvil.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Lead, criterios, UTM y consentimiento persistidos.</w:t>
            </w:r>
          </w:p>
        </w:tc>
      </w:tr>
      <w:tr>
        <w:trPr>
          <w:cantSplit/>
        </w:trPr>
        <w:tc>
          <w:tcPr>
            <w:tcW w:type="dxa" w:w="11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UAT-02</w:t>
            </w:r>
          </w:p>
        </w:tc>
        <w:tc>
          <w:tcPr>
            <w:tcW w:type="dxa" w:w="468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Oportunidad expira durante reserva.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Se bloquea y ofrece alternativa; no cobra indebidamente.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UAT-03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Dos usuarios intentan reservar unidad.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Solo una reserva puede confirmarse.</w:t>
            </w:r>
          </w:p>
        </w:tc>
      </w:tr>
      <w:tr>
        <w:trPr>
          <w:cantSplit/>
        </w:trPr>
        <w:tc>
          <w:tcPr>
            <w:tcW w:type="dxa" w:w="11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UAT-04</w:t>
            </w:r>
          </w:p>
        </w:tc>
        <w:tc>
          <w:tcPr>
            <w:tcW w:type="dxa" w:w="468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Margen cae bajo mínimo.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Puja bloqueada y aprobación excepcional auditada.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UAT-05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Pago/webhook duplicado.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Una sola reserva/transacción efectiva.</w:t>
            </w:r>
          </w:p>
        </w:tc>
      </w:tr>
      <w:tr>
        <w:trPr>
          <w:cantSplit/>
        </w:trPr>
        <w:tc>
          <w:tcPr>
            <w:tcW w:type="dxa" w:w="11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UAT-06</w:t>
            </w:r>
          </w:p>
        </w:tc>
        <w:tc>
          <w:tcPr>
            <w:tcW w:type="dxa" w:w="468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No se adjudica el vehículo.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Flujo contractual de alternativa/reembolso correcto.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UAT-07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Daño de transporte.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Incidencia, fotos, responsable y bloqueo de inspección.</w:t>
            </w:r>
          </w:p>
        </w:tc>
      </w:tr>
      <w:tr>
        <w:trPr>
          <w:cantSplit/>
        </w:trPr>
        <w:tc>
          <w:tcPr>
            <w:tcW w:type="dxa" w:w="11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UAT-08</w:t>
            </w:r>
          </w:p>
        </w:tc>
        <w:tc>
          <w:tcPr>
            <w:tcW w:type="dxa" w:w="468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Inspección exige reparación extra.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Presupuesto y aprobación antes del trabajo.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UAT-09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 intenta ver otro pedido.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Acceso denegado y evento registrado.</w:t>
            </w:r>
          </w:p>
        </w:tc>
      </w:tr>
      <w:tr>
        <w:trPr>
          <w:cantSplit/>
        </w:trPr>
        <w:tc>
          <w:tcPr>
            <w:tcW w:type="dxa" w:w="11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UAT-10</w:t>
            </w:r>
          </w:p>
        </w:tc>
        <w:tc>
          <w:tcPr>
            <w:tcW w:type="dxa" w:w="468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Entrega sin saldo.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Sistema bloquea acta final.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UAT-11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Cliente ejerce derecho RGPD.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Solicitud, identidad, plazo y respuesta trazables.</w:t>
            </w:r>
          </w:p>
        </w:tc>
      </w:tr>
      <w:tr>
        <w:trPr>
          <w:cantSplit/>
        </w:trPr>
        <w:tc>
          <w:tcPr>
            <w:tcW w:type="dxa" w:w="115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UAT-12</w:t>
            </w:r>
          </w:p>
        </w:tc>
        <w:tc>
          <w:tcPr>
            <w:tcW w:type="dxa" w:w="468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Restauración de backup.</w:t>
            </w:r>
          </w:p>
        </w:tc>
        <w:tc>
          <w:tcPr>
            <w:tcW w:type="dxa" w:w="39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Servicio recuperado dentro del RTO documentado.</w:t>
            </w:r>
          </w:p>
        </w:tc>
      </w:tr>
    </w:tbl>
    <w:p>
      <w:pPr>
        <w:spacing w:after="40"/>
      </w:pPr>
    </w:p>
    <w:p>
      <w:pPr>
        <w:pStyle w:val="Heading2"/>
      </w:pPr>
      <w:r>
        <w:t>18.1 Definition of Done</w:t>
      </w:r>
    </w:p>
    <w:p>
      <w:pPr>
        <w:pStyle w:val="ListBullet"/>
      </w:pPr>
      <w:r>
        <w:rPr>
          <w:rFonts w:ascii="Arial" w:hAnsi="Arial"/>
        </w:rPr>
        <w:t>Criterios de aceptación aprobados.</w:t>
      </w:r>
    </w:p>
    <w:p>
      <w:pPr>
        <w:pStyle w:val="ListBullet"/>
      </w:pPr>
      <w:r>
        <w:rPr>
          <w:rFonts w:ascii="Arial" w:hAnsi="Arial"/>
        </w:rPr>
        <w:t>Código revisado y pruebas en verde.</w:t>
      </w:r>
    </w:p>
    <w:p>
      <w:pPr>
        <w:pStyle w:val="ListBullet"/>
      </w:pPr>
      <w:r>
        <w:rPr>
          <w:rFonts w:ascii="Arial" w:hAnsi="Arial"/>
        </w:rPr>
        <w:t>Diseño responsive y accesible.</w:t>
      </w:r>
    </w:p>
    <w:p>
      <w:pPr>
        <w:pStyle w:val="ListBullet"/>
      </w:pPr>
      <w:r>
        <w:rPr>
          <w:rFonts w:ascii="Arial" w:hAnsi="Arial"/>
        </w:rPr>
        <w:t>Logs/errores seguros y monitorizados.</w:t>
      </w:r>
    </w:p>
    <w:p>
      <w:pPr>
        <w:pStyle w:val="ListBullet"/>
      </w:pPr>
      <w:r>
        <w:rPr>
          <w:rFonts w:ascii="Arial" w:hAnsi="Arial"/>
        </w:rPr>
        <w:t>Migración y rollback documentados.</w:t>
      </w:r>
    </w:p>
    <w:p>
      <w:pPr>
        <w:pStyle w:val="ListBullet"/>
      </w:pPr>
      <w:r>
        <w:rPr>
          <w:rFonts w:ascii="Arial" w:hAnsi="Arial"/>
        </w:rPr>
        <w:t>Documentación OpenAPI actualizada.</w:t>
      </w:r>
    </w:p>
    <w:p>
      <w:pPr>
        <w:pStyle w:val="ListBullet"/>
      </w:pPr>
      <w:r>
        <w:rPr>
          <w:rFonts w:ascii="Arial" w:hAnsi="Arial"/>
        </w:rPr>
        <w:t>Sin vulnerabilidades críticas conocidas.</w:t>
      </w:r>
    </w:p>
    <w:p>
      <w:pPr>
        <w:pStyle w:val="ListBullet"/>
      </w:pPr>
      <w:r>
        <w:rPr>
          <w:rFonts w:ascii="Arial" w:hAnsi="Arial"/>
        </w:rPr>
        <w:t>Desplegado en staging y validado por negocio.</w:t>
      </w:r>
    </w:p>
    <w:p>
      <w:pPr>
        <w:pStyle w:val="ListBullet"/>
      </w:pPr>
      <w:r>
        <w:rPr>
          <w:rFonts w:ascii="Arial" w:hAnsi="Arial"/>
        </w:rPr>
        <w:t>Manual y formación actualizados.</w:t>
      </w:r>
    </w:p>
    <w:p>
      <w:pPr>
        <w:pStyle w:val="Heading1"/>
      </w:pPr>
      <w:r>
        <w:t>19. Entregables exigidos a la desarrolladora</w:t>
      </w:r>
    </w:p>
    <w:p>
      <w:pPr>
        <w:pStyle w:val="ListBullet"/>
      </w:pPr>
      <w:r>
        <w:rPr>
          <w:rFonts w:ascii="Arial" w:hAnsi="Arial"/>
        </w:rPr>
        <w:t>Figma editable, sistema de diseño y prototipo.</w:t>
      </w:r>
    </w:p>
    <w:p>
      <w:pPr>
        <w:pStyle w:val="ListBullet"/>
      </w:pPr>
      <w:r>
        <w:rPr>
          <w:rFonts w:ascii="Arial" w:hAnsi="Arial"/>
        </w:rPr>
        <w:t>Código fuente frontend/backend y repositorio del promotor.</w:t>
      </w:r>
    </w:p>
    <w:p>
      <w:pPr>
        <w:pStyle w:val="ListBullet"/>
      </w:pPr>
      <w:r>
        <w:rPr>
          <w:rFonts w:ascii="Arial" w:hAnsi="Arial"/>
        </w:rPr>
        <w:t>Esquema, migraciones y diccionario de datos.</w:t>
      </w:r>
    </w:p>
    <w:p>
      <w:pPr>
        <w:pStyle w:val="ListBullet"/>
      </w:pPr>
      <w:r>
        <w:rPr>
          <w:rFonts w:ascii="Arial" w:hAnsi="Arial"/>
        </w:rPr>
        <w:t>Infraestructura como código y pipeline CI/CD.</w:t>
      </w:r>
    </w:p>
    <w:p>
      <w:pPr>
        <w:pStyle w:val="ListBullet"/>
      </w:pPr>
      <w:r>
        <w:rPr>
          <w:rFonts w:ascii="Arial" w:hAnsi="Arial"/>
        </w:rPr>
        <w:t>OpenAPI, webhooks y colección de pruebas.</w:t>
      </w:r>
    </w:p>
    <w:p>
      <w:pPr>
        <w:pStyle w:val="ListBullet"/>
      </w:pPr>
      <w:r>
        <w:rPr>
          <w:rFonts w:ascii="Arial" w:hAnsi="Arial"/>
        </w:rPr>
        <w:t>Matriz de roles/permisos.</w:t>
      </w:r>
    </w:p>
    <w:p>
      <w:pPr>
        <w:pStyle w:val="ListBullet"/>
      </w:pPr>
      <w:r>
        <w:rPr>
          <w:rFonts w:ascii="Arial" w:hAnsi="Arial"/>
        </w:rPr>
        <w:t>Plan y evidencias de pruebas.</w:t>
      </w:r>
    </w:p>
    <w:p>
      <w:pPr>
        <w:pStyle w:val="ListBullet"/>
      </w:pPr>
      <w:r>
        <w:rPr>
          <w:rFonts w:ascii="Arial" w:hAnsi="Arial"/>
        </w:rPr>
        <w:t>Manual de administración, operación y partner.</w:t>
      </w:r>
    </w:p>
    <w:p>
      <w:pPr>
        <w:pStyle w:val="ListBullet"/>
      </w:pPr>
      <w:r>
        <w:rPr>
          <w:rFonts w:ascii="Arial" w:hAnsi="Arial"/>
        </w:rPr>
        <w:t>Inventario de terceros y licencias.</w:t>
      </w:r>
    </w:p>
    <w:p>
      <w:pPr>
        <w:pStyle w:val="ListBullet"/>
      </w:pPr>
      <w:r>
        <w:rPr>
          <w:rFonts w:ascii="Arial" w:hAnsi="Arial"/>
        </w:rPr>
        <w:t>Plan de backup, restauración e incidentes.</w:t>
      </w:r>
    </w:p>
    <w:p>
      <w:pPr>
        <w:pStyle w:val="ListBullet"/>
      </w:pPr>
      <w:r>
        <w:rPr>
          <w:rFonts w:ascii="Arial" w:hAnsi="Arial"/>
        </w:rPr>
        <w:t>Informe de accesibilidad, seguridad y privacidad técnica.</w:t>
      </w:r>
    </w:p>
    <w:p>
      <w:pPr>
        <w:pStyle w:val="ListBullet"/>
      </w:pPr>
      <w:r>
        <w:rPr>
          <w:rFonts w:ascii="Arial" w:hAnsi="Arial"/>
        </w:rPr>
        <w:t>Formación grabada y sesión de traspaso.</w:t>
      </w:r>
    </w:p>
    <w:p>
      <w:pPr>
        <w:pStyle w:val="ListBullet"/>
      </w:pPr>
      <w:r>
        <w:rPr>
          <w:rFonts w:ascii="Arial" w:hAnsi="Arial"/>
        </w:rPr>
        <w:t>Garantía de corrección y propuesta de soporte.</w:t>
      </w:r>
    </w:p>
    <w:p>
      <w:pPr>
        <w:pStyle w:val="Heading2"/>
      </w:pPr>
      <w:r>
        <w:t>19.1 Propiedad y salida de proveedor</w:t>
      </w:r>
    </w:p>
    <w:p>
      <w:pPr>
        <w:pStyle w:val="ListBullet"/>
      </w:pPr>
      <w:r>
        <w:rPr>
          <w:rFonts w:ascii="Arial" w:hAnsi="Arial"/>
        </w:rPr>
        <w:t>Dominio, cloud, repositorios y cuentas pertenecen al promotor.</w:t>
      </w:r>
    </w:p>
    <w:p>
      <w:pPr>
        <w:pStyle w:val="ListBullet"/>
      </w:pPr>
      <w:r>
        <w:rPr>
          <w:rFonts w:ascii="Arial" w:hAnsi="Arial"/>
        </w:rPr>
        <w:t>Código específico, diseños y base de datos se entregan según contrato.</w:t>
      </w:r>
    </w:p>
    <w:p>
      <w:pPr>
        <w:pStyle w:val="ListBullet"/>
      </w:pPr>
      <w:r>
        <w:rPr>
          <w:rFonts w:ascii="Arial" w:hAnsi="Arial"/>
        </w:rPr>
        <w:t>Componentes open source y licencias inventariados.</w:t>
      </w:r>
    </w:p>
    <w:p>
      <w:pPr>
        <w:pStyle w:val="ListBullet"/>
      </w:pPr>
      <w:r>
        <w:rPr>
          <w:rFonts w:ascii="Arial" w:hAnsi="Arial"/>
        </w:rPr>
        <w:t>Secretos fuera del repositorio.</w:t>
      </w:r>
    </w:p>
    <w:p>
      <w:pPr>
        <w:pStyle w:val="ListBullet"/>
      </w:pPr>
      <w:r>
        <w:rPr>
          <w:rFonts w:ascii="Arial" w:hAnsi="Arial"/>
        </w:rPr>
        <w:t>Despliegue y restauración reproducibles.</w:t>
      </w:r>
    </w:p>
    <w:p>
      <w:pPr>
        <w:pStyle w:val="ListBullet"/>
      </w:pPr>
      <w:r>
        <w:rPr>
          <w:rFonts w:ascii="Arial" w:hAnsi="Arial"/>
        </w:rPr>
        <w:t>Exportación completa de datos/documentos.</w:t>
      </w:r>
    </w:p>
    <w:p>
      <w:pPr>
        <w:pStyle w:val="ListBullet"/>
      </w:pPr>
      <w:r>
        <w:rPr>
          <w:rFonts w:ascii="Arial" w:hAnsi="Arial"/>
        </w:rPr>
        <w:t>Sin dependencias propietarias no declaradas.</w:t>
      </w:r>
    </w:p>
    <w:p>
      <w:pPr>
        <w:pStyle w:val="Heading1"/>
      </w:pPr>
      <w:r>
        <w:t>20. Presupuesto y evaluación de ofertas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44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496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230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Banda orientativa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Low-code asistido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Operación manual, personalización limitada.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8.000–18.000 €</w:t>
            </w:r>
          </w:p>
        </w:tc>
      </w:tr>
      <w:tr>
        <w:trPr>
          <w:cantSplit/>
        </w:trPr>
        <w:tc>
          <w:tcPr>
            <w:tcW w:type="dxa" w:w="244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MVP a medida recomendado</w:t>
            </w:r>
          </w:p>
        </w:tc>
        <w:tc>
          <w:tcPr>
            <w:tcW w:type="dxa" w:w="49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Web, portales, pricing, reserva, pagos y operación.</w:t>
            </w:r>
          </w:p>
        </w:tc>
        <w:tc>
          <w:tcPr>
            <w:tcW w:type="dxa" w:w="230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25.000–50.000 €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Plataforma integrada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APIs, automatización y escala nacional.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70.000–150.000 €+</w:t>
            </w:r>
          </w:p>
        </w:tc>
      </w:tr>
    </w:tbl>
    <w:p>
      <w:pPr>
        <w:spacing w:after="40"/>
      </w:pPr>
    </w:p>
    <w:p>
      <w:r>
        <w:rPr>
          <w:rFonts w:ascii="Arial" w:hAnsi="Arial"/>
        </w:rPr>
        <w:t>Las bandas son orientativas y deben contrastarse con alcance, equipo, propiedad, soporte y coste recurrente. La oferta debe separar discovery, UX/UI, desarrollo, integraciones, QA, DevOps, licencias y mantenimiento.</w:t>
      </w:r>
    </w:p>
    <w:p>
      <w:pPr>
        <w:pStyle w:val="Heading2"/>
      </w:pPr>
      <w:r>
        <w:t>20.1 Preguntas obligatorias al proveedor</w:t>
      </w:r>
    </w:p>
    <w:p>
      <w:pPr>
        <w:pStyle w:val="ListNumber"/>
      </w:pPr>
      <w:r>
        <w:rPr>
          <w:rFonts w:ascii="Arial" w:hAnsi="Arial"/>
        </w:rPr>
        <w:t>¿Qué entrega exactamente en cuatro semanas?</w:t>
      </w:r>
    </w:p>
    <w:p>
      <w:pPr>
        <w:pStyle w:val="ListNumber"/>
      </w:pPr>
      <w:r>
        <w:rPr>
          <w:rFonts w:ascii="Arial" w:hAnsi="Arial"/>
        </w:rPr>
        <w:t>¿Qué arquitectura propone y por qué?</w:t>
      </w:r>
    </w:p>
    <w:p>
      <w:pPr>
        <w:pStyle w:val="ListNumber"/>
      </w:pPr>
      <w:r>
        <w:rPr>
          <w:rFonts w:ascii="Arial" w:hAnsi="Arial"/>
        </w:rPr>
        <w:t>¿Cómo garantiza cálculos y transiciones auditables?</w:t>
      </w:r>
    </w:p>
    <w:p>
      <w:pPr>
        <w:pStyle w:val="ListNumber"/>
      </w:pPr>
      <w:r>
        <w:rPr>
          <w:rFonts w:ascii="Arial" w:hAnsi="Arial"/>
        </w:rPr>
        <w:t>¿Cómo evita dobles reservas y webhooks duplicados?</w:t>
      </w:r>
    </w:p>
    <w:p>
      <w:pPr>
        <w:pStyle w:val="ListNumber"/>
      </w:pPr>
      <w:r>
        <w:rPr>
          <w:rFonts w:ascii="Arial" w:hAnsi="Arial"/>
        </w:rPr>
        <w:t>¿Cómo añadirá nuevas fuentes autorizadas?</w:t>
      </w:r>
    </w:p>
    <w:p>
      <w:pPr>
        <w:pStyle w:val="ListNumber"/>
      </w:pPr>
      <w:r>
        <w:rPr>
          <w:rFonts w:ascii="Arial" w:hAnsi="Arial"/>
        </w:rPr>
        <w:t>¿Cómo versiona contratos y evidencias?</w:t>
      </w:r>
    </w:p>
    <w:p>
      <w:pPr>
        <w:pStyle w:val="ListNumber"/>
      </w:pPr>
      <w:r>
        <w:rPr>
          <w:rFonts w:ascii="Arial" w:hAnsi="Arial"/>
        </w:rPr>
        <w:t>¿Qué experiencia tiene en pagos, marketplace y automoción?</w:t>
      </w:r>
    </w:p>
    <w:p>
      <w:pPr>
        <w:pStyle w:val="ListNumber"/>
      </w:pPr>
      <w:r>
        <w:rPr>
          <w:rFonts w:ascii="Arial" w:hAnsi="Arial"/>
        </w:rPr>
        <w:t>¿Qué equipo y dedicación real asignará?</w:t>
      </w:r>
    </w:p>
    <w:p>
      <w:pPr>
        <w:pStyle w:val="ListNumber"/>
      </w:pPr>
      <w:r>
        <w:rPr>
          <w:rFonts w:ascii="Arial" w:hAnsi="Arial"/>
        </w:rPr>
        <w:t>¿Cómo prueba seguridad, accesibilidad y recuperación?</w:t>
      </w:r>
    </w:p>
    <w:p>
      <w:pPr>
        <w:pStyle w:val="ListNumber"/>
      </w:pPr>
      <w:r>
        <w:rPr>
          <w:rFonts w:ascii="Arial" w:hAnsi="Arial"/>
        </w:rPr>
        <w:t>¿Qué costes mensuales y licencias prevé?</w:t>
      </w:r>
    </w:p>
    <w:p>
      <w:pPr>
        <w:pStyle w:val="ListNumber"/>
      </w:pPr>
      <w:r>
        <w:rPr>
          <w:rFonts w:ascii="Arial" w:hAnsi="Arial"/>
        </w:rPr>
        <w:t>¿Qué SLA ofrece tras lanzamiento?</w:t>
      </w:r>
    </w:p>
    <w:p>
      <w:pPr>
        <w:pStyle w:val="ListNumber"/>
      </w:pPr>
      <w:r>
        <w:rPr>
          <w:rFonts w:ascii="Arial" w:hAnsi="Arial"/>
        </w:rPr>
        <w:t>¿Cómo entrega código, cuentas y documentación?</w:t>
      </w:r>
    </w:p>
    <w:p>
      <w:pPr>
        <w:pStyle w:val="Heading1"/>
      </w:pPr>
      <w:r>
        <w:t>21. Riesgos y mitigaciones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2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29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5903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Mitigación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Sin derechos de catálogo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Catálogo propio/representativo y acuerdo antes de integrar.</w:t>
            </w:r>
          </w:p>
        </w:tc>
      </w:tr>
      <w:tr>
        <w:trPr>
          <w:cantSplit/>
        </w:trPr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Precio mal calculado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Motor versionado, provisiones y doble aprobación.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Financiación rechazada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Preaprobación antes de pujar.</w:t>
            </w:r>
          </w:p>
        </w:tc>
      </w:tr>
      <w:tr>
        <w:trPr>
          <w:cantSplit/>
        </w:trPr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Daños superiores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Tolerancias, provisión, checklist y autorización.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Retraso de transporte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Medio/alto</w:t>
            </w:r>
          </w:p>
        </w:tc>
        <w:tc>
          <w:tcPr>
            <w:tcW w:type="dxa" w:w="59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Rangos, tracking, SLA y contingencia.</w:t>
            </w:r>
          </w:p>
        </w:tc>
      </w:tr>
      <w:tr>
        <w:trPr>
          <w:cantSplit/>
        </w:trPr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Calidad desigual de partner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Homologación, formación, evidencias y scorecard.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Confusión sobre vendedor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Contratos, facturas, UI y señalética inequívocos.</w:t>
            </w:r>
          </w:p>
        </w:tc>
      </w:tr>
      <w:tr>
        <w:trPr>
          <w:cantSplit/>
        </w:trPr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Fraude/identidad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KYC proporcional, MFA interno y revisión manual.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Fuga de datos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Minimización, acceso, cifrado, logs e incidentes.</w:t>
            </w:r>
          </w:p>
        </w:tc>
      </w:tr>
      <w:tr>
        <w:trPr>
          <w:cantSplit/>
        </w:trPr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Scope creep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Backlog congelado y control de cambios.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Dependencia proveedor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Medio/alto</w:t>
            </w:r>
          </w:p>
        </w:tc>
        <w:tc>
          <w:tcPr>
            <w:tcW w:type="dxa" w:w="59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Cuentas propias, código, IaC y exportación.</w:t>
            </w:r>
          </w:p>
        </w:tc>
      </w:tr>
      <w:tr>
        <w:trPr>
          <w:cantSplit/>
        </w:trPr>
        <w:tc>
          <w:tcPr>
            <w:tcW w:type="dxa" w:w="252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Objetivo comercial no validado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Alto</w:t>
            </w:r>
          </w:p>
        </w:tc>
        <w:tc>
          <w:tcPr>
            <w:tcW w:type="dxa" w:w="5903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Piloto, métricas y gasto escalonado.</w:t>
            </w:r>
          </w:p>
        </w:tc>
      </w:tr>
    </w:tbl>
    <w:p>
      <w:pPr>
        <w:spacing w:after="40"/>
      </w:pPr>
    </w:p>
    <w:p>
      <w:pPr>
        <w:pStyle w:val="Heading1"/>
      </w:pPr>
      <w:r>
        <w:t>22. Roadmap de escalado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16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46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Capacidades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MVP · 0–3 meses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Validar demanda y operación.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Búsqueda asistida, reservas, backoffice y partners piloto.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Fase 2 · 3–6 meses</w:t>
            </w:r>
          </w:p>
        </w:tc>
        <w:tc>
          <w:tcPr>
            <w:tcW w:type="dxa" w:w="31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Reducir coste operativo.</w:t>
            </w:r>
          </w:p>
        </w:tc>
        <w:tc>
          <w:tcPr>
            <w:tcW w:type="dxa" w:w="44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Feeds autorizados, financiación, logística y garantía integradas.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Fase 3 · 6–12 meses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Red nacional B2B2C.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Multiempresa, comisiones, territorios, SLA y PideTuCoche Pro.</w:t>
            </w:r>
          </w:p>
        </w:tc>
      </w:tr>
      <w:tr>
        <w:trPr>
          <w:cantSplit/>
        </w:trPr>
        <w:tc>
          <w:tcPr>
            <w:tcW w:type="dxa" w:w="208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Fase 4 · 12+ meses</w:t>
            </w:r>
          </w:p>
        </w:tc>
        <w:tc>
          <w:tcPr>
            <w:tcW w:type="dxa" w:w="316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Central de aprovisionamiento.</w:t>
            </w:r>
          </w:p>
        </w:tc>
        <w:tc>
          <w:tcPr>
            <w:tcW w:type="dxa" w:w="44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Múltiples fuentes, scoring, pricing avanzado y financiación de stock.</w:t>
            </w:r>
          </w:p>
        </w:tc>
      </w:tr>
    </w:tbl>
    <w:p>
      <w:pPr>
        <w:spacing w:after="40"/>
      </w:pPr>
    </w:p>
    <w:p>
      <w:pPr>
        <w:pStyle w:val="Heading2"/>
      </w:pPr>
      <w:r>
        <w:t>22.1 Criterios para escalar provincia</w:t>
      </w:r>
    </w:p>
    <w:p>
      <w:pPr>
        <w:pStyle w:val="ListBullet"/>
      </w:pPr>
      <w:r>
        <w:rPr>
          <w:rFonts w:ascii="Arial" w:hAnsi="Arial"/>
        </w:rPr>
        <w:t>Demanda mínima o pipeline suficiente.</w:t>
      </w:r>
    </w:p>
    <w:p>
      <w:pPr>
        <w:pStyle w:val="ListBullet"/>
      </w:pPr>
      <w:r>
        <w:rPr>
          <w:rFonts w:ascii="Arial" w:hAnsi="Arial"/>
        </w:rPr>
        <w:t>Partner homologado y operación simulada aprobada.</w:t>
      </w:r>
    </w:p>
    <w:p>
      <w:pPr>
        <w:pStyle w:val="ListBullet"/>
      </w:pPr>
      <w:r>
        <w:rPr>
          <w:rFonts w:ascii="Arial" w:hAnsi="Arial"/>
        </w:rPr>
        <w:t>Transportista y coste conocidos.</w:t>
      </w:r>
    </w:p>
    <w:p>
      <w:pPr>
        <w:pStyle w:val="ListBullet"/>
      </w:pPr>
      <w:r>
        <w:rPr>
          <w:rFonts w:ascii="Arial" w:hAnsi="Arial"/>
        </w:rPr>
        <w:t>SLA y cobertura de garantía disponibles.</w:t>
      </w:r>
    </w:p>
    <w:p>
      <w:pPr>
        <w:pStyle w:val="ListBullet"/>
      </w:pPr>
      <w:r>
        <w:rPr>
          <w:rFonts w:ascii="Arial" w:hAnsi="Arial"/>
        </w:rPr>
        <w:t>Economía unitaria positiva después de CAC.</w:t>
      </w:r>
    </w:p>
    <w:p>
      <w:pPr>
        <w:pStyle w:val="ListBullet"/>
      </w:pPr>
      <w:r>
        <w:rPr>
          <w:rFonts w:ascii="Arial" w:hAnsi="Arial"/>
        </w:rPr>
        <w:t>Capacidad de soporte y caja.</w:t>
      </w:r>
    </w:p>
    <w:p>
      <w:pPr>
        <w:pStyle w:val="ListBullet"/>
      </w:pPr>
      <w:r>
        <w:rPr>
          <w:rFonts w:ascii="Arial" w:hAnsi="Arial"/>
        </w:rPr>
        <w:t>Calidad de primeras entregas dentro de umbral.</w:t>
      </w:r>
    </w:p>
    <w:p>
      <w:pPr>
        <w:pStyle w:val="Heading1"/>
      </w:pPr>
      <w:r>
        <w:t>23. Checklist go-live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05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Comprobación</w:t>
            </w:r>
          </w:p>
        </w:tc>
        <w:tc>
          <w:tcPr>
            <w:tcW w:type="dxa" w:w="864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Marca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Logo, favicon, responsive y tokens aprobados.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Legal</w:t>
            </w:r>
          </w:p>
        </w:tc>
        <w:tc>
          <w:tcPr>
            <w:tcW w:type="dxa" w:w="705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Textos, contratos, cookies y privacidad publicados.</w:t>
            </w:r>
          </w:p>
        </w:tc>
        <w:tc>
          <w:tcPr>
            <w:tcW w:type="dxa" w:w="8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Proveedores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Pagos, firma, email, garantía y transporte activos.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Datos</w:t>
            </w:r>
          </w:p>
        </w:tc>
        <w:tc>
          <w:tcPr>
            <w:tcW w:type="dxa" w:w="705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20 oportunidades representativas y derechos documentados.</w:t>
            </w:r>
          </w:p>
        </w:tc>
        <w:tc>
          <w:tcPr>
            <w:tcW w:type="dxa" w:w="8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Operación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Ourense y partner piloto formados.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Producto</w:t>
            </w:r>
          </w:p>
        </w:tc>
        <w:tc>
          <w:tcPr>
            <w:tcW w:type="dxa" w:w="705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UAT Must aprobada.</w:t>
            </w:r>
          </w:p>
        </w:tc>
        <w:tc>
          <w:tcPr>
            <w:tcW w:type="dxa" w:w="8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Seguridad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MFA, secretos, backups, alertas y vulnerabilidades.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Analítica</w:t>
            </w:r>
          </w:p>
        </w:tc>
        <w:tc>
          <w:tcPr>
            <w:tcW w:type="dxa" w:w="705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Eventos y paneles verificados.</w:t>
            </w:r>
          </w:p>
        </w:tc>
        <w:tc>
          <w:tcPr>
            <w:tcW w:type="dxa" w:w="8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Soporte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Canales, horarios, SLA y escalado.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Contingencia</w:t>
            </w:r>
          </w:p>
        </w:tc>
        <w:tc>
          <w:tcPr>
            <w:tcW w:type="dxa" w:w="705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Reembolso, caída de pago, pérdida de unidad y retraso ensayados.</w:t>
            </w:r>
          </w:p>
        </w:tc>
        <w:tc>
          <w:tcPr>
            <w:tcW w:type="dxa" w:w="864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Decisión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Acta go/no-go firmada.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24. Decisiones pendientes antes del día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81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2160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007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296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Sociedad vendedora y datos fiscales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Promotor/asesoría</w:t>
            </w:r>
          </w:p>
        </w:tc>
        <w:tc>
          <w:tcPr>
            <w:tcW w:type="dxa" w:w="10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1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381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Registro/disponibilidad definitiva de marca</w:t>
            </w:r>
          </w:p>
        </w:tc>
        <w:tc>
          <w:tcPr>
            <w:tcW w:type="dxa" w:w="21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Promotor</w:t>
            </w:r>
          </w:p>
        </w:tc>
        <w:tc>
          <w:tcPr>
            <w:tcW w:type="dxa" w:w="1007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1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Contrato de reserva y encargo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Asesoría</w:t>
            </w:r>
          </w:p>
        </w:tc>
        <w:tc>
          <w:tcPr>
            <w:tcW w:type="dxa" w:w="10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2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381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Derechos de datos de fuentes</w:t>
            </w:r>
          </w:p>
        </w:tc>
        <w:tc>
          <w:tcPr>
            <w:tcW w:type="dxa" w:w="21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Promotor/fuente</w:t>
            </w:r>
          </w:p>
        </w:tc>
        <w:tc>
          <w:tcPr>
            <w:tcW w:type="dxa" w:w="1007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2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Importe y tratamiento de reserva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Promotor/asesoría</w:t>
            </w:r>
          </w:p>
        </w:tc>
        <w:tc>
          <w:tcPr>
            <w:tcW w:type="dxa" w:w="10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2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381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Pasarela y firma</w:t>
            </w:r>
          </w:p>
        </w:tc>
        <w:tc>
          <w:tcPr>
            <w:tcW w:type="dxa" w:w="21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Promotor/desarrollo</w:t>
            </w:r>
          </w:p>
        </w:tc>
        <w:tc>
          <w:tcPr>
            <w:tcW w:type="dxa" w:w="1007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2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Margen mínimo y umbrales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Dirección/finanzas</w:t>
            </w:r>
          </w:p>
        </w:tc>
        <w:tc>
          <w:tcPr>
            <w:tcW w:type="dxa" w:w="10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3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381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Partner piloto y tarifas</w:t>
            </w:r>
          </w:p>
        </w:tc>
        <w:tc>
          <w:tcPr>
            <w:tcW w:type="dxa" w:w="21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Operaciones</w:t>
            </w:r>
          </w:p>
        </w:tc>
        <w:tc>
          <w:tcPr>
            <w:tcW w:type="dxa" w:w="1007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3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Garantía y financiación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Dirección/asesoría</w:t>
            </w:r>
          </w:p>
        </w:tc>
        <w:tc>
          <w:tcPr>
            <w:tcW w:type="dxa" w:w="10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3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381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Canales de lanzamiento</w:t>
            </w:r>
          </w:p>
        </w:tc>
        <w:tc>
          <w:tcPr>
            <w:tcW w:type="dxa" w:w="2160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Marketing</w:t>
            </w:r>
          </w:p>
        </w:tc>
        <w:tc>
          <w:tcPr>
            <w:tcW w:type="dxa" w:w="1007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Día 3</w:t>
            </w:r>
          </w:p>
        </w:tc>
        <w:tc>
          <w:tcPr>
            <w:tcW w:type="dxa" w:w="1296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5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1"/>
      </w:pPr>
      <w:r>
        <w:t>25. Anexo — referencia visual de marca</w:t>
      </w:r>
    </w:p>
    <w:p>
      <w:r>
        <w:rPr>
          <w:rFonts w:ascii="Arial" w:hAnsi="Arial"/>
        </w:rPr>
        <w:t>La imagen siguiente fija la dirección creativa Naranja Performance. Es una referencia conceptual: la agencia debe reconstruir el logotipo en vector y el equipo digital debe implementar texto y componentes reales.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3708"/>
            <wp:docPr id="1" name="Picture 1" descr="Referencia visual PideTuCoche.eu Naranja Performance con logo, paleta y aplicaciones web y móv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eaf862c4-f54b-473e-bfc3-625fec98be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0B132B"/>
          <w:sz w:val="18"/>
        </w:rPr>
        <w:t>Paleta: #0B132B · #FF5A1F · #F8F7F3 · #20242A · #C7CED6</w:t>
      </w:r>
    </w:p>
    <w:p>
      <w:pPr>
        <w:pStyle w:val="Heading1"/>
      </w:pPr>
      <w:r>
        <w:t>26. Solicitud final a la desarrolladora</w:t>
      </w:r>
    </w:p>
    <w:p>
      <w:pPr>
        <w:spacing w:before="100" w:after="140" w:line="276" w:lineRule="auto"/>
        <w:ind w:left="202" w:right="202"/>
        <w:shd w:fill="FFF1EB"/>
        <w:pBdr>
          <w:left w:val="single" w:sz="18" w:space="6" w:color="FF5A1F"/>
        </w:pBdr>
      </w:pPr>
      <w:r>
        <w:rPr>
          <w:rFonts w:ascii="Arial" w:hAnsi="Arial"/>
          <w:b/>
          <w:color w:val="FF5A1F"/>
          <w:sz w:val="18"/>
        </w:rPr>
        <w:t xml:space="preserve">PROPUESTA REQUERIDA </w:t>
      </w:r>
      <w:r>
        <w:rPr>
          <w:rFonts w:ascii="Arial" w:hAnsi="Arial"/>
          <w:color w:val="0B132B"/>
          <w:sz w:val="18"/>
        </w:rPr>
        <w:t>Presentar alcance cerrado del MVP, cronograma, equipo nominal, arquitectura, supuestos, exclusiones, coste inicial, costes recurrentes, riesgos, propiedad, soporte y plan de salida. Cada desviación respecto de este pliego deberá aparecer en una tabla de cumplimiento.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528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Requisito de oferta</w:t>
            </w:r>
          </w:p>
        </w:tc>
        <w:tc>
          <w:tcPr>
            <w:tcW w:type="dxa" w:w="6192"/>
            <w:shd w:fill="0B132B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Respuesta del proveedor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Alcance Must incluido</w:t>
            </w:r>
          </w:p>
        </w:tc>
        <w:tc>
          <w:tcPr>
            <w:tcW w:type="dxa" w:w="61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[Completar]</w:t>
            </w:r>
          </w:p>
        </w:tc>
      </w:tr>
      <w:tr>
        <w:trPr>
          <w:cantSplit/>
        </w:trPr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Exclusiones</w:t>
            </w:r>
          </w:p>
        </w:tc>
        <w:tc>
          <w:tcPr>
            <w:tcW w:type="dxa" w:w="61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[Completar]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Equipo y dedicación</w:t>
            </w:r>
          </w:p>
        </w:tc>
        <w:tc>
          <w:tcPr>
            <w:tcW w:type="dxa" w:w="61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[Completar]</w:t>
            </w:r>
          </w:p>
        </w:tc>
      </w:tr>
      <w:tr>
        <w:trPr>
          <w:cantSplit/>
        </w:trPr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Calendario e hitos</w:t>
            </w:r>
          </w:p>
        </w:tc>
        <w:tc>
          <w:tcPr>
            <w:tcW w:type="dxa" w:w="61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[Completar]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Precio y forma de pago</w:t>
            </w:r>
          </w:p>
        </w:tc>
        <w:tc>
          <w:tcPr>
            <w:tcW w:type="dxa" w:w="61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[Completar]</w:t>
            </w:r>
          </w:p>
        </w:tc>
      </w:tr>
      <w:tr>
        <w:trPr>
          <w:cantSplit/>
        </w:trPr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Licencias mensuales</w:t>
            </w:r>
          </w:p>
        </w:tc>
        <w:tc>
          <w:tcPr>
            <w:tcW w:type="dxa" w:w="61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[Completar]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Garantía y soporte</w:t>
            </w:r>
          </w:p>
        </w:tc>
        <w:tc>
          <w:tcPr>
            <w:tcW w:type="dxa" w:w="61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[Completar]</w:t>
            </w:r>
          </w:p>
        </w:tc>
      </w:tr>
      <w:tr>
        <w:trPr>
          <w:cantSplit/>
        </w:trPr>
        <w:tc>
          <w:tcPr>
            <w:tcW w:type="dxa" w:w="3528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Propiedad y entrega</w:t>
            </w:r>
          </w:p>
        </w:tc>
        <w:tc>
          <w:tcPr>
            <w:tcW w:type="dxa" w:w="6192"/>
            <w:shd w:fill="F6F7F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[Completar]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Riesgos/alternativas</w:t>
            </w:r>
          </w:p>
        </w:tc>
        <w:tc>
          <w:tcPr>
            <w:tcW w:type="dxa" w:w="61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20242A"/>
                <w:sz w:val="16"/>
              </w:rPr>
              <w:t>[Completar]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7386"/>
        <w:sz w:val="15"/>
      </w:rPr>
      <w:t xml:space="preserve">PideTuCoche.eu · Documento de trabajo · 26/08/2026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B132B"/>
        <w:sz w:val="16"/>
      </w:rPr>
      <w:t>PideTuCoche.eu  |  Pliego de implantación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B13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FF5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B13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46" w:hanging="230"/>
      <w:contextualSpacing/>
    </w:pPr>
    <w:rPr>
      <w:rFonts w:ascii="Arial" w:hAnsi="Arial"/>
      <w:color w:val="20242A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46" w:hanging="230"/>
      <w:contextualSpacing/>
    </w:pPr>
    <w:rPr>
      <w:rFonts w:ascii="Arial" w:hAnsi="Arial"/>
      <w:color w:val="20242A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30" w:right="230"/>
    </w:pPr>
    <w:rPr>
      <w:rFonts w:ascii="Arial" w:hAnsi="Arial"/>
      <w:b/>
      <w:color w:val="0B132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PideTuCoche.eu — Pliego de implantación de plataforma B2C bajo pedido</dc:title>
  <dc:subject>Especificación funcional, técnica y operativa del MVP en España</dc:subject>
  <dc:creator>PideTuCoche.eu</dc:creator>
  <cp:keywords>PideTuCoche, automoción, B2C, vehículos bajo pedido, Ourense, MVP</cp:keywords>
  <dc:description>Versión 2.0 alineada con identidad Naranja Performance.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