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AIMARKTECH</w:t>
      </w:r>
    </w:p>
    <w:p>
      <w:pPr>
        <w:jc w:val="center"/>
      </w:pPr>
      <w:r>
        <w:rPr>
          <w:i/>
          <w:color w:val="555555"/>
          <w:sz w:val="22"/>
        </w:rPr>
        <w:t>Marketing · Tecnología · Presencia Digital</w:t>
      </w:r>
    </w:p>
    <w:p/>
    <w:p/>
    <w:tbl>
      <w:tblPr>
        <w:tblW w:type="auto" w:w="0"/>
        <w:tblLook w:firstColumn="1" w:firstRow="1" w:lastColumn="0" w:lastRow="0" w:noHBand="0" w:noVBand="1" w:val="04A0"/>
      </w:tblPr>
      <w:tblGrid>
        <w:gridCol w:w="9632"/>
      </w:tblGrid>
      <w:tr>
        <w:tc>
          <w:tcPr>
            <w:tcW w:type="dxa" w:w="9632"/>
            <w:shd w:val="clear" w:color="auto" w:fill="1A1A1A"/>
          </w:tcPr>
          <w:p>
            <w:pPr>
              <w:spacing w:before="280" w:after="120"/>
              <w:jc w:val="center"/>
            </w:pPr>
            <w:r>
              <w:rPr>
                <w:b/>
                <w:color w:val="FFFFFF"/>
                <w:sz w:val="40"/>
              </w:rPr>
              <w:t>PROPUESTA DE PRESENCIA DIGITAL</w:t>
            </w:r>
          </w:p>
          <w:p>
            <w:pPr>
              <w:spacing w:after="280"/>
              <w:jc w:val="center"/>
            </w:pPr>
            <w:r>
              <w:rPr>
                <w:b/>
                <w:color w:val="F5C400"/>
                <w:sz w:val="26"/>
              </w:rPr>
              <w:t>Sitio web + Google + Reseñas</w:t>
            </w:r>
          </w:p>
        </w:tc>
      </w:tr>
    </w:tbl>
    <w:p/>
    <w:p>
      <w:pPr>
        <w:jc w:val="center"/>
      </w:pPr>
      <w:r>
        <w:rPr>
          <w:color w:val="555555"/>
          <w:sz w:val="22"/>
        </w:rPr>
        <w:t>Preparada para:</w:t>
      </w:r>
    </w:p>
    <w:p>
      <w:pPr>
        <w:jc w:val="center"/>
      </w:pPr>
      <w:r>
        <w:rPr>
          <w:b/>
          <w:color w:val="1A1A1A"/>
          <w:sz w:val="32"/>
        </w:rPr>
        <w:t>LOPEZ SEALCOATING LLC</w:t>
      </w:r>
    </w:p>
    <w:p>
      <w:pPr>
        <w:jc w:val="center"/>
      </w:pPr>
      <w:r>
        <w:rPr>
          <w:color w:val="555555"/>
          <w:sz w:val="22"/>
        </w:rPr>
        <w:t>Atención: Demetrio López  ·  Chicagoland, Illinois (EE. UU.)</w:t>
      </w:r>
    </w:p>
    <w:p/>
    <w:p/>
    <w:tbl>
      <w:tblPr>
        <w:tblW w:type="auto" w:w="0"/>
        <w:jc w:val="center"/>
        <w:tblLook w:firstColumn="1" w:firstRow="1" w:lastColumn="0" w:lastRow="0" w:noHBand="0" w:noVBand="1" w:val="04A0"/>
      </w:tblPr>
      <w:tblGrid>
        <w:gridCol w:w="4816"/>
        <w:gridCol w:w="4816"/>
      </w:tblGrid>
      <w:tr>
        <w:tc>
          <w:tcPr>
            <w:tcW w:type="dxa" w:w="4816"/>
            <w:shd w:val="clear" w:color="auto" w:fill="EDEDED"/>
          </w:tcPr>
          <w:p>
            <w:r/>
            <w:r>
              <w:rPr>
                <w:rFonts w:ascii="Calibri" w:hAnsi="Calibri"/>
                <w:b/>
                <w:color w:val="1A1A1A"/>
                <w:sz w:val="21"/>
              </w:rPr>
              <w:t>Elaborada por</w:t>
            </w:r>
          </w:p>
        </w:tc>
        <w:tc>
          <w:tcPr>
            <w:tcW w:type="dxa" w:w="4816"/>
          </w:tcPr>
          <w:p>
            <w:r/>
            <w:r>
              <w:rPr>
                <w:rFonts w:ascii="Calibri" w:hAnsi="Calibri"/>
                <w:b w:val="0"/>
                <w:color w:val="1A1A1A"/>
                <w:sz w:val="21"/>
              </w:rPr>
              <w:t>Aimarktech</w:t>
            </w:r>
          </w:p>
        </w:tc>
      </w:tr>
      <w:tr>
        <w:tc>
          <w:tcPr>
            <w:tcW w:type="dxa" w:w="4816"/>
            <w:shd w:val="clear" w:color="auto" w:fill="EDEDED"/>
          </w:tcPr>
          <w:p>
            <w:r/>
            <w:r>
              <w:rPr>
                <w:rFonts w:ascii="Calibri" w:hAnsi="Calibri"/>
                <w:b/>
                <w:color w:val="1A1A1A"/>
                <w:sz w:val="21"/>
              </w:rPr>
              <w:t>Fecha</w:t>
            </w:r>
          </w:p>
        </w:tc>
        <w:tc>
          <w:tcPr>
            <w:tcW w:type="dxa" w:w="4816"/>
          </w:tcPr>
          <w:p>
            <w:r/>
            <w:r>
              <w:rPr>
                <w:rFonts w:ascii="Calibri" w:hAnsi="Calibri"/>
                <w:b w:val="0"/>
                <w:color w:val="1A1A1A"/>
                <w:sz w:val="21"/>
              </w:rPr>
              <w:t>Agosto de 2026</w:t>
            </w:r>
          </w:p>
        </w:tc>
      </w:tr>
      <w:tr>
        <w:tc>
          <w:tcPr>
            <w:tcW w:type="dxa" w:w="4816"/>
            <w:shd w:val="clear" w:color="auto" w:fill="EDEDED"/>
          </w:tcPr>
          <w:p>
            <w:r/>
            <w:r>
              <w:rPr>
                <w:rFonts w:ascii="Calibri" w:hAnsi="Calibri"/>
                <w:b/>
                <w:color w:val="1A1A1A"/>
                <w:sz w:val="21"/>
              </w:rPr>
              <w:t>Vigencia de la propuesta</w:t>
            </w:r>
          </w:p>
        </w:tc>
        <w:tc>
          <w:tcPr>
            <w:tcW w:type="dxa" w:w="4816"/>
          </w:tcPr>
          <w:p>
            <w:r/>
            <w:r>
              <w:rPr>
                <w:rFonts w:ascii="Calibri" w:hAnsi="Calibri"/>
                <w:b w:val="0"/>
                <w:color w:val="1A1A1A"/>
                <w:sz w:val="21"/>
              </w:rPr>
              <w:t>30 días naturales</w:t>
            </w:r>
          </w:p>
        </w:tc>
      </w:tr>
    </w:tbl>
    <w:p>
      <w:r>
        <w:br w:type="page"/>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1. Introducción</w:t>
            </w:r>
          </w:p>
        </w:tc>
      </w:tr>
    </w:tbl>
    <w:p/>
    <w:p>
      <w:pPr>
        <w:spacing w:after="80"/>
      </w:pPr>
      <w:r>
        <w:rPr>
          <w:b/>
          <w:i w:val="0"/>
          <w:color w:val="1A1A1A"/>
          <w:sz w:val="22"/>
        </w:rPr>
        <w:t>Estimado Demetrio:</w:t>
      </w:r>
    </w:p>
    <w:p>
      <w:pPr>
        <w:spacing w:after="120"/>
      </w:pPr>
      <w:r>
        <w:rPr>
          <w:b w:val="0"/>
          <w:i w:val="0"/>
          <w:color w:val="1A1A1A"/>
          <w:sz w:val="22"/>
        </w:rPr>
        <w:t>Gracias por el tiempo que nos dedicaste para platicar sobre tu negocio. En esta propuesta resumimos lo que entendimos de Lopez Sealcoating y te presentamos un plan claro, por etapas, para que más personas te encuentren, confíen en ti y te contacten para pedir cotización.</w:t>
      </w:r>
    </w:p>
    <w:p>
      <w:pPr>
        <w:spacing w:after="120"/>
      </w:pPr>
      <w:r>
        <w:rPr>
          <w:b w:val="0"/>
          <w:i w:val="0"/>
          <w:color w:val="1A1A1A"/>
          <w:sz w:val="22"/>
        </w:rPr>
        <w:t>El objetivo no es solamente entregarte “una página web”, sino construir una presencia digital que realmente te genere trabajo, respetando que trabajas por tu cuenta y que prefieres empezar con una inversión razonable. Por eso la propuesta está dividida en fases: puedes avanzar a tu ritmo, viendo resultados en cada paso.</w:t>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2. Diagnóstico: dónde estás hoy</w:t>
            </w:r>
          </w:p>
        </w:tc>
      </w:tr>
    </w:tbl>
    <w:p/>
    <w:p>
      <w:pPr>
        <w:spacing w:after="120"/>
      </w:pPr>
      <w:r>
        <w:rPr>
          <w:b w:val="0"/>
          <w:i w:val="0"/>
          <w:color w:val="1A1A1A"/>
          <w:sz w:val="22"/>
        </w:rPr>
        <w:t>Durante nuestra conversación identificamos algo muy importante. Tú mismo nos comentaste que, cuando buscas un servicio, entras a Google y eliges a la empresa que tiene más estrellas, porque asumes que esa es la que da mejor servicio.</w:t>
      </w:r>
    </w:p>
    <w:p>
      <w:pPr>
        <w:spacing w:before="120" w:after="40"/>
      </w:pPr>
      <w:r>
        <w:rPr>
          <w:b/>
          <w:color w:val="1A1A1A"/>
          <w:sz w:val="24"/>
        </w:rPr>
        <w:t>El punto clave:</w:t>
      </w:r>
    </w:p>
    <w:p>
      <w:pPr>
        <w:spacing w:after="120"/>
      </w:pPr>
      <w:r>
        <w:rPr>
          <w:b/>
          <w:i w:val="0"/>
          <w:color w:val="1A1A1A"/>
          <w:sz w:val="22"/>
        </w:rPr>
        <w:t>Tus clientes hacen exactamente lo mismo… pero hoy Lopez Sealcoating es prácticamente invisible en Google. No cuentas con un Perfil de Empresa en Google (Google Business Profile) ni con reseñas. Es decir, no apareces justo en el lugar donde la gente decide a quién contratar.</w:t>
      </w:r>
    </w:p>
    <w:p>
      <w:pPr>
        <w:spacing w:after="120"/>
      </w:pPr>
      <w:r>
        <w:rPr>
          <w:b w:val="0"/>
          <w:i w:val="0"/>
          <w:color w:val="1A1A1A"/>
          <w:sz w:val="22"/>
        </w:rPr>
        <w:t>Situación actual que detectamos:</w:t>
      </w:r>
    </w:p>
    <w:p>
      <w:pPr>
        <w:pStyle w:val="ListBullet"/>
        <w:spacing w:after="60"/>
      </w:pPr>
      <w:r>
        <w:rPr>
          <w:b/>
          <w:sz w:val="22"/>
        </w:rPr>
        <w:t xml:space="preserve">Cómo llegan hoy: </w:t>
      </w:r>
      <w:r>
        <w:rPr>
          <w:sz w:val="22"/>
        </w:rPr>
        <w:t>Consigues clientes por recomendación y por volanteo casa por casa.</w:t>
      </w:r>
    </w:p>
    <w:p>
      <w:pPr>
        <w:pStyle w:val="ListBullet"/>
        <w:spacing w:after="60"/>
      </w:pPr>
      <w:r>
        <w:rPr>
          <w:b/>
          <w:sz w:val="22"/>
        </w:rPr>
        <w:t xml:space="preserve">Redes: </w:t>
      </w:r>
      <w:r>
        <w:rPr>
          <w:sz w:val="22"/>
        </w:rPr>
        <w:t>Facebook e Instagram (con pocos resultados). Sin Google Business Profile.</w:t>
      </w:r>
    </w:p>
    <w:p>
      <w:pPr>
        <w:pStyle w:val="ListBullet"/>
        <w:spacing w:after="60"/>
      </w:pPr>
      <w:r>
        <w:rPr>
          <w:b/>
          <w:sz w:val="22"/>
        </w:rPr>
        <w:t xml:space="preserve">Reseñas: </w:t>
      </w:r>
      <w:r>
        <w:rPr>
          <w:sz w:val="22"/>
        </w:rPr>
        <w:t>Ninguna reseña pública, y no les pides a tus clientes que te califiquen.</w:t>
      </w:r>
    </w:p>
    <w:p>
      <w:pPr>
        <w:pStyle w:val="ListBullet"/>
        <w:spacing w:after="60"/>
      </w:pPr>
      <w:r>
        <w:rPr>
          <w:b/>
          <w:sz w:val="22"/>
        </w:rPr>
        <w:t xml:space="preserve">Sitio/dominio: </w:t>
      </w:r>
      <w:r>
        <w:rPr>
          <w:sz w:val="22"/>
        </w:rPr>
        <w:t>No tienes dominio propio ni correo profesional (usas Gmail).</w:t>
      </w:r>
    </w:p>
    <w:p>
      <w:pPr>
        <w:pStyle w:val="ListBullet"/>
        <w:spacing w:after="60"/>
      </w:pPr>
      <w:r>
        <w:rPr>
          <w:b/>
          <w:sz w:val="22"/>
        </w:rPr>
        <w:t xml:space="preserve">Logo: </w:t>
      </w:r>
      <w:r>
        <w:rPr>
          <w:sz w:val="22"/>
        </w:rPr>
        <w:t>Logo tipo mascota tomado de internet y modificado (conviene rehacerlo original).</w:t>
      </w:r>
    </w:p>
    <w:p>
      <w:pPr>
        <w:pStyle w:val="ListBullet"/>
        <w:spacing w:after="60"/>
      </w:pPr>
      <w:r>
        <w:rPr>
          <w:b/>
          <w:sz w:val="22"/>
        </w:rPr>
        <w:t xml:space="preserve">Mercado: </w:t>
      </w:r>
      <w:r>
        <w:rPr>
          <w:sz w:val="22"/>
        </w:rPr>
        <w:t>Público bilingüe (inglés y español) residencial y comercial, en Chicagoland (radio 30–40 millas).</w:t>
      </w:r>
    </w:p>
    <w:p>
      <w:pPr>
        <w:spacing w:after="120"/>
      </w:pPr>
      <w:r>
        <w:rPr>
          <w:b w:val="0"/>
          <w:i/>
          <w:color w:val="1A1A1A"/>
          <w:sz w:val="22"/>
        </w:rPr>
        <w:t>En pocas palabras: tienes un buen servicio y clientes satisfechos, pero tu negocio no se ve donde más importa. Esa es justamente la mayor oportunidad.</w:t>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3. Lo que buscamos lograr</w:t>
            </w:r>
          </w:p>
        </w:tc>
      </w:tr>
    </w:tbl>
    <w:p/>
    <w:p>
      <w:pPr>
        <w:pStyle w:val="ListBullet"/>
        <w:spacing w:after="60"/>
      </w:pPr>
      <w:r>
        <w:rPr>
          <w:sz w:val="22"/>
        </w:rPr>
        <w:t>Que te encuentren en Google cuando alguien busque “sealcoating” en tu zona.</w:t>
      </w:r>
    </w:p>
    <w:p>
      <w:pPr>
        <w:pStyle w:val="ListBullet"/>
        <w:spacing w:after="60"/>
      </w:pPr>
      <w:r>
        <w:rPr>
          <w:sz w:val="22"/>
        </w:rPr>
        <w:t>Generar reseñas reales que te den credibilidad y estrellas.</w:t>
      </w:r>
    </w:p>
    <w:p>
      <w:pPr>
        <w:pStyle w:val="ListBullet"/>
        <w:spacing w:after="60"/>
      </w:pPr>
      <w:r>
        <w:rPr>
          <w:sz w:val="22"/>
        </w:rPr>
        <w:t>Convertir esas visitas en llamadas y solicitudes de cotización.</w:t>
      </w:r>
    </w:p>
    <w:p>
      <w:pPr>
        <w:pStyle w:val="ListBullet"/>
        <w:spacing w:after="60"/>
      </w:pPr>
      <w:r>
        <w:rPr>
          <w:sz w:val="22"/>
        </w:rPr>
        <w:t>Dar imagen profesional y bilingüe (inglés/español), residencial y comercial.</w:t>
      </w:r>
    </w:p>
    <w:p>
      <w:pPr>
        <w:pStyle w:val="ListBullet"/>
        <w:spacing w:after="60"/>
      </w:pPr>
      <w:r>
        <w:rPr>
          <w:sz w:val="22"/>
        </w:rPr>
        <w:t>Abrir la puerta a clientes comerciales con tu servicio de pintura de líneas y cajones de estacionamiento.</w:t>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4. Solución propuesta (por fases)</w:t>
            </w:r>
          </w:p>
        </w:tc>
      </w:tr>
    </w:tbl>
    <w:p/>
    <w:p>
      <w:pPr>
        <w:spacing w:after="120"/>
      </w:pPr>
      <w:r>
        <w:rPr>
          <w:b w:val="0"/>
          <w:i/>
          <w:color w:val="1A1A1A"/>
          <w:sz w:val="22"/>
        </w:rPr>
        <w:t>Ordenamos el trabajo de lo que más impacto genera al menor costo, hacia lo opcional de crecimiento. Puedes contratar fase por fase.</w:t>
      </w:r>
    </w:p>
    <w:p>
      <w:pPr>
        <w:spacing w:before="120" w:after="40"/>
      </w:pPr>
      <w:r>
        <w:rPr>
          <w:b/>
          <w:color w:val="1A1A1A"/>
          <w:sz w:val="24"/>
        </w:rPr>
        <w:t>FASE 0 — Cimientos (lo más importante y económico)</w:t>
      </w:r>
    </w:p>
    <w:p>
      <w:pPr>
        <w:pStyle w:val="ListBullet"/>
        <w:spacing w:after="60"/>
      </w:pPr>
      <w:r>
        <w:rPr>
          <w:sz w:val="22"/>
        </w:rPr>
        <w:t>Logo profesional ORIGINAL, inspirado en el que ya tienes (mascota + casa de fondo, negro asfalto y amarillo señalización), pero rediseñado desde cero para que sea 100% tuyo y sin riesgos.</w:t>
      </w:r>
    </w:p>
    <w:p>
      <w:pPr>
        <w:pStyle w:val="ListBullet"/>
        <w:spacing w:after="60"/>
      </w:pPr>
      <w:r>
        <w:rPr>
          <w:sz w:val="22"/>
        </w:rPr>
        <w:t>Registro de dominio propio (ejemplo: lopezsealcoating.com).</w:t>
      </w:r>
    </w:p>
    <w:p>
      <w:pPr>
        <w:pStyle w:val="ListBullet"/>
        <w:spacing w:after="60"/>
      </w:pPr>
      <w:r>
        <w:rPr>
          <w:sz w:val="22"/>
        </w:rPr>
        <w:t>Correo profesional (ejemplo: info@lopezsealcoating.com) en lugar del Gmail.</w:t>
      </w:r>
    </w:p>
    <w:p>
      <w:pPr>
        <w:pStyle w:val="ListBullet"/>
        <w:spacing w:after="60"/>
      </w:pPr>
      <w:r>
        <w:rPr>
          <w:sz w:val="22"/>
        </w:rPr>
        <w:t>Creación y optimización de tu Perfil de Empresa en Google (Google Business Profile): zona de servicio, servicios, fotos, horario de temporada y botón de llamada.</w:t>
      </w:r>
    </w:p>
    <w:p>
      <w:pPr>
        <w:pStyle w:val="ListBullet"/>
        <w:spacing w:after="60"/>
      </w:pPr>
      <w:r>
        <w:rPr>
          <w:sz w:val="22"/>
        </w:rPr>
        <w:t>Sistema simple para pedir reseñas: enlace directo + tarjeta/QR + guion para que tus clientes te califiquen fácil.</w:t>
      </w:r>
    </w:p>
    <w:p>
      <w:pPr>
        <w:spacing w:after="120"/>
      </w:pPr>
      <w:r>
        <w:rPr>
          <w:b/>
          <w:i/>
          <w:color w:val="1A1A1A"/>
          <w:sz w:val="22"/>
        </w:rPr>
        <w:t>Resultado: empiezas a aparecer en Google Maps y a acumular estrellas. Esto solo ya cambia el juego.</w:t>
      </w:r>
    </w:p>
    <w:p>
      <w:pPr>
        <w:spacing w:before="120" w:after="40"/>
      </w:pPr>
      <w:r>
        <w:rPr>
          <w:b/>
          <w:color w:val="1A1A1A"/>
          <w:sz w:val="24"/>
        </w:rPr>
        <w:t>FASE 1 — Sitio web de conversión (bilingüe)</w:t>
      </w:r>
    </w:p>
    <w:p>
      <w:pPr>
        <w:pStyle w:val="ListBullet"/>
        <w:spacing w:after="60"/>
      </w:pPr>
      <w:r>
        <w:rPr>
          <w:sz w:val="22"/>
        </w:rPr>
        <w:t>Sitio web profesional en inglés y español (una sola página bien estructurada, rápida y para celular).</w:t>
      </w:r>
    </w:p>
    <w:p>
      <w:pPr>
        <w:pStyle w:val="ListBullet"/>
        <w:spacing w:after="60"/>
      </w:pPr>
      <w:r>
        <w:rPr>
          <w:sz w:val="22"/>
        </w:rPr>
        <w:t>Botón para llamar con un toque desde el teléfono y botón de WhatsApp.</w:t>
      </w:r>
    </w:p>
    <w:p>
      <w:pPr>
        <w:pStyle w:val="ListBullet"/>
        <w:spacing w:after="60"/>
      </w:pPr>
      <w:r>
        <w:rPr>
          <w:sz w:val="22"/>
        </w:rPr>
        <w:t>Formulario para solicitar cotización gratis (“Free Estimate”).</w:t>
      </w:r>
    </w:p>
    <w:p>
      <w:pPr>
        <w:pStyle w:val="ListBullet"/>
        <w:spacing w:after="60"/>
      </w:pPr>
      <w:r>
        <w:rPr>
          <w:sz w:val="22"/>
        </w:rPr>
        <w:t>Galería con tus fotos y videos reales de trabajos terminados.</w:t>
      </w:r>
    </w:p>
    <w:p>
      <w:pPr>
        <w:pStyle w:val="ListBullet"/>
        <w:spacing w:after="60"/>
      </w:pPr>
      <w:r>
        <w:rPr>
          <w:sz w:val="22"/>
        </w:rPr>
        <w:t>Secciones de servicios: sealcoating y pintura de líneas/cajones/cebras (residencial y comercial).</w:t>
      </w:r>
    </w:p>
    <w:p>
      <w:pPr>
        <w:pStyle w:val="ListBullet"/>
        <w:spacing w:after="60"/>
      </w:pPr>
      <w:r>
        <w:rPr>
          <w:sz w:val="22"/>
        </w:rPr>
        <w:t>Zonas que cubres, sellos de confianza (“Licensed &amp; Insured” solo si aplica) y “Hablamos Español”.</w:t>
      </w:r>
    </w:p>
    <w:p>
      <w:pPr>
        <w:pStyle w:val="ListBullet"/>
        <w:spacing w:after="60"/>
      </w:pPr>
      <w:r>
        <w:rPr>
          <w:sz w:val="22"/>
        </w:rPr>
        <w:t>Enlace directo a tu Perfil de Google y a tus reseñas.</w:t>
      </w:r>
    </w:p>
    <w:p>
      <w:pPr>
        <w:spacing w:after="120"/>
      </w:pPr>
      <w:r>
        <w:rPr>
          <w:b/>
          <w:i/>
          <w:color w:val="1A1A1A"/>
          <w:sz w:val="22"/>
        </w:rPr>
        <w:t>Resultado: cuando alguien te encuentra, tiene todo para contactarte y pedir cotización en segundos.</w:t>
      </w:r>
    </w:p>
    <w:p>
      <w:pPr>
        <w:spacing w:before="120" w:after="40"/>
      </w:pPr>
      <w:r>
        <w:rPr>
          <w:b/>
          <w:color w:val="1A1A1A"/>
          <w:sz w:val="24"/>
        </w:rPr>
        <w:t>FASE 2 — Crecimiento (opcional, por temporada)</w:t>
      </w:r>
    </w:p>
    <w:p>
      <w:pPr>
        <w:pStyle w:val="ListBullet"/>
        <w:spacing w:after="60"/>
      </w:pPr>
      <w:r>
        <w:rPr>
          <w:sz w:val="22"/>
        </w:rPr>
        <w:t>Campañas de anuncios en Google (Búsqueda / Local Services Ads) para la temporada de mayo a octubre.</w:t>
      </w:r>
    </w:p>
    <w:p>
      <w:pPr>
        <w:pStyle w:val="ListBullet"/>
        <w:spacing w:after="60"/>
      </w:pPr>
      <w:r>
        <w:rPr>
          <w:sz w:val="22"/>
        </w:rPr>
        <w:t>Publicidad segmentada en Facebook/Instagram por zona.</w:t>
      </w:r>
    </w:p>
    <w:p>
      <w:pPr>
        <w:pStyle w:val="ListBullet"/>
        <w:spacing w:after="60"/>
      </w:pPr>
      <w:r>
        <w:rPr>
          <w:sz w:val="22"/>
        </w:rPr>
        <w:t>Seguimiento de resultados: cuántas llamadas y cotizaciones llegan.</w:t>
      </w:r>
    </w:p>
    <w:p>
      <w:pPr>
        <w:spacing w:after="120"/>
      </w:pPr>
      <w:r>
        <w:rPr>
          <w:b/>
          <w:i/>
          <w:color w:val="1A1A1A"/>
          <w:sz w:val="22"/>
        </w:rPr>
        <w:t>Resultado: aceleras la llegada de clientes cuando ya tienes la base lista. Se recomienda solo después de la Fase 0 y 1.</w:t>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5. Inversión (precios de referencia)</w:t>
            </w:r>
          </w:p>
        </w:tc>
      </w:tr>
    </w:tbl>
    <w:p/>
    <w:p>
      <w:pPr>
        <w:spacing w:after="120"/>
      </w:pPr>
      <w:r>
        <w:rPr>
          <w:b w:val="0"/>
          <w:i/>
          <w:color w:val="555555"/>
          <w:sz w:val="20"/>
        </w:rPr>
        <w:t>Las siguientes cantidades son de referencia y se confirman al aprobar el alcance. Los montos de terceros (dominio, correo, presupuesto de anuncios) se pagan directamente a los proveedores.</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val="clear" w:color="auto" w:fill="1A1A1A"/>
          </w:tcPr>
          <w:p>
            <w:r/>
            <w:r>
              <w:rPr>
                <w:rFonts w:ascii="Calibri" w:hAnsi="Calibri"/>
                <w:b/>
                <w:color w:val="FFFFFF"/>
                <w:sz w:val="22"/>
              </w:rPr>
              <w:t>Concepto</w:t>
            </w:r>
          </w:p>
        </w:tc>
        <w:tc>
          <w:tcPr>
            <w:tcW w:type="dxa" w:w="3211"/>
            <w:shd w:val="clear" w:color="auto" w:fill="1A1A1A"/>
          </w:tcPr>
          <w:p>
            <w:pPr>
              <w:jc w:val="center"/>
            </w:pPr>
            <w:r/>
            <w:r>
              <w:rPr>
                <w:rFonts w:ascii="Calibri" w:hAnsi="Calibri"/>
                <w:b/>
                <w:color w:val="FFFFFF"/>
                <w:sz w:val="22"/>
              </w:rPr>
              <w:t>Tipo</w:t>
            </w:r>
          </w:p>
        </w:tc>
        <w:tc>
          <w:tcPr>
            <w:tcW w:type="dxa" w:w="3211"/>
            <w:shd w:val="clear" w:color="auto" w:fill="1A1A1A"/>
          </w:tcPr>
          <w:p>
            <w:pPr>
              <w:jc w:val="center"/>
            </w:pPr>
            <w:r/>
            <w:r>
              <w:rPr>
                <w:rFonts w:ascii="Calibri" w:hAnsi="Calibri"/>
                <w:b/>
                <w:color w:val="FFFFFF"/>
                <w:sz w:val="22"/>
              </w:rPr>
              <w:t>Inversión (USD)*</w:t>
            </w:r>
          </w:p>
        </w:tc>
      </w:tr>
      <w:tr>
        <w:tc>
          <w:tcPr>
            <w:tcW w:type="dxa" w:w="3211"/>
            <w:shd w:val="clear" w:color="auto" w:fill="F5C400"/>
          </w:tcPr>
          <w:p>
            <w:r/>
            <w:r>
              <w:rPr>
                <w:rFonts w:ascii="Calibri" w:hAnsi="Calibri"/>
                <w:b/>
                <w:color w:val="1A1A1A"/>
                <w:sz w:val="21"/>
              </w:rPr>
              <w:t>FASE 0 — Cimientos</w:t>
            </w:r>
          </w:p>
        </w:tc>
        <w:tc>
          <w:tcPr>
            <w:tcW w:type="dxa" w:w="3211"/>
            <w:shd w:val="clear" w:color="auto" w:fill="F5C400"/>
          </w:tcPr>
          <w:p>
            <w:r/>
            <w:r>
              <w:rPr>
                <w:rFonts w:ascii="Calibri" w:hAnsi="Calibri"/>
                <w:b w:val="0"/>
                <w:color w:val="1A1A1A"/>
                <w:sz w:val="21"/>
              </w:rPr>
            </w:r>
          </w:p>
        </w:tc>
        <w:tc>
          <w:tcPr>
            <w:tcW w:type="dxa" w:w="3211"/>
            <w:shd w:val="clear" w:color="auto" w:fill="F5C400"/>
          </w:tcPr>
          <w:p>
            <w:r/>
            <w:r>
              <w:rPr>
                <w:rFonts w:ascii="Calibri" w:hAnsi="Calibri"/>
                <w:b w:val="0"/>
                <w:color w:val="1A1A1A"/>
                <w:sz w:val="21"/>
              </w:rPr>
            </w:r>
          </w:p>
        </w:tc>
      </w:tr>
      <w:tr>
        <w:tc>
          <w:tcPr>
            <w:tcW w:type="dxa" w:w="3211"/>
          </w:tcPr>
          <w:p>
            <w:r/>
            <w:r>
              <w:rPr>
                <w:rFonts w:ascii="Calibri" w:hAnsi="Calibri"/>
                <w:b w:val="0"/>
                <w:color w:val="1A1A1A"/>
                <w:sz w:val="21"/>
              </w:rPr>
              <w:t>Diseño de logo original</w:t>
            </w:r>
          </w:p>
        </w:tc>
        <w:tc>
          <w:tcPr>
            <w:tcW w:type="dxa" w:w="3211"/>
          </w:tcPr>
          <w:p>
            <w:pPr>
              <w:jc w:val="center"/>
            </w:pPr>
            <w:r/>
            <w:r>
              <w:rPr>
                <w:rFonts w:ascii="Calibri" w:hAnsi="Calibri"/>
                <w:b w:val="0"/>
                <w:color w:val="1A1A1A"/>
                <w:sz w:val="21"/>
              </w:rPr>
              <w:t>Único</w:t>
            </w:r>
          </w:p>
        </w:tc>
        <w:tc>
          <w:tcPr>
            <w:tcW w:type="dxa" w:w="3211"/>
          </w:tcPr>
          <w:p>
            <w:pPr>
              <w:jc w:val="center"/>
            </w:pPr>
            <w:r/>
            <w:r>
              <w:rPr>
                <w:rFonts w:ascii="Calibri" w:hAnsi="Calibri"/>
                <w:b w:val="0"/>
                <w:color w:val="1A1A1A"/>
                <w:sz w:val="21"/>
              </w:rPr>
              <w:t>$120 – $180</w:t>
            </w:r>
          </w:p>
        </w:tc>
      </w:tr>
      <w:tr>
        <w:tc>
          <w:tcPr>
            <w:tcW w:type="dxa" w:w="3211"/>
          </w:tcPr>
          <w:p>
            <w:r/>
            <w:r>
              <w:rPr>
                <w:rFonts w:ascii="Calibri" w:hAnsi="Calibri"/>
                <w:b w:val="0"/>
                <w:color w:val="1A1A1A"/>
                <w:sz w:val="21"/>
              </w:rPr>
              <w:t>Registro de dominio (1 año)</w:t>
            </w:r>
          </w:p>
        </w:tc>
        <w:tc>
          <w:tcPr>
            <w:tcW w:type="dxa" w:w="3211"/>
          </w:tcPr>
          <w:p>
            <w:pPr>
              <w:jc w:val="center"/>
            </w:pPr>
            <w:r/>
            <w:r>
              <w:rPr>
                <w:rFonts w:ascii="Calibri" w:hAnsi="Calibri"/>
                <w:b w:val="0"/>
                <w:color w:val="1A1A1A"/>
                <w:sz w:val="21"/>
              </w:rPr>
              <w:t>Anual</w:t>
            </w:r>
          </w:p>
        </w:tc>
        <w:tc>
          <w:tcPr>
            <w:tcW w:type="dxa" w:w="3211"/>
          </w:tcPr>
          <w:p>
            <w:pPr>
              <w:jc w:val="center"/>
            </w:pPr>
            <w:r/>
            <w:r>
              <w:rPr>
                <w:rFonts w:ascii="Calibri" w:hAnsi="Calibri"/>
                <w:b w:val="0"/>
                <w:color w:val="1A1A1A"/>
                <w:sz w:val="21"/>
              </w:rPr>
              <w:t>$15 – $25</w:t>
            </w:r>
          </w:p>
        </w:tc>
      </w:tr>
      <w:tr>
        <w:tc>
          <w:tcPr>
            <w:tcW w:type="dxa" w:w="3211"/>
          </w:tcPr>
          <w:p>
            <w:r/>
            <w:r>
              <w:rPr>
                <w:rFonts w:ascii="Calibri" w:hAnsi="Calibri"/>
                <w:b w:val="0"/>
                <w:color w:val="1A1A1A"/>
                <w:sz w:val="21"/>
              </w:rPr>
              <w:t>Correo profesional (1 año)</w:t>
            </w:r>
          </w:p>
        </w:tc>
        <w:tc>
          <w:tcPr>
            <w:tcW w:type="dxa" w:w="3211"/>
          </w:tcPr>
          <w:p>
            <w:pPr>
              <w:jc w:val="center"/>
            </w:pPr>
            <w:r/>
            <w:r>
              <w:rPr>
                <w:rFonts w:ascii="Calibri" w:hAnsi="Calibri"/>
                <w:b w:val="0"/>
                <w:color w:val="1A1A1A"/>
                <w:sz w:val="21"/>
              </w:rPr>
              <w:t>Anual</w:t>
            </w:r>
          </w:p>
        </w:tc>
        <w:tc>
          <w:tcPr>
            <w:tcW w:type="dxa" w:w="3211"/>
          </w:tcPr>
          <w:p>
            <w:pPr>
              <w:jc w:val="center"/>
            </w:pPr>
            <w:r/>
            <w:r>
              <w:rPr>
                <w:rFonts w:ascii="Calibri" w:hAnsi="Calibri"/>
                <w:b w:val="0"/>
                <w:color w:val="1A1A1A"/>
                <w:sz w:val="21"/>
              </w:rPr>
              <w:t>$40 – $70</w:t>
            </w:r>
          </w:p>
        </w:tc>
      </w:tr>
      <w:tr>
        <w:tc>
          <w:tcPr>
            <w:tcW w:type="dxa" w:w="3211"/>
          </w:tcPr>
          <w:p>
            <w:r/>
            <w:r>
              <w:rPr>
                <w:rFonts w:ascii="Calibri" w:hAnsi="Calibri"/>
                <w:b w:val="0"/>
                <w:color w:val="1A1A1A"/>
                <w:sz w:val="21"/>
              </w:rPr>
              <w:t>Perfil de Empresa en Google + optimización</w:t>
            </w:r>
          </w:p>
        </w:tc>
        <w:tc>
          <w:tcPr>
            <w:tcW w:type="dxa" w:w="3211"/>
          </w:tcPr>
          <w:p>
            <w:pPr>
              <w:jc w:val="center"/>
            </w:pPr>
            <w:r/>
            <w:r>
              <w:rPr>
                <w:rFonts w:ascii="Calibri" w:hAnsi="Calibri"/>
                <w:b w:val="0"/>
                <w:color w:val="1A1A1A"/>
                <w:sz w:val="21"/>
              </w:rPr>
              <w:t>Único</w:t>
            </w:r>
          </w:p>
        </w:tc>
        <w:tc>
          <w:tcPr>
            <w:tcW w:type="dxa" w:w="3211"/>
          </w:tcPr>
          <w:p>
            <w:pPr>
              <w:jc w:val="center"/>
            </w:pPr>
            <w:r/>
            <w:r>
              <w:rPr>
                <w:rFonts w:ascii="Calibri" w:hAnsi="Calibri"/>
                <w:b w:val="0"/>
                <w:color w:val="1A1A1A"/>
                <w:sz w:val="21"/>
              </w:rPr>
              <w:t>$120 – $200</w:t>
            </w:r>
          </w:p>
        </w:tc>
      </w:tr>
      <w:tr>
        <w:tc>
          <w:tcPr>
            <w:tcW w:type="dxa" w:w="3211"/>
          </w:tcPr>
          <w:p>
            <w:r/>
            <w:r>
              <w:rPr>
                <w:rFonts w:ascii="Calibri" w:hAnsi="Calibri"/>
                <w:b w:val="0"/>
                <w:color w:val="1A1A1A"/>
                <w:sz w:val="21"/>
              </w:rPr>
              <w:t>Sistema de reseñas (enlace + QR + guion)</w:t>
            </w:r>
          </w:p>
        </w:tc>
        <w:tc>
          <w:tcPr>
            <w:tcW w:type="dxa" w:w="3211"/>
          </w:tcPr>
          <w:p>
            <w:pPr>
              <w:jc w:val="center"/>
            </w:pPr>
            <w:r/>
            <w:r>
              <w:rPr>
                <w:rFonts w:ascii="Calibri" w:hAnsi="Calibri"/>
                <w:b w:val="0"/>
                <w:color w:val="1A1A1A"/>
                <w:sz w:val="21"/>
              </w:rPr>
              <w:t>Único</w:t>
            </w:r>
          </w:p>
        </w:tc>
        <w:tc>
          <w:tcPr>
            <w:tcW w:type="dxa" w:w="3211"/>
          </w:tcPr>
          <w:p>
            <w:pPr>
              <w:jc w:val="center"/>
            </w:pPr>
            <w:r/>
            <w:r>
              <w:rPr>
                <w:rFonts w:ascii="Calibri" w:hAnsi="Calibri"/>
                <w:b w:val="0"/>
                <w:color w:val="1A1A1A"/>
                <w:sz w:val="21"/>
              </w:rPr>
              <w:t>$60 – $100</w:t>
            </w:r>
          </w:p>
        </w:tc>
      </w:tr>
      <w:tr>
        <w:tc>
          <w:tcPr>
            <w:tcW w:type="dxa" w:w="3211"/>
            <w:shd w:val="clear" w:color="auto" w:fill="F5C400"/>
          </w:tcPr>
          <w:p>
            <w:r/>
            <w:r>
              <w:rPr>
                <w:rFonts w:ascii="Calibri" w:hAnsi="Calibri"/>
                <w:b/>
                <w:color w:val="1A1A1A"/>
                <w:sz w:val="21"/>
              </w:rPr>
              <w:t>FASE 1 — Sitio web de conversión</w:t>
            </w:r>
          </w:p>
        </w:tc>
        <w:tc>
          <w:tcPr>
            <w:tcW w:type="dxa" w:w="3211"/>
            <w:shd w:val="clear" w:color="auto" w:fill="F5C400"/>
          </w:tcPr>
          <w:p>
            <w:r/>
            <w:r>
              <w:rPr>
                <w:rFonts w:ascii="Calibri" w:hAnsi="Calibri"/>
                <w:b w:val="0"/>
                <w:color w:val="1A1A1A"/>
                <w:sz w:val="21"/>
              </w:rPr>
            </w:r>
          </w:p>
        </w:tc>
        <w:tc>
          <w:tcPr>
            <w:tcW w:type="dxa" w:w="3211"/>
            <w:shd w:val="clear" w:color="auto" w:fill="F5C400"/>
          </w:tcPr>
          <w:p>
            <w:r/>
            <w:r>
              <w:rPr>
                <w:rFonts w:ascii="Calibri" w:hAnsi="Calibri"/>
                <w:b w:val="0"/>
                <w:color w:val="1A1A1A"/>
                <w:sz w:val="21"/>
              </w:rPr>
            </w:r>
          </w:p>
        </w:tc>
      </w:tr>
      <w:tr>
        <w:tc>
          <w:tcPr>
            <w:tcW w:type="dxa" w:w="3211"/>
          </w:tcPr>
          <w:p>
            <w:r/>
            <w:r>
              <w:rPr>
                <w:rFonts w:ascii="Calibri" w:hAnsi="Calibri"/>
                <w:b w:val="0"/>
                <w:color w:val="1A1A1A"/>
                <w:sz w:val="21"/>
              </w:rPr>
              <w:t>Sitio bilingüe (EN/ES) de conversión</w:t>
            </w:r>
          </w:p>
        </w:tc>
        <w:tc>
          <w:tcPr>
            <w:tcW w:type="dxa" w:w="3211"/>
          </w:tcPr>
          <w:p>
            <w:pPr>
              <w:jc w:val="center"/>
            </w:pPr>
            <w:r/>
            <w:r>
              <w:rPr>
                <w:rFonts w:ascii="Calibri" w:hAnsi="Calibri"/>
                <w:b w:val="0"/>
                <w:color w:val="1A1A1A"/>
                <w:sz w:val="21"/>
              </w:rPr>
              <w:t>Único</w:t>
            </w:r>
          </w:p>
        </w:tc>
        <w:tc>
          <w:tcPr>
            <w:tcW w:type="dxa" w:w="3211"/>
          </w:tcPr>
          <w:p>
            <w:pPr>
              <w:jc w:val="center"/>
            </w:pPr>
            <w:r/>
            <w:r>
              <w:rPr>
                <w:rFonts w:ascii="Calibri" w:hAnsi="Calibri"/>
                <w:b w:val="0"/>
                <w:color w:val="1A1A1A"/>
                <w:sz w:val="21"/>
              </w:rPr>
              <w:t>$450 – $800</w:t>
            </w:r>
          </w:p>
        </w:tc>
      </w:tr>
      <w:tr>
        <w:tc>
          <w:tcPr>
            <w:tcW w:type="dxa" w:w="3211"/>
          </w:tcPr>
          <w:p>
            <w:r/>
            <w:r>
              <w:rPr>
                <w:rFonts w:ascii="Calibri" w:hAnsi="Calibri"/>
                <w:b w:val="0"/>
                <w:color w:val="1A1A1A"/>
                <w:sz w:val="21"/>
              </w:rPr>
              <w:t>Hospedaje del sitio (Cloudflare Pages)</w:t>
            </w:r>
          </w:p>
        </w:tc>
        <w:tc>
          <w:tcPr>
            <w:tcW w:type="dxa" w:w="3211"/>
          </w:tcPr>
          <w:p>
            <w:pPr>
              <w:jc w:val="center"/>
            </w:pPr>
            <w:r/>
            <w:r>
              <w:rPr>
                <w:rFonts w:ascii="Calibri" w:hAnsi="Calibri"/>
                <w:b w:val="0"/>
                <w:color w:val="1A1A1A"/>
                <w:sz w:val="21"/>
              </w:rPr>
              <w:t>Anual</w:t>
            </w:r>
          </w:p>
        </w:tc>
        <w:tc>
          <w:tcPr>
            <w:tcW w:type="dxa" w:w="3211"/>
          </w:tcPr>
          <w:p>
            <w:pPr>
              <w:jc w:val="center"/>
            </w:pPr>
            <w:r/>
            <w:r>
              <w:rPr>
                <w:rFonts w:ascii="Calibri" w:hAnsi="Calibri"/>
                <w:b w:val="0"/>
                <w:color w:val="1A1A1A"/>
                <w:sz w:val="21"/>
              </w:rPr>
              <w:t>$0 – $60</w:t>
            </w:r>
          </w:p>
        </w:tc>
      </w:tr>
      <w:tr>
        <w:tc>
          <w:tcPr>
            <w:tcW w:type="dxa" w:w="3211"/>
            <w:shd w:val="clear" w:color="auto" w:fill="F5C400"/>
          </w:tcPr>
          <w:p>
            <w:r/>
            <w:r>
              <w:rPr>
                <w:rFonts w:ascii="Calibri" w:hAnsi="Calibri"/>
                <w:b/>
                <w:color w:val="1A1A1A"/>
                <w:sz w:val="21"/>
              </w:rPr>
              <w:t>FASE 2 — Crecimiento (opcional)</w:t>
            </w:r>
          </w:p>
        </w:tc>
        <w:tc>
          <w:tcPr>
            <w:tcW w:type="dxa" w:w="3211"/>
            <w:shd w:val="clear" w:color="auto" w:fill="F5C400"/>
          </w:tcPr>
          <w:p>
            <w:r/>
            <w:r>
              <w:rPr>
                <w:rFonts w:ascii="Calibri" w:hAnsi="Calibri"/>
                <w:b w:val="0"/>
                <w:color w:val="1A1A1A"/>
                <w:sz w:val="21"/>
              </w:rPr>
            </w:r>
          </w:p>
        </w:tc>
        <w:tc>
          <w:tcPr>
            <w:tcW w:type="dxa" w:w="3211"/>
            <w:shd w:val="clear" w:color="auto" w:fill="F5C400"/>
          </w:tcPr>
          <w:p>
            <w:r/>
            <w:r>
              <w:rPr>
                <w:rFonts w:ascii="Calibri" w:hAnsi="Calibri"/>
                <w:b w:val="0"/>
                <w:color w:val="1A1A1A"/>
                <w:sz w:val="21"/>
              </w:rPr>
            </w:r>
          </w:p>
        </w:tc>
      </w:tr>
      <w:tr>
        <w:tc>
          <w:tcPr>
            <w:tcW w:type="dxa" w:w="3211"/>
          </w:tcPr>
          <w:p>
            <w:r/>
            <w:r>
              <w:rPr>
                <w:rFonts w:ascii="Calibri" w:hAnsi="Calibri"/>
                <w:b w:val="0"/>
                <w:color w:val="1A1A1A"/>
                <w:sz w:val="21"/>
              </w:rPr>
              <w:t>Gestión de anuncios (mensual)</w:t>
            </w:r>
          </w:p>
        </w:tc>
        <w:tc>
          <w:tcPr>
            <w:tcW w:type="dxa" w:w="3211"/>
          </w:tcPr>
          <w:p>
            <w:pPr>
              <w:jc w:val="center"/>
            </w:pPr>
            <w:r/>
            <w:r>
              <w:rPr>
                <w:rFonts w:ascii="Calibri" w:hAnsi="Calibri"/>
                <w:b w:val="0"/>
                <w:color w:val="1A1A1A"/>
                <w:sz w:val="21"/>
              </w:rPr>
              <w:t>Mensual</w:t>
            </w:r>
          </w:p>
        </w:tc>
        <w:tc>
          <w:tcPr>
            <w:tcW w:type="dxa" w:w="3211"/>
          </w:tcPr>
          <w:p>
            <w:pPr>
              <w:jc w:val="center"/>
            </w:pPr>
            <w:r/>
            <w:r>
              <w:rPr>
                <w:rFonts w:ascii="Calibri" w:hAnsi="Calibri"/>
                <w:b w:val="0"/>
                <w:color w:val="1A1A1A"/>
                <w:sz w:val="21"/>
              </w:rPr>
              <w:t>$200 – $400</w:t>
            </w:r>
          </w:p>
        </w:tc>
      </w:tr>
      <w:tr>
        <w:tc>
          <w:tcPr>
            <w:tcW w:type="dxa" w:w="3211"/>
          </w:tcPr>
          <w:p>
            <w:r/>
            <w:r>
              <w:rPr>
                <w:rFonts w:ascii="Calibri" w:hAnsi="Calibri"/>
                <w:b w:val="0"/>
                <w:color w:val="1A1A1A"/>
                <w:sz w:val="21"/>
              </w:rPr>
              <w:t>Presupuesto de anuncios (se paga a Google/Meta)</w:t>
            </w:r>
          </w:p>
        </w:tc>
        <w:tc>
          <w:tcPr>
            <w:tcW w:type="dxa" w:w="3211"/>
          </w:tcPr>
          <w:p>
            <w:pPr>
              <w:jc w:val="center"/>
            </w:pPr>
            <w:r/>
            <w:r>
              <w:rPr>
                <w:rFonts w:ascii="Calibri" w:hAnsi="Calibri"/>
                <w:b w:val="0"/>
                <w:color w:val="1A1A1A"/>
                <w:sz w:val="21"/>
              </w:rPr>
              <w:t>Mensual</w:t>
            </w:r>
          </w:p>
        </w:tc>
        <w:tc>
          <w:tcPr>
            <w:tcW w:type="dxa" w:w="3211"/>
          </w:tcPr>
          <w:p>
            <w:pPr>
              <w:jc w:val="center"/>
            </w:pPr>
            <w:r/>
            <w:r>
              <w:rPr>
                <w:rFonts w:ascii="Calibri" w:hAnsi="Calibri"/>
                <w:b w:val="0"/>
                <w:color w:val="1A1A1A"/>
                <w:sz w:val="21"/>
              </w:rPr>
              <w:t>Lo defines tú</w:t>
            </w:r>
          </w:p>
        </w:tc>
      </w:tr>
    </w:tbl>
    <w:p/>
    <w:p>
      <w:pPr>
        <w:spacing w:after="120"/>
      </w:pPr>
      <w:r>
        <w:rPr>
          <w:b w:val="0"/>
          <w:i w:val="0"/>
          <w:color w:val="555555"/>
          <w:sz w:val="20"/>
        </w:rPr>
        <w:t>* Rangos de referencia ajustables por Aimarktech. Recomendación: comenzar con Fase 0 + Fase 1, que es la base que genera resultados con la inversión más contenida.</w:t>
      </w:r>
    </w:p>
    <w:p>
      <w:pPr>
        <w:spacing w:before="120" w:after="40"/>
      </w:pPr>
      <w:r>
        <w:rPr>
          <w:b/>
          <w:color w:val="1A1A1A"/>
          <w:sz w:val="24"/>
        </w:rPr>
        <w:t>Paquete recomendado para empezar</w:t>
      </w:r>
    </w:p>
    <w:tbl>
      <w:tblPr>
        <w:tblW w:type="auto" w:w="0"/>
        <w:tblLook w:firstColumn="1" w:firstRow="1" w:lastColumn="0" w:lastRow="0" w:noHBand="0" w:noVBand="1" w:val="04A0"/>
      </w:tblPr>
      <w:tblGrid>
        <w:gridCol w:w="9632"/>
      </w:tblGrid>
      <w:tr>
        <w:tc>
          <w:tcPr>
            <w:tcW w:type="dxa" w:w="9632"/>
            <w:shd w:val="clear" w:color="auto" w:fill="EDEDED"/>
          </w:tcPr>
          <w:p>
            <w:r/>
            <w:r>
              <w:rPr>
                <w:rFonts w:ascii="Calibri" w:hAnsi="Calibri"/>
                <w:b w:val="0"/>
                <w:color w:val="1A1A1A"/>
                <w:sz w:val="21"/>
              </w:rPr>
              <w:t>Fase 0 + Fase 1 (logo, dominio, correo, Google Business Profile, sistema de reseñas y sitio bilingüe de conversión). Es el conjunto mínimo que te hace visible y convierte visitas en llamadas.</w:t>
            </w:r>
          </w:p>
        </w:tc>
      </w:tr>
    </w:tbl>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6. Tiempos estimados</w:t>
            </w:r>
          </w:p>
        </w:tc>
      </w:tr>
    </w:tbl>
    <w:p/>
    <w:p>
      <w:pPr>
        <w:pStyle w:val="ListBullet"/>
        <w:spacing w:after="60"/>
      </w:pPr>
      <w:r>
        <w:rPr>
          <w:sz w:val="22"/>
        </w:rPr>
        <w:t>Fase 0 (cimientos): 3 a 5 días hábiles una vez recibida tu información y fotos.</w:t>
      </w:r>
    </w:p>
    <w:p>
      <w:pPr>
        <w:pStyle w:val="ListBullet"/>
        <w:spacing w:after="60"/>
      </w:pPr>
      <w:r>
        <w:rPr>
          <w:sz w:val="22"/>
        </w:rPr>
        <w:t>Fase 1 (sitio bilingüe): 5 a 8 días hábiles adicionales.</w:t>
      </w:r>
    </w:p>
    <w:p>
      <w:pPr>
        <w:spacing w:after="120"/>
      </w:pPr>
      <w:r>
        <w:rPr>
          <w:b w:val="0"/>
          <w:i/>
          <w:color w:val="1A1A1A"/>
          <w:sz w:val="22"/>
        </w:rPr>
        <w:t>Nota de temporada: como tu trabajo va de mayo a octubre, entre más pronto lancemos, más aprovechamos lo que resta de esta temporada y llegamos posicionados a la próxima.</w:t>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7. Qué necesitamos de ti</w:t>
            </w:r>
          </w:p>
        </w:tc>
      </w:tr>
    </w:tbl>
    <w:p/>
    <w:p>
      <w:pPr>
        <w:pStyle w:val="ListBullet"/>
        <w:spacing w:after="60"/>
      </w:pPr>
      <w:r>
        <w:rPr>
          <w:sz w:val="22"/>
        </w:rPr>
        <w:t>El nombre legal exacto de tu empresa tal como quedó registrada la LLC.</w:t>
      </w:r>
    </w:p>
    <w:p>
      <w:pPr>
        <w:pStyle w:val="ListBullet"/>
        <w:spacing w:after="60"/>
      </w:pPr>
      <w:r>
        <w:rPr>
          <w:sz w:val="22"/>
        </w:rPr>
        <w:t>Tus fotos y videos de trabajos terminados en buena calidad.</w:t>
      </w:r>
    </w:p>
    <w:p>
      <w:pPr>
        <w:pStyle w:val="ListBullet"/>
        <w:spacing w:after="60"/>
      </w:pPr>
      <w:r>
        <w:rPr>
          <w:sz w:val="22"/>
        </w:rPr>
        <w:t>Confirmar si cuentas con seguro (para poder poner “Licensed &amp; Insured”).</w:t>
      </w:r>
    </w:p>
    <w:p>
      <w:pPr>
        <w:pStyle w:val="ListBullet"/>
        <w:spacing w:after="60"/>
      </w:pPr>
      <w:r>
        <w:rPr>
          <w:sz w:val="22"/>
        </w:rPr>
        <w:t>Las ciudades/zonas donde más te interesa conseguir clientes.</w:t>
      </w:r>
    </w:p>
    <w:p>
      <w:pPr>
        <w:pStyle w:val="ListBullet"/>
        <w:spacing w:after="60"/>
      </w:pPr>
      <w:r>
        <w:rPr>
          <w:sz w:val="22"/>
        </w:rPr>
        <w:t>Tu teléfono y correo definitivos para el contacto público.</w:t>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8. Consideraciones importantes</w:t>
            </w:r>
          </w:p>
        </w:tc>
      </w:tr>
    </w:tbl>
    <w:p/>
    <w:p>
      <w:pPr>
        <w:spacing w:after="120"/>
      </w:pPr>
      <w:r>
        <w:rPr>
          <w:b w:val="0"/>
          <w:i/>
          <w:color w:val="555555"/>
          <w:sz w:val="20"/>
        </w:rPr>
        <w:t>Estos puntos son informativos y conviene confirmarlos con tu contador o con la fuente oficial; no constituyen asesoría legal:</w:t>
      </w:r>
    </w:p>
    <w:p>
      <w:pPr>
        <w:pStyle w:val="ListBullet"/>
        <w:spacing w:after="60"/>
      </w:pPr>
      <w:r>
        <w:rPr>
          <w:sz w:val="22"/>
        </w:rPr>
        <w:t>Logo: una LLC puede usar cualquier logo, siempre que sea original. Por eso rehacemos el tuyo desde cero, para que sea totalmente tuyo y sin riesgos de derechos de autor.</w:t>
      </w:r>
    </w:p>
    <w:p>
      <w:pPr>
        <w:pStyle w:val="ListBullet"/>
        <w:spacing w:after="60"/>
      </w:pPr>
      <w:r>
        <w:rPr>
          <w:sz w:val="22"/>
        </w:rPr>
        <w:t>Nombre legal: en documentos formales (cotizaciones, contratos, facturas) conviene mostrar el nombre completo, incluyendo “LLC”.</w:t>
      </w:r>
    </w:p>
    <w:p>
      <w:pPr>
        <w:pStyle w:val="ListBullet"/>
        <w:spacing w:after="60"/>
      </w:pPr>
      <w:r>
        <w:rPr>
          <w:sz w:val="22"/>
        </w:rPr>
        <w:t>Licencias/seguro: Illinois no tiene licencia estatal de contratista; cada ciudad o condado puede pedir su propio registro. El seguro de responsabilidad ayuda mucho, sobre todo para clientes comerciales.</w:t>
      </w:r>
    </w:p>
    <w:p>
      <w:pPr>
        <w:pStyle w:val="ListBullet"/>
        <w:spacing w:after="60"/>
      </w:pPr>
      <w:r>
        <w:rPr>
          <w:sz w:val="22"/>
        </w:rPr>
        <w:t>En el sitio solo publicaremos sellos y afirmaciones verdaderas y verificables.</w:t>
      </w:r>
    </w:p>
    <w:tbl>
      <w:tblPr>
        <w:tblW w:type="auto" w:w="0"/>
        <w:jc w:val="center"/>
        <w:tblLook w:firstColumn="1" w:firstRow="1" w:lastColumn="0" w:lastRow="0" w:noHBand="0" w:noVBand="1" w:val="04A0"/>
      </w:tblPr>
      <w:tblGrid>
        <w:gridCol w:w="9632"/>
      </w:tblGrid>
      <w:tr>
        <w:tc>
          <w:tcPr>
            <w:tcW w:type="dxa" w:w="9632"/>
            <w:shd w:val="clear" w:color="auto" w:fill="1A1A1A"/>
          </w:tcPr>
          <w:p>
            <w:pPr>
              <w:spacing w:before="40" w:after="40"/>
            </w:pPr>
            <w:r>
              <w:rPr>
                <w:rFonts w:ascii="Calibri" w:hAnsi="Calibri"/>
                <w:b/>
                <w:color w:val="FFFFFF"/>
                <w:sz w:val="26"/>
              </w:rPr>
              <w:t xml:space="preserve">  9. Siguiente paso</w:t>
            </w:r>
          </w:p>
        </w:tc>
      </w:tr>
    </w:tbl>
    <w:p/>
    <w:p>
      <w:pPr>
        <w:spacing w:after="120"/>
      </w:pPr>
      <w:r>
        <w:rPr>
          <w:b w:val="0"/>
          <w:i w:val="0"/>
          <w:color w:val="1A1A1A"/>
          <w:sz w:val="22"/>
        </w:rPr>
        <w:t>Si esta propuesta te hace sentido, el siguiente paso es aprobar el paquete recomendado (Fase 0 + Fase 1) y agendar una llamada corta para recopilar tu información y fotos. A partir de ahí arrancamos de inmediato.</w:t>
      </w:r>
    </w:p>
    <w:tbl>
      <w:tblPr>
        <w:tblStyle w:val="TableGrid"/>
        <w:tblW w:type="auto" w:w="0"/>
        <w:jc w:val="center"/>
        <w:tblLook w:firstColumn="1" w:firstRow="1" w:lastColumn="0" w:lastRow="0" w:noHBand="0" w:noVBand="1" w:val="04A0"/>
      </w:tblPr>
      <w:tblGrid>
        <w:gridCol w:w="4816"/>
        <w:gridCol w:w="4816"/>
      </w:tblGrid>
      <w:tr>
        <w:tc>
          <w:tcPr>
            <w:tcW w:type="dxa" w:w="4816"/>
          </w:tcPr>
          <w:p>
            <w:r/>
            <w:r>
              <w:rPr>
                <w:rFonts w:ascii="Calibri" w:hAnsi="Calibri"/>
                <w:b/>
                <w:color w:val="1A1A1A"/>
                <w:sz w:val="20"/>
              </w:rPr>
              <w:t>Nombre y firma (Cliente)</w:t>
            </w:r>
          </w:p>
        </w:tc>
        <w:tc>
          <w:tcPr>
            <w:tcW w:type="dxa" w:w="4816"/>
          </w:tcPr>
          <w:p>
            <w:r/>
            <w:r>
              <w:rPr>
                <w:rFonts w:ascii="Calibri" w:hAnsi="Calibri"/>
                <w:b/>
                <w:color w:val="1A1A1A"/>
                <w:sz w:val="20"/>
              </w:rPr>
              <w:t>Fecha</w:t>
            </w:r>
          </w:p>
        </w:tc>
      </w:tr>
      <w:tr>
        <w:tc>
          <w:tcPr>
            <w:tcW w:type="dxa" w:w="4816"/>
          </w:tcPr>
          <w:p>
            <w:r/>
            <w:r>
              <w:rPr>
                <w:rFonts w:ascii="Calibri" w:hAnsi="Calibri"/>
                <w:b w:val="0"/>
                <w:color w:val="1A1A1A"/>
                <w:sz w:val="20"/>
              </w:rPr>
              <w:br/>
              <w:br/>
            </w:r>
          </w:p>
        </w:tc>
        <w:tc>
          <w:tcPr>
            <w:tcW w:type="dxa" w:w="4816"/>
          </w:tcPr>
          <w:p>
            <w:r/>
            <w:r>
              <w:rPr>
                <w:rFonts w:ascii="Calibri" w:hAnsi="Calibri"/>
                <w:b w:val="0"/>
                <w:color w:val="1A1A1A"/>
                <w:sz w:val="20"/>
              </w:rPr>
              <w:br/>
              <w:br/>
            </w:r>
          </w:p>
        </w:tc>
      </w:tr>
    </w:tbl>
    <w:p/>
    <w:tbl>
      <w:tblPr>
        <w:tblW w:type="auto" w:w="0"/>
        <w:tblLook w:firstColumn="1" w:firstRow="1" w:lastColumn="0" w:lastRow="0" w:noHBand="0" w:noVBand="1" w:val="04A0"/>
      </w:tblPr>
      <w:tblGrid>
        <w:gridCol w:w="9632"/>
      </w:tblGrid>
      <w:tr>
        <w:tc>
          <w:tcPr>
            <w:tcW w:type="dxa" w:w="9632"/>
            <w:shd w:val="clear" w:color="auto" w:fill="1A1A1A"/>
          </w:tcPr>
          <w:p>
            <w:pPr>
              <w:spacing w:before="160" w:after="40"/>
              <w:jc w:val="center"/>
            </w:pPr>
            <w:r>
              <w:rPr>
                <w:b/>
                <w:color w:val="F5C400"/>
                <w:sz w:val="28"/>
              </w:rPr>
              <w:t>AIMARKTECH</w:t>
            </w:r>
          </w:p>
          <w:p>
            <w:pPr>
              <w:spacing w:after="160"/>
              <w:jc w:val="center"/>
            </w:pPr>
            <w:r>
              <w:rPr>
                <w:color w:val="FFFFFF"/>
                <w:sz w:val="21"/>
              </w:rPr>
              <w:t>Gracias por tu confianza. Estamos listos para hacer crecer Lopez Sealcoating.</w:t>
            </w:r>
          </w:p>
        </w:tc>
      </w:tr>
    </w:tbl>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