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📘 Manual de Arquitectura para Inmueble Advisor.</w:t>
      </w:r>
    </w:p>
    <w:p>
      <w:pPr>
        <w:spacing w:lineRule="auto"/>
      </w:pPr>
      <w:r>
        <w:rPr/>
        <w:t xml:space="preserve">Este manual establece las reglas y directrices esenciales para el diseño de sistemas de gran escala, priorizando la modularidad, la escalabilidad y la colaboración eficiente con herramientas de Agent Coding.</w:t>
      </w:r>
    </w:p>
    <w:p>
      <w:pPr>
        <w:spacing w:lineRule="auto"/>
      </w:pPr>
      <w:r>
        <w:rPr/>
        <w:t xml:space="preserve">I. Modelo de Estructura Principal: Modularidad y Desacoplamiento El diseño fundamental del sistema debe rechazar el modelo monolítico en favor de componentes pequeños e independientes.</w:t>
      </w:r>
    </w:p>
    <w:p>
      <w:pPr>
        <w:numPr>
          <w:ilvl w:val="0"/>
          <w:numId w:val="1"/>
        </w:numPr>
        <w:spacing w:lineRule="auto"/>
      </w:pPr>
      <w:r>
        <w:rPr/>
        <w:t xml:space="preserve">Principio: Arquitectura de Microservicios (o Servicios Bien Definidos) Descripción: La aplicación debe dividirse en servicios funcionales independientes que puedan desarrollarse, implementarse y escalarse de forma aislada.</w:t>
      </w:r>
    </w:p>
    <w:p>
      <w:pPr>
        <w:spacing w:lineRule="auto"/>
      </w:pPr>
      <w:r>
        <w:rPr/>
        <w:t xml:space="preserve">Implementación:</w:t>
      </w:r>
    </w:p>
    <w:p>
      <w:pPr>
        <w:spacing w:lineRule="auto"/>
      </w:pPr>
      <w:r>
        <w:rPr/>
        <w:t xml:space="preserve">Ámbito de Servicio: Cada servicio debe adherirse estrictamente al Principio de Responsabilidad Única (SRP). Un servicio debe resolver una única capacidad de negocio (ej. AuthService, PaymentService, InventoryService).</w:t>
      </w:r>
    </w:p>
    <w:p>
      <w:pPr>
        <w:spacing w:lineRule="auto"/>
      </w:pPr>
      <w:r>
        <w:rPr/>
        <w:t xml:space="preserve">Despliegue: Cada servicio debe ser autocontenido y desplegable por separado (usando Docker).</w:t>
      </w:r>
    </w:p>
    <w:p>
      <w:pPr>
        <w:spacing w:lineRule="auto"/>
      </w:pPr>
      <w:r>
        <w:rPr/>
        <w:t xml:space="preserve">Límites de Contexto (DDD): Los límites de los servicios deben coincidir con los Contextos Delimitados del negocio para evitar dependencias innecesarias.</w:t>
      </w:r>
    </w:p>
    <w:p>
      <w:pPr>
        <w:numPr>
          <w:ilvl w:val="0"/>
          <w:numId w:val="2"/>
        </w:numPr>
        <w:spacing w:lineRule="auto"/>
      </w:pPr>
      <w:r>
        <w:rPr/>
        <w:t xml:space="preserve">Contratos de Comunicación (APIs) Regla: La comunicación entre servicios debe realizarse a través de interfaces (APIs) bien definidas y versionadas.</w:t>
      </w:r>
    </w:p>
    <w:p>
      <w:pPr>
        <w:spacing w:lineRule="auto"/>
      </w:pPr>
      <w:r>
        <w:rPr/>
        <w:t xml:space="preserve">Tipos de Comunicación:</w:t>
      </w:r>
    </w:p>
    <w:p>
      <w:pPr>
        <w:spacing w:lineRule="auto"/>
      </w:pPr>
      <w:r>
        <w:rPr/>
        <w:t xml:space="preserve">Sincrónico (Consultas/Comandos): Utilizar REST o, preferiblemente, gRPC para la alta eficiencia y la generación automática de stubs (esquemas de datos).</w:t>
      </w:r>
    </w:p>
    <w:p>
      <w:pPr>
        <w:spacing w:lineRule="auto"/>
      </w:pPr>
      <w:r>
        <w:rPr/>
        <w:t xml:space="preserve">Asincrónico (Eventos/Notificaciones): Utilizar una Cola de Mensajes (Kafka, RabbitMQ, SQS) para la comunicación de eventos y tareas de fondo. Esto garantiza que los servicios no se bloqueen entre sí.</w:t>
      </w:r>
    </w:p>
    <w:p>
      <w:pPr>
        <w:spacing w:lineRule="auto"/>
      </w:pPr>
      <w:r>
        <w:rPr/>
        <w:t xml:space="preserve">Documentación: Todas las APIs deben ser documentadas formalmente (utilizando OpenAPI/Swagger para REST o archivos .proto para gRPC). Esto es crucial para la IA (Gemini) para entender cómo interactuar con el servicio.</w:t>
      </w:r>
    </w:p>
    <w:p>
      <w:pPr>
        <w:spacing w:lineRule="auto"/>
      </w:pPr>
      <w:r>
        <w:rPr/>
        <w:t xml:space="preserve">II. Capa de Datos y Persistencia Para una aplicación sofisticada, la dependencia de una única base de datos es una limitación inaceptable.</w:t>
      </w:r>
    </w:p>
    <w:p>
      <w:pPr>
        <w:numPr>
          <w:ilvl w:val="0"/>
          <w:numId w:val="3"/>
        </w:numPr>
        <w:spacing w:lineRule="auto"/>
      </w:pPr>
      <w:r>
        <w:rPr/>
        <w:t xml:space="preserve">Persistencia Políglota (Polyglot Persistence) Regla: Cada servicio es dueño de sus propios datos y tiene la libertad de elegir el tipo de base de datos que mejor se adapte a sus requisitos.</w:t>
      </w:r>
    </w:p>
    <w:p>
      <w:pPr>
        <w:spacing w:lineRule="auto"/>
      </w:pPr>
      <w:r>
        <w:rPr/>
        <w:t xml:space="preserve">Ejemplos de Uso:</w:t>
      </w:r>
    </w:p>
    <w:p>
      <w:pPr>
        <w:spacing w:lineRule="auto"/>
      </w:pPr>
      <w:r>
        <w:rPr/>
        <w:t xml:space="preserve">SQL (PostgreSQL, MySQL): Para datos transaccionales críticos que requieren ACID (Atomicidad, Consistencia, Aislamiento, Durabilidad).</w:t>
      </w:r>
    </w:p>
    <w:p>
      <w:pPr>
        <w:spacing w:lineRule="auto"/>
      </w:pPr>
      <w:r>
        <w:rPr/>
        <w:t xml:space="preserve">NoSQL (MongoDB, Cassandra): Para datos con esquemas flexibles, alto volumen de escritura o baja latencia.</w:t>
      </w:r>
    </w:p>
    <w:p>
      <w:pPr>
        <w:spacing w:lineRule="auto"/>
      </w:pPr>
      <w:r>
        <w:rPr/>
        <w:t xml:space="preserve">Key-Value (Redis, Memcached): Para caching rápido, almacenamiento de sesiones y colas de trabajo.</w:t>
      </w:r>
    </w:p>
    <w:p>
      <w:pPr>
        <w:spacing w:lineRule="auto"/>
      </w:pPr>
      <w:r>
        <w:rPr/>
        <w:t xml:space="preserve">Aislamiento: Un servicio nunca debe acceder directamente a la base de datos de otro servicio. Debe interactuar únicamente a través de su API.</w:t>
      </w:r>
    </w:p>
    <w:p>
      <w:pPr>
        <w:spacing w:lineRule="auto"/>
      </w:pPr>
      <w:r>
        <w:rPr/>
        <w:t xml:space="preserve">III. Directrices para la Colaboración con Agentes de Codificación Estas reglas están diseñadas para maximizar la eficiencia, la calidad y la comprensión de un agente de codificación como Gemini.</w:t>
      </w:r>
    </w:p>
    <w:p>
      <w:pPr>
        <w:numPr>
          <w:ilvl w:val="0"/>
          <w:numId w:val="4"/>
        </w:numPr>
        <w:spacing w:lineRule="auto"/>
      </w:pPr>
      <w:r>
        <w:rPr/>
        <w:t xml:space="preserve">Estructura y Nomenclatura Consistente Regla: Se debe aplicar una estructura de carpetas y nomenclatura de archivos idéntica en todos los microservicios.</w:t>
      </w:r>
    </w:p>
    <w:p>
      <w:pPr>
        <w:spacing w:lineRule="auto"/>
      </w:pPr>
      <w:r>
        <w:rPr/>
        <w:t xml:space="preserve">Estructura Típica Recomendada:</w:t>
      </w:r>
    </w:p>
    <w:p>
      <w:pPr>
        <w:spacing w:lineRule="auto"/>
      </w:pPr>
      <w:r>
        <w:rPr/>
        <w:t xml:space="preserve">/src: Código fuente.</w:t>
      </w:r>
    </w:p>
    <w:p>
      <w:pPr>
        <w:spacing w:lineRule="auto"/>
      </w:pPr>
      <w:r>
        <w:rPr/>
        <w:t xml:space="preserve">/src/models: Definiciones de datos (entidades).</w:t>
      </w:r>
    </w:p>
    <w:p>
      <w:pPr>
        <w:spacing w:lineRule="auto"/>
      </w:pPr>
      <w:r>
        <w:rPr/>
        <w:t xml:space="preserve">/src/repositories: Lógica de acceso a la base de datos.</w:t>
      </w:r>
    </w:p>
    <w:p>
      <w:pPr>
        <w:spacing w:lineRule="auto"/>
      </w:pPr>
      <w:r>
        <w:rPr/>
        <w:t xml:space="preserve">/src/services: Lógica de negocio principal (la orquestación de la aplicación).</w:t>
      </w:r>
    </w:p>
    <w:p>
      <w:pPr>
        <w:spacing w:lineRule="auto"/>
      </w:pPr>
      <w:r>
        <w:rPr/>
        <w:t xml:space="preserve">/src/controllers (o handlers): Lógica de entrada/salida de la API.</w:t>
      </w:r>
    </w:p>
    <w:p>
      <w:pPr>
        <w:spacing w:lineRule="auto"/>
      </w:pPr>
      <w:r>
        <w:rPr/>
        <w:t xml:space="preserve">/tests: Pruebas unitarias y de integración.</w:t>
      </w:r>
    </w:p>
    <w:p>
      <w:pPr>
        <w:spacing w:lineRule="auto"/>
      </w:pPr>
      <w:r>
        <w:rPr/>
        <w:t xml:space="preserve">Ventaja con Gemini: Al pedirle a Gemini que "agregue la lógica de validación", sabrá automáticamente que debe modificar o crear código en el directorio /src/services.</w:t>
      </w:r>
    </w:p>
    <w:p>
      <w:pPr>
        <w:numPr>
          <w:ilvl w:val="0"/>
          <w:numId w:val="5"/>
        </w:numPr>
        <w:spacing w:lineRule="auto"/>
      </w:pPr>
      <w:r>
        <w:rPr/>
        <w:t xml:space="preserve">Pruebas Automatizadas como Especificación Regla: El código debe tener una alta cobertura de pruebas (Unitarias, de Integración y, si es necesario, End-to-End).</w:t>
      </w:r>
    </w:p>
    <w:p>
      <w:pPr>
        <w:spacing w:lineRule="auto"/>
      </w:pPr>
      <w:r>
        <w:rPr/>
        <w:t xml:space="preserve">Propósito Didáctico: Las pruebas no solo validan el código, sino que también actúan como una especificación ejecutable.</w:t>
      </w:r>
    </w:p>
    <w:p>
      <w:pPr>
        <w:spacing w:lineRule="auto"/>
      </w:pPr>
      <w:r>
        <w:rPr/>
        <w:t xml:space="preserve">Si le pides a Gemini que refactorice una función, el suite de pruebas le indica a la IA (y al desarrollador) exactamente lo que se espera que haga la función.</w:t>
      </w:r>
    </w:p>
    <w:p>
      <w:pPr>
        <w:spacing w:lineRule="auto"/>
      </w:pPr>
      <w:r>
        <w:rPr/>
        <w:t xml:space="preserve">Todo el código generado o modificado por el agente de codificación debe pasar todas las pruebas existentes antes de su integración.</w:t>
      </w:r>
    </w:p>
    <w:p>
      <w:pPr>
        <w:numPr>
          <w:ilvl w:val="0"/>
          <w:numId w:val="6"/>
        </w:numPr>
        <w:spacing w:lineRule="auto"/>
      </w:pPr>
      <w:r>
        <w:rPr/>
        <w:t xml:space="preserve">Configuración de Entorno Declarativa (I.A.C.) Regla: Se debe utilizar Infraestructura como Código (IaC), como Docker, para definir cómo se empaqueta cada servicio y Kubernetes (o Terraform/CloudFormation) para definir cómo se implementa y escala en la nube.</w:t>
      </w:r>
    </w:p>
    <w:p>
      <w:pPr>
        <w:spacing w:lineRule="auto"/>
      </w:pPr>
      <w:r>
        <w:rPr/>
        <w:t xml:space="preserve">Facilita a Gemini: Permite al agente de codificación generar configuraciones de deployment (como archivos deployment.yaml o docker-compose.yml) con contexto y precisión, sin tener que asumir detalles del entorno.</w:t>
      </w:r>
    </w:p>
    <w:p>
      <w:pPr>
        <w:spacing w:lineRule="auto"/>
      </w:pPr>
      <w:r>
        <w:rPr/>
        <w:t xml:space="preserve">IV. Gestión de la Complejidad y Calidad Estas reglas aseguran que el código sea mantenible a largo plazo, independientemente de quién o qué lo escriba.</w:t>
      </w:r>
    </w:p>
    <w:p>
      <w:pPr>
        <w:numPr>
          <w:ilvl w:val="0"/>
          <w:numId w:val="7"/>
        </w:numPr>
        <w:spacing w:lineRule="auto"/>
      </w:pPr>
      <w:r>
        <w:rPr/>
        <w:t xml:space="preserve">Principio DRY y Bibliotecas Compartidas Regla: Las funciones transversales (ej. manejo de errores, logging, utilidades de fecha, validación de JWT) deben abstraerse en bibliotecas internas compartidas.</w:t>
      </w:r>
    </w:p>
    <w:p>
      <w:pPr>
        <w:spacing w:lineRule="auto"/>
      </w:pPr>
      <w:r>
        <w:rPr/>
        <w:t xml:space="preserve">Mecanismo: Estas bibliotecas deben publicarse y consumirse como dependencias en cada microservicio, evitando la copia de código que dificulta la refactorización a gran escala.</w:t>
      </w:r>
    </w:p>
    <w:p>
      <w:pPr>
        <w:numPr>
          <w:ilvl w:val="0"/>
          <w:numId w:val="8"/>
        </w:numPr>
        <w:spacing w:lineRule="auto"/>
      </w:pPr>
      <w:r>
        <w:rPr/>
        <w:t xml:space="preserve">Arquitectura de Decisión Registrada (ADR) Regla: Toda decisión arquitectónica significativa debe documentarse formalmente.</w:t>
      </w:r>
    </w:p>
    <w:p>
      <w:pPr>
        <w:spacing w:lineRule="auto"/>
      </w:pPr>
      <w:r>
        <w:rPr/>
        <w:t xml:space="preserve">Formato Recomendado: Architecture Decision Record (ADR). Un ADR explica el contexto, la decisión tomada, las alternativas consideradas y las consecuencias.</w:t>
      </w:r>
    </w:p>
    <w:p>
      <w:pPr>
        <w:spacing w:lineRule="auto"/>
      </w:pPr>
      <w:r>
        <w:rPr/>
        <w:t xml:space="preserve">Propósito: Proporciona un registro histórico y contextual que es vital para la incorporación de nuevos miembros (humanos o IA) y para justificar el diseño del sistema.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