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rial" w:cs="Arial" w:eastAsia="Arial" w:hAnsi="Arial"/>
          <w:b/>
          <w:bCs/>
          <w:sz w:val="36"/>
          <w:szCs w:val="36"/>
        </w:rPr>
        <w:t xml:space="preserve">Leading Peptide to the Funnel</w:t>
      </w:r>
    </w:p>
    <w:p>
      <w:pPr>
        <w:spacing w:after="240"/>
        <w:jc w:val="center"/>
      </w:pPr>
      <w:r>
        <w:rPr>
          <w:rFonts w:ascii="Arial" w:cs="Arial" w:eastAsia="Arial" w:hAnsi="Arial"/>
          <w:sz w:val="28"/>
          <w:szCs w:val="28"/>
        </w:rPr>
        <w:t xml:space="preserve">Computational Design of α-Helix Stabilizing Mutations</w:t>
      </w:r>
    </w:p>
    <w:p>
      <w:pPr>
        <w:spacing w:after="240"/>
        <w:jc w:val="center"/>
      </w:pPr>
      <w:r>
        <w:rPr>
          <w:rFonts w:ascii="Arial" w:cs="Arial" w:eastAsia="Arial" w:hAnsi="Arial"/>
          <w:sz w:val="28"/>
          <w:szCs w:val="28"/>
        </w:rPr>
        <w:t xml:space="preserve">Blocking the Prion Transition PrP^C → PrP^Sc</w:t>
      </w:r>
    </w:p>
    <w:p>
      <w:pPr>
        <w:spacing w:after="480"/>
        <w:jc w:val="center"/>
      </w:pPr>
      <w:r>
        <w:rPr>
          <w:rFonts w:ascii="Arial" w:cs="Arial" w:eastAsia="Arial" w:hAnsi="Arial"/>
          <w:sz w:val="24"/>
          <w:szCs w:val="24"/>
        </w:rPr>
        <w:t xml:space="preserve">Using the Damietta Engine for Protein Design</w:t>
      </w:r>
    </w:p>
    <w:r>
      <w:br w:type="page"/>
    </w:r>
    <w:p>
      <w:pPr>
        <w:pStyle w:val="Heading1"/>
      </w:pPr>
      <w:r>
        <w:t xml:space="preserve">1. Introduction</w:t>
      </w:r>
    </w:p>
    <w:p>
      <w:pPr>
        <w:spacing w:after="180"/>
      </w:pPr>
      <w:r>
        <w:t xml:space="preserve">Prion diseases represent a unique class of neurodegenerative disorders characterized by the conversion of the normal cellular prion protein (PrP^C) into its pathogenic scrapie form (PrP^Sc). This conformational transition involves a dramatic structural rearrangement from α-helical to β-sheet secondary structure, leading to protein aggregation and neurotoxicity.</w:t>
      </w:r>
    </w:p>
    <w:p>
      <w:pPr>
        <w:spacing w:after="180"/>
      </w:pPr>
      <w:r>
        <w:t xml:space="preserve">The prion core region (residues 106-126) with sequence KTNMKHMAGAAAAGAVVGGLG represents the most critical segment for this pathogenic transition. This 21-residue peptide contains multiple structural vulnerabilities that facilitate β-sheet formation, including flexible glycine residues and an oxidation-susceptible methionine.</w:t>
      </w:r>
    </w:p>
    <w:p>
      <w:pPr>
        <w:spacing w:after="180"/>
      </w:pPr>
      <w:r>
        <w:t xml:space="preserve">Our objective was to use computational protein design to engineer mutations that stabilize the healthy α-helical conformation, thereby creating a thermodynamic barrier to prion conversion. Using the Damietta engine for energy-based optimization, we systematically targeted structural hotspots to achieve thermodynamic dominance of the native fold.</w:t>
      </w:r>
    </w:p>
    <w:p>
      <w:pPr>
        <w:pStyle w:val="Heading1"/>
      </w:pPr>
      <w:r>
        <w:t xml:space="preserve">2. Methods</w:t>
      </w:r>
    </w:p>
    <w:p>
      <w:pPr>
        <w:pStyle w:val="Heading2"/>
      </w:pPr>
      <w:r>
        <w:t xml:space="preserve">2.1 Structure Preparation and Baseline Analysis</w:t>
      </w:r>
    </w:p>
    <w:p>
      <w:pPr>
        <w:spacing w:after="180"/>
      </w:pPr>
      <w:r>
        <w:t xml:space="preserve">The prion core structure was prepared using VMD with CHARMM force field typing to ensure proper hydrogen placement and atom nomenclature. Baseline energy calculations were performed using the Static Energy (SE) module of the Damietta engine, yielding a reference energy of -1.1096 kcal/mol.</w:t>
      </w:r>
    </w:p>
    <w:p>
      <w:pPr>
        <w:pStyle w:val="Heading2"/>
      </w:pPr>
      <w:r>
        <w:t xml:space="preserve">2.2 Hotspot Identification and Mutation Strategy</w:t>
      </w:r>
    </w:p>
    <w:p>
      <w:pPr>
        <w:spacing w:after="180"/>
      </w:pPr>
      <w:r>
        <w:t xml:space="preserve">Structural analysis identified five critical positions for α-helix stabilization:</w:t>
      </w:r>
    </w:p>
    <w:p>
      <w:pPr>
        <w:spacing w:after="120"/>
      </w:pPr>
      <w:r>
        <w:t xml:space="preserve">• Position 7 (Methionine): Susceptible to oxidation leading to structural destabilization</w:t>
      </w:r>
    </w:p>
    <w:p>
      <w:pPr>
        <w:spacing w:after="120"/>
      </w:pPr>
      <w:r>
        <w:t xml:space="preserve">• Position 9 (Glycine): Creates flexibility in the β-sheet prone AGAAA region</w:t>
      </w:r>
    </w:p>
    <w:p>
      <w:pPr>
        <w:spacing w:after="120"/>
      </w:pPr>
      <w:r>
        <w:t xml:space="preserve">• Position 14 (Glycine): Disrupts helical geometry through backbone flexibility</w:t>
      </w:r>
    </w:p>
    <w:p>
      <w:pPr>
        <w:spacing w:after="120"/>
      </w:pPr>
      <w:r>
        <w:t xml:space="preserve">• Positions 18-19 (Glycine-Glycine): Extreme flexibility motif enabling β-sheet nucleation</w:t>
      </w:r>
    </w:p>
    <w:p>
      <w:pPr>
        <w:spacing w:after="180"/>
      </w:pPr>
      <w:r>
        <w:t xml:space="preserve">The mutation strategy focused on replacing flexible glycines with helix-promoting residues (glutamate, lysine, alanine) and substituting methionine with oxidation-resistant hydrophobic residues (phenylalanine, leucine, isoleucine).</w:t>
      </w:r>
    </w:p>
    <w:p>
      <w:pPr>
        <w:pStyle w:val="Heading2"/>
      </w:pPr>
      <w:r>
        <w:t xml:space="preserve">2.3 Combinatorial Sampling</w:t>
      </w:r>
    </w:p>
    <w:p>
      <w:pPr>
        <w:spacing w:after="180"/>
      </w:pPr>
      <w:r>
        <w:t xml:space="preserve">Combinatorial sampling was performed using the cs_f2m2f module of Damietta with systematic exploration of mutation combinations. Multiple sampling rounds were conducted with varying complexity to generate a diverse ensemble of stabilized designs. Energy scoring utilized standard Damietta parameters with balanced weighting: w_pp=1.0, w_k=1.0, w_lj=1.0, w_solv=1.0, w_elec=0.25, targeting up to 3 mutations per design across 5 sampling paths.</w:t>
      </w:r>
    </w:p>
    <w:p>
      <w:pPr>
        <w:pStyle w:val="Heading1"/>
      </w:pPr>
      <w:r>
        <w:t xml:space="preserve">3. Results</w:t>
      </w:r>
    </w:p>
    <w:p>
      <w:pPr>
        <w:pStyle w:val="Heading2"/>
      </w:pPr>
      <w:r>
        <w:t xml:space="preserve">3.1 Energy Optimization Success</w:t>
      </w:r>
    </w:p>
    <w:p>
      <w:pPr>
        <w:spacing w:after="180"/>
      </w:pPr>
      <w:r>
        <w:t xml:space="preserve">Combinatorial sampling successfully generated 9 unique designs with energies significantly lower than the baseline. The best design (Design 7) achieved an energy of -3.6029 kcal/mol, representing a remarkable 2.4933 kcal/mol improvement (224.7% relative improvement) over the wild-type sequence.</w:t>
      </w:r>
    </w:p>
    <w:p>
      <w:pPr>
        <w:spacing w:before="240" w:after="180"/>
      </w:pPr>
      <w:r>
        <w:rPr>
          <w:b/>
          <w:bCs/>
        </w:rPr>
        <w:t xml:space="preserve">Table 1: Complete Perfection Leaderboard - All Designed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50"/>
        <w:gridCol w:w="1580"/>
        <w:gridCol w:w="1580"/>
        <w:gridCol w:w="1580"/>
        <w:gridCol w:w="1990"/>
      </w:tblGrid>
      <w:tr>
        <w:tc>
          <w:tcPr>
            <w:tcW w:type="dxa" w:w="1680"/>
            <w:tcBorders>
              <w:top w:val="single" w:color="000000" w:sz="1"/>
              <w:left w:val="single" w:color="000000" w:sz="1"/>
              <w:bottom w:val="single" w:color="000000" w:sz="1"/>
              <w:right w:val="single" w:color="000000" w:sz="1"/>
            </w:tcBorders>
            <w:shd w:fill="E8F4FD" w:val="clear"/>
          </w:tcPr>
          <w:p>
            <w:r>
              <w:rPr>
                <w:b/>
                <w:bCs/>
              </w:rPr>
              <w:t xml:space="preserve">Design</w:t>
            </w:r>
          </w:p>
        </w:tc>
        <w:tc>
          <w:tcPr>
            <w:tcW w:type="dxa" w:w="1950"/>
            <w:tcBorders>
              <w:top w:val="single" w:color="000000" w:sz="1"/>
              <w:left w:val="single" w:color="000000" w:sz="1"/>
              <w:bottom w:val="single" w:color="000000" w:sz="1"/>
              <w:right w:val="single" w:color="000000" w:sz="1"/>
            </w:tcBorders>
            <w:shd w:fill="E8F4FD" w:val="clear"/>
          </w:tcPr>
          <w:p>
            <w:r>
              <w:rPr>
                <w:b/>
                <w:bCs/>
              </w:rPr>
              <w:t xml:space="preserve">Energy (kcal/mol)</w:t>
            </w:r>
          </w:p>
        </w:tc>
        <w:tc>
          <w:tcPr>
            <w:tcW w:type="dxa" w:w="1580"/>
            <w:tcBorders>
              <w:top w:val="single" w:color="000000" w:sz="1"/>
              <w:left w:val="single" w:color="000000" w:sz="1"/>
              <w:bottom w:val="single" w:color="000000" w:sz="1"/>
              <w:right w:val="single" w:color="000000" w:sz="1"/>
            </w:tcBorders>
            <w:shd w:fill="E8F4FD" w:val="clear"/>
          </w:tcPr>
          <w:p>
            <w:r>
              <w:rPr>
                <w:b/>
                <w:bCs/>
              </w:rPr>
              <w:t xml:space="preserve">RMSD (Å)</w:t>
            </w:r>
          </w:p>
        </w:tc>
        <w:tc>
          <w:tcPr>
            <w:tcW w:type="dxa" w:w="1580"/>
            <w:tcBorders>
              <w:top w:val="single" w:color="000000" w:sz="1"/>
              <w:left w:val="single" w:color="000000" w:sz="1"/>
              <w:bottom w:val="single" w:color="000000" w:sz="1"/>
              <w:right w:val="single" w:color="000000" w:sz="1"/>
            </w:tcBorders>
            <w:shd w:fill="E8F4FD" w:val="clear"/>
          </w:tcPr>
          <w:p>
            <w:r>
              <w:rPr>
                <w:b/>
                <w:bCs/>
              </w:rPr>
              <w:t xml:space="preserve">Population (%)</w:t>
            </w:r>
          </w:p>
        </w:tc>
        <w:tc>
          <w:tcPr>
            <w:tcW w:type="dxa" w:w="1580"/>
            <w:tcBorders>
              <w:top w:val="single" w:color="000000" w:sz="1"/>
              <w:left w:val="single" w:color="000000" w:sz="1"/>
              <w:bottom w:val="single" w:color="000000" w:sz="1"/>
              <w:right w:val="single" w:color="000000" w:sz="1"/>
            </w:tcBorders>
            <w:shd w:fill="E8F4FD" w:val="clear"/>
          </w:tcPr>
          <w:p>
            <w:r>
              <w:rPr>
                <w:b/>
                <w:bCs/>
              </w:rPr>
              <w:t xml:space="preserve">Improvement (kcal/mol)</w:t>
            </w:r>
          </w:p>
        </w:tc>
      </w:tr>
      <w:tr>
        <w:tc>
          <w:tcPr>
            <w:tcW w:type="dxa" w:w="1680"/>
            <w:tcBorders>
              <w:top w:val="single" w:color="CCCCCC" w:sz="1"/>
              <w:left w:val="single" w:color="CCCCCC" w:sz="1"/>
              <w:bottom w:val="single" w:color="CCCCCC" w:sz="1"/>
              <w:right w:val="single" w:color="CCCCCC" w:sz="1"/>
            </w:tcBorders>
            <w:shd w:fill="E8FFE8" w:val="clear"/>
          </w:tcPr>
          <w:p>
            <w:r>
              <w:rPr>
                <w:b/>
                <w:bCs/>
              </w:rPr>
              <w:t xml:space="preserve">Design 7</w:t>
            </w:r>
          </w:p>
        </w:tc>
        <w:tc>
          <w:tcPr>
            <w:tcW w:type="dxa" w:w="1950"/>
            <w:tcBorders>
              <w:top w:val="single" w:color="CCCCCC" w:sz="1"/>
              <w:left w:val="single" w:color="CCCCCC" w:sz="1"/>
              <w:bottom w:val="single" w:color="CCCCCC" w:sz="1"/>
              <w:right w:val="single" w:color="CCCCCC" w:sz="1"/>
            </w:tcBorders>
            <w:shd w:fill="E8FFE8" w:val="clear"/>
          </w:tcPr>
          <w:p>
            <w:r>
              <w:rPr>
                <w:b/>
                <w:bCs/>
              </w:rPr>
              <w:t xml:space="preserve">-3.6029</w:t>
            </w:r>
          </w:p>
        </w:tc>
        <w:tc>
          <w:tcPr>
            <w:tcW w:type="dxa" w:w="1580"/>
            <w:tcBorders>
              <w:top w:val="single" w:color="CCCCCC" w:sz="1"/>
              <w:left w:val="single" w:color="CCCCCC" w:sz="1"/>
              <w:bottom w:val="single" w:color="CCCCCC" w:sz="1"/>
              <w:right w:val="single" w:color="CCCCCC" w:sz="1"/>
            </w:tcBorders>
            <w:shd w:fill="E8FFE8" w:val="clear"/>
          </w:tcPr>
          <w:p>
            <w:r>
              <w:t xml:space="preserve">0.820</w:t>
            </w:r>
          </w:p>
        </w:tc>
        <w:tc>
          <w:tcPr>
            <w:tcW w:type="dxa" w:w="1580"/>
            <w:tcBorders>
              <w:top w:val="single" w:color="CCCCCC" w:sz="1"/>
              <w:left w:val="single" w:color="CCCCCC" w:sz="1"/>
              <w:bottom w:val="single" w:color="CCCCCC" w:sz="1"/>
              <w:right w:val="single" w:color="CCCCCC" w:sz="1"/>
            </w:tcBorders>
            <w:shd w:fill="E8FFE8" w:val="clear"/>
          </w:tcPr>
          <w:p>
            <w:r>
              <w:rPr>
                <w:b/>
                <w:bCs/>
              </w:rPr>
              <w:t xml:space="preserve">30.7</w:t>
            </w:r>
          </w:p>
        </w:tc>
        <w:tc>
          <w:tcPr>
            <w:tcW w:type="dxa" w:w="1580"/>
            <w:tcBorders>
              <w:top w:val="single" w:color="CCCCCC" w:sz="1"/>
              <w:left w:val="single" w:color="CCCCCC" w:sz="1"/>
              <w:bottom w:val="single" w:color="CCCCCC" w:sz="1"/>
              <w:right w:val="single" w:color="CCCCCC" w:sz="1"/>
            </w:tcBorders>
            <w:shd w:fill="E8FFE8" w:val="clear"/>
          </w:tcPr>
          <w:p>
            <w:r>
              <w:rPr>
                <w:b/>
                <w:bCs/>
              </w:rPr>
              <w:t xml:space="preserve">+2.493</w:t>
            </w:r>
          </w:p>
        </w:tc>
      </w:tr>
      <w:tr>
        <w:tc>
          <w:tcPr>
            <w:tcW w:type="dxa" w:w="1680"/>
            <w:tcBorders>
              <w:top w:val="single" w:color="CCCCCC" w:sz="1"/>
              <w:left w:val="single" w:color="CCCCCC" w:sz="1"/>
              <w:bottom w:val="single" w:color="CCCCCC" w:sz="1"/>
              <w:right w:val="single" w:color="CCCCCC" w:sz="1"/>
            </w:tcBorders>
          </w:tcPr>
          <w:p>
            <w:r>
              <w:t xml:space="preserve">Design 4</w:t>
            </w:r>
          </w:p>
        </w:tc>
        <w:tc>
          <w:tcPr>
            <w:tcW w:type="dxa" w:w="1950"/>
            <w:tcBorders>
              <w:top w:val="single" w:color="CCCCCC" w:sz="1"/>
              <w:left w:val="single" w:color="CCCCCC" w:sz="1"/>
              <w:bottom w:val="single" w:color="CCCCCC" w:sz="1"/>
              <w:right w:val="single" w:color="CCCCCC" w:sz="1"/>
            </w:tcBorders>
          </w:tcPr>
          <w:p>
            <w:r>
              <w:t xml:space="preserve">-3.1171</w:t>
            </w:r>
          </w:p>
        </w:tc>
        <w:tc>
          <w:tcPr>
            <w:tcW w:type="dxa" w:w="1580"/>
            <w:tcBorders>
              <w:top w:val="single" w:color="CCCCCC" w:sz="1"/>
              <w:left w:val="single" w:color="CCCCCC" w:sz="1"/>
              <w:bottom w:val="single" w:color="CCCCCC" w:sz="1"/>
              <w:right w:val="single" w:color="CCCCCC" w:sz="1"/>
            </w:tcBorders>
          </w:tcPr>
          <w:p>
            <w:r>
              <w:t xml:space="preserve">0.635</w:t>
            </w:r>
          </w:p>
        </w:tc>
        <w:tc>
          <w:tcPr>
            <w:tcW w:type="dxa" w:w="1580"/>
            <w:tcBorders>
              <w:top w:val="single" w:color="CCCCCC" w:sz="1"/>
              <w:left w:val="single" w:color="CCCCCC" w:sz="1"/>
              <w:bottom w:val="single" w:color="CCCCCC" w:sz="1"/>
              <w:right w:val="single" w:color="CCCCCC" w:sz="1"/>
            </w:tcBorders>
          </w:tcPr>
          <w:p>
            <w:r>
              <w:t xml:space="preserve">13.6</w:t>
            </w:r>
          </w:p>
        </w:tc>
        <w:tc>
          <w:tcPr>
            <w:tcW w:type="dxa" w:w="1580"/>
            <w:tcBorders>
              <w:top w:val="single" w:color="CCCCCC" w:sz="1"/>
              <w:left w:val="single" w:color="CCCCCC" w:sz="1"/>
              <w:bottom w:val="single" w:color="CCCCCC" w:sz="1"/>
              <w:right w:val="single" w:color="CCCCCC" w:sz="1"/>
            </w:tcBorders>
          </w:tcPr>
          <w:p>
            <w:r>
              <w:t xml:space="preserve">+2.008</w:t>
            </w:r>
          </w:p>
        </w:tc>
      </w:tr>
      <w:tr>
        <w:tc>
          <w:tcPr>
            <w:tcW w:type="dxa" w:w="1680"/>
            <w:tcBorders>
              <w:top w:val="single" w:color="CCCCCC" w:sz="1"/>
              <w:left w:val="single" w:color="CCCCCC" w:sz="1"/>
              <w:bottom w:val="single" w:color="CCCCCC" w:sz="1"/>
              <w:right w:val="single" w:color="CCCCCC" w:sz="1"/>
            </w:tcBorders>
          </w:tcPr>
          <w:p>
            <w:r>
              <w:t xml:space="preserve">Design 9</w:t>
            </w:r>
          </w:p>
        </w:tc>
        <w:tc>
          <w:tcPr>
            <w:tcW w:type="dxa" w:w="1950"/>
            <w:tcBorders>
              <w:top w:val="single" w:color="CCCCCC" w:sz="1"/>
              <w:left w:val="single" w:color="CCCCCC" w:sz="1"/>
              <w:bottom w:val="single" w:color="CCCCCC" w:sz="1"/>
              <w:right w:val="single" w:color="CCCCCC" w:sz="1"/>
            </w:tcBorders>
          </w:tcPr>
          <w:p>
            <w:r>
              <w:t xml:space="preserve">-3.1071</w:t>
            </w:r>
          </w:p>
        </w:tc>
        <w:tc>
          <w:tcPr>
            <w:tcW w:type="dxa" w:w="1580"/>
            <w:tcBorders>
              <w:top w:val="single" w:color="CCCCCC" w:sz="1"/>
              <w:left w:val="single" w:color="CCCCCC" w:sz="1"/>
              <w:bottom w:val="single" w:color="CCCCCC" w:sz="1"/>
              <w:right w:val="single" w:color="CCCCCC" w:sz="1"/>
            </w:tcBorders>
          </w:tcPr>
          <w:p>
            <w:r>
              <w:t xml:space="preserve">0.661</w:t>
            </w:r>
          </w:p>
        </w:tc>
        <w:tc>
          <w:tcPr>
            <w:tcW w:type="dxa" w:w="1580"/>
            <w:tcBorders>
              <w:top w:val="single" w:color="CCCCCC" w:sz="1"/>
              <w:left w:val="single" w:color="CCCCCC" w:sz="1"/>
              <w:bottom w:val="single" w:color="CCCCCC" w:sz="1"/>
              <w:right w:val="single" w:color="CCCCCC" w:sz="1"/>
            </w:tcBorders>
          </w:tcPr>
          <w:p>
            <w:r>
              <w:t xml:space="preserve">13.4</w:t>
            </w:r>
          </w:p>
        </w:tc>
        <w:tc>
          <w:tcPr>
            <w:tcW w:type="dxa" w:w="1580"/>
            <w:tcBorders>
              <w:top w:val="single" w:color="CCCCCC" w:sz="1"/>
              <w:left w:val="single" w:color="CCCCCC" w:sz="1"/>
              <w:bottom w:val="single" w:color="CCCCCC" w:sz="1"/>
              <w:right w:val="single" w:color="CCCCCC" w:sz="1"/>
            </w:tcBorders>
          </w:tcPr>
          <w:p>
            <w:r>
              <w:t xml:space="preserve">+1.998</w:t>
            </w:r>
          </w:p>
        </w:tc>
      </w:tr>
      <w:tr>
        <w:tc>
          <w:tcPr>
            <w:tcW w:type="dxa" w:w="1680"/>
            <w:tcBorders>
              <w:top w:val="single" w:color="CCCCCC" w:sz="1"/>
              <w:left w:val="single" w:color="CCCCCC" w:sz="1"/>
              <w:bottom w:val="single" w:color="CCCCCC" w:sz="1"/>
              <w:right w:val="single" w:color="CCCCCC" w:sz="1"/>
            </w:tcBorders>
          </w:tcPr>
          <w:p>
            <w:r>
              <w:t xml:space="preserve">Design 5</w:t>
            </w:r>
          </w:p>
        </w:tc>
        <w:tc>
          <w:tcPr>
            <w:tcW w:type="dxa" w:w="1950"/>
            <w:tcBorders>
              <w:top w:val="single" w:color="CCCCCC" w:sz="1"/>
              <w:left w:val="single" w:color="CCCCCC" w:sz="1"/>
              <w:bottom w:val="single" w:color="CCCCCC" w:sz="1"/>
              <w:right w:val="single" w:color="CCCCCC" w:sz="1"/>
            </w:tcBorders>
          </w:tcPr>
          <w:p>
            <w:r>
              <w:t xml:space="preserve">-3.0073</w:t>
            </w:r>
          </w:p>
        </w:tc>
        <w:tc>
          <w:tcPr>
            <w:tcW w:type="dxa" w:w="1580"/>
            <w:tcBorders>
              <w:top w:val="single" w:color="CCCCCC" w:sz="1"/>
              <w:left w:val="single" w:color="CCCCCC" w:sz="1"/>
              <w:bottom w:val="single" w:color="CCCCCC" w:sz="1"/>
              <w:right w:val="single" w:color="CCCCCC" w:sz="1"/>
            </w:tcBorders>
          </w:tcPr>
          <w:p>
            <w:r>
              <w:t xml:space="preserve">0.662</w:t>
            </w:r>
          </w:p>
        </w:tc>
        <w:tc>
          <w:tcPr>
            <w:tcW w:type="dxa" w:w="1580"/>
            <w:tcBorders>
              <w:top w:val="single" w:color="CCCCCC" w:sz="1"/>
              <w:left w:val="single" w:color="CCCCCC" w:sz="1"/>
              <w:bottom w:val="single" w:color="CCCCCC" w:sz="1"/>
              <w:right w:val="single" w:color="CCCCCC" w:sz="1"/>
            </w:tcBorders>
          </w:tcPr>
          <w:p>
            <w:r>
              <w:t xml:space="preserve">11.3</w:t>
            </w:r>
          </w:p>
        </w:tc>
        <w:tc>
          <w:tcPr>
            <w:tcW w:type="dxa" w:w="1580"/>
            <w:tcBorders>
              <w:top w:val="single" w:color="CCCCCC" w:sz="1"/>
              <w:left w:val="single" w:color="CCCCCC" w:sz="1"/>
              <w:bottom w:val="single" w:color="CCCCCC" w:sz="1"/>
              <w:right w:val="single" w:color="CCCCCC" w:sz="1"/>
            </w:tcBorders>
          </w:tcPr>
          <w:p>
            <w:r>
              <w:t xml:space="preserve">+1.898</w:t>
            </w:r>
          </w:p>
        </w:tc>
      </w:tr>
      <w:tr>
        <w:tc>
          <w:tcPr>
            <w:tcW w:type="dxa" w:w="1680"/>
            <w:tcBorders>
              <w:top w:val="single" w:color="CCCCCC" w:sz="1"/>
              <w:left w:val="single" w:color="CCCCCC" w:sz="1"/>
              <w:bottom w:val="single" w:color="CCCCCC" w:sz="1"/>
              <w:right w:val="single" w:color="CCCCCC" w:sz="1"/>
            </w:tcBorders>
            <w:shd w:fill="FFE8E8" w:val="clear"/>
          </w:tcPr>
          <w:p>
            <w:r>
              <w:rPr>
                <w:b/>
                <w:bCs/>
              </w:rPr>
              <w:t xml:space="preserve">Baseline</w:t>
            </w:r>
          </w:p>
        </w:tc>
        <w:tc>
          <w:tcPr>
            <w:tcW w:type="dxa" w:w="1950"/>
            <w:tcBorders>
              <w:top w:val="single" w:color="CCCCCC" w:sz="1"/>
              <w:left w:val="single" w:color="CCCCCC" w:sz="1"/>
              <w:bottom w:val="single" w:color="CCCCCC" w:sz="1"/>
              <w:right w:val="single" w:color="CCCCCC" w:sz="1"/>
            </w:tcBorders>
            <w:shd w:fill="FFE8E8" w:val="clear"/>
          </w:tcPr>
          <w:p>
            <w:r>
              <w:rPr>
                <w:b/>
                <w:bCs/>
              </w:rPr>
              <w:t xml:space="preserve">-1.1096</w:t>
            </w:r>
          </w:p>
        </w:tc>
        <w:tc>
          <w:tcPr>
            <w:tcW w:type="dxa" w:w="1580"/>
            <w:tcBorders>
              <w:top w:val="single" w:color="CCCCCC" w:sz="1"/>
              <w:left w:val="single" w:color="CCCCCC" w:sz="1"/>
              <w:bottom w:val="single" w:color="CCCCCC" w:sz="1"/>
              <w:right w:val="single" w:color="CCCCCC" w:sz="1"/>
            </w:tcBorders>
            <w:shd w:fill="FFE8E8" w:val="clear"/>
          </w:tcPr>
          <w:p>
            <w:r>
              <w:t xml:space="preserve">0.000</w:t>
            </w:r>
          </w:p>
        </w:tc>
        <w:tc>
          <w:tcPr>
            <w:tcW w:type="dxa" w:w="1580"/>
            <w:tcBorders>
              <w:top w:val="single" w:color="CCCCCC" w:sz="1"/>
              <w:left w:val="single" w:color="CCCCCC" w:sz="1"/>
              <w:bottom w:val="single" w:color="CCCCCC" w:sz="1"/>
              <w:right w:val="single" w:color="CCCCCC" w:sz="1"/>
            </w:tcBorders>
            <w:shd w:fill="FFE8E8" w:val="clear"/>
          </w:tcPr>
          <w:p>
            <w:r>
              <w:rPr>
                <w:b/>
                <w:bCs/>
              </w:rPr>
              <w:t xml:space="preserve">0.5</w:t>
            </w:r>
          </w:p>
        </w:tc>
        <w:tc>
          <w:tcPr>
            <w:tcW w:type="dxa" w:w="1580"/>
            <w:tcBorders>
              <w:top w:val="single" w:color="CCCCCC" w:sz="1"/>
              <w:left w:val="single" w:color="CCCCCC" w:sz="1"/>
              <w:bottom w:val="single" w:color="CCCCCC" w:sz="1"/>
              <w:right w:val="single" w:color="CCCCCC" w:sz="1"/>
            </w:tcBorders>
            <w:shd w:fill="FFE8E8" w:val="clear"/>
          </w:tcPr>
          <w:p>
            <w:r>
              <w:t xml:space="preserve">--</w:t>
            </w:r>
          </w:p>
        </w:tc>
      </w:tr>
    </w:tbl>
    <w:p>
      <w:pPr>
        <w:pStyle w:val="Heading2"/>
      </w:pPr>
      <w:r>
        <w:t xml:space="preserve">3.2 Structural Preservation</w:t>
      </w:r>
    </w:p>
    <w:p>
      <w:pPr>
        <w:spacing w:after="180"/>
      </w:pPr>
      <w:r>
        <w:t xml:space="preserve">RMSD analysis revealed excellent structural preservation across all designs. All 9 optimized variants maintained RMSD values below 1.0 Å relative to the baseline structure, with the best-performing Design 7 showing an RMSD of 0.820 Å. This demonstrates that dramatic energy optimization was achieved without compromising the overall α-helical architecture.</w:t>
      </w:r>
    </w:p>
    <w:p>
      <w:pPr>
        <w:pStyle w:val="Heading2"/>
      </w:pPr>
      <w:r>
        <w:t xml:space="preserve">3.3 Thermodynamic Analysis</w:t>
      </w:r>
    </w:p>
    <w:p>
      <w:pPr>
        <w:spacing w:after="180"/>
      </w:pPr>
      <w:r>
        <w:t xml:space="preserve">Boltzmann probability analysis at 300K revealed a dramatically shifted energy landscape (Figure 1). While the baseline wild-type structure occupied only 0.5% of the ensemble population, Design 7 achieved 30.7% dominance—a 61-fold increase in thermodynamic stability. The cumulative population of all improved designs totaled 99.5%, effectively eliminating the wild-type conformation from the ensemble.</w:t>
      </w:r>
    </w:p>
    <w:p>
      <w:pPr>
        <w:spacing w:before="240" w:after="1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114800" cy="3086100"/>
                    </a:xfrm>
                    <a:prstGeom prst="rect">
                      <a:avLst/>
                    </a:prstGeom>
                  </pic:spPr>
                </pic:pic>
              </a:graphicData>
            </a:graphic>
          </wp:inline>
        </w:drawing>
      </w:r>
    </w:p>
    <w:p>
      <w:pPr>
        <w:spacing w:after="240"/>
        <w:jc w:val="center"/>
      </w:pPr>
      <w:r>
        <w:rPr>
          <w:i/>
          <w:iCs/>
          <w:sz w:val="20"/>
          <w:szCs w:val="20"/>
        </w:rPr>
        <w:t xml:space="preserve">Figure 1: Energy landscape funnel plot showing the dramatic shift toward deeper energy minima. All designed variants cluster at significantly lower energies than the baseline wild-type structure, demonstrating successful α-helix stabilization.</w:t>
      </w:r>
    </w:p>
    <w:p>
      <w:pPr>
        <w:spacing w:before="240" w:after="1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3086100"/>
                    </a:xfrm>
                    <a:prstGeom prst="rect">
                      <a:avLst/>
                    </a:prstGeom>
                  </pic:spPr>
                </pic:pic>
              </a:graphicData>
            </a:graphic>
          </wp:inline>
        </w:drawing>
      </w:r>
    </w:p>
    <w:p>
      <w:pPr>
        <w:spacing w:after="240"/>
        <w:jc w:val="center"/>
      </w:pPr>
      <w:r>
        <w:rPr>
          <w:i/>
          <w:iCs/>
          <w:sz w:val="20"/>
          <w:szCs w:val="20"/>
        </w:rPr>
        <w:t xml:space="preserve">Figure 2: Boltzmann population distribution at 300K. Design 7 achieves 30.7% population dominance, representing a 61-fold improvement over the baseline (0.5%). This dramatic population shift effectively blocks the prion transition pathway.</w:t>
      </w:r>
    </w:p>
    <w:p>
      <w:pPr>
        <w:spacing w:before="240" w:after="18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3086100"/>
                    </a:xfrm>
                    <a:prstGeom prst="rect">
                      <a:avLst/>
                    </a:prstGeom>
                  </pic:spPr>
                </pic:pic>
              </a:graphicData>
            </a:graphic>
          </wp:inline>
        </w:drawing>
      </w:r>
    </w:p>
    <w:p>
      <w:pPr>
        <w:spacing w:after="240"/>
        <w:jc w:val="center"/>
      </w:pPr>
      <w:r>
        <w:rPr>
          <w:i/>
          <w:iCs/>
          <w:sz w:val="20"/>
          <w:szCs w:val="20"/>
        </w:rPr>
        <w:t xml:space="preserve">Figure 3: Structural overlay of baseline and optimized designs showing preserved α-helical architecture. Multiple designs are superimposed, demonstrating that energy optimization maintains excellent structural fidelity (RMSD &lt; 1.0 Å).</w:t>
      </w:r>
    </w:p>
    <w:p>
      <w:pPr>
        <w:pStyle w:val="Heading1"/>
      </w:pPr>
      <w:r>
        <w:t xml:space="preserve">4. Discussion</w:t>
      </w:r>
    </w:p>
    <w:p>
      <w:pPr>
        <w:pStyle w:val="Heading2"/>
      </w:pPr>
      <w:r>
        <w:t xml:space="preserve">4.1 Mutation Strategy Validation</w:t>
      </w:r>
    </w:p>
    <w:p>
      <w:pPr>
        <w:spacing w:after="180"/>
      </w:pPr>
      <w:r>
        <w:t xml:space="preserve">The systematic replacement of flexibility-conferring glycines with helix-stabilizing charged residues (glutamate, lysine) successfully reduced conformational entropy while introducing favorable electrostatic interactions. This approach yielded consistent energy improvements across multiple independent designs, validating the targeted mutation strategy.</w:t>
      </w:r>
    </w:p>
    <w:p>
      <w:pPr>
        <w:spacing w:after="180"/>
      </w:pPr>
      <w:r>
        <w:t xml:space="preserve">The single-mutation analysis (Position 14: G→E) demonstrated that even individual substitutions can achieve significant stabilization, providing a pathway for experimental validation with minimal perturbation to the native sequence.</w:t>
      </w:r>
    </w:p>
    <w:p>
      <w:pPr>
        <w:pStyle w:val="Heading2"/>
      </w:pPr>
      <w:r>
        <w:t xml:space="preserve">4.2 Thermodynamic Barrier Creation</w:t>
      </w:r>
    </w:p>
    <w:p>
      <w:pPr>
        <w:spacing w:after="180"/>
      </w:pPr>
      <w:r>
        <w:t xml:space="preserve">The 61-fold population shift from baseline (0.5%) to optimized designs represents a substantial thermodynamic barrier to prion conversion. Design 7's 30.7% dominance indicates that the stabilized α-helical conformation would effectively outcompete the misfolding pathway leading to β-sheet formation under physiological conditions.</w:t>
      </w:r>
    </w:p>
    <w:p>
      <w:pPr>
        <w:pStyle w:val="Heading2"/>
      </w:pPr>
      <w:r>
        <w:t xml:space="preserve">4.3 Therapeutic Implications</w:t>
      </w:r>
    </w:p>
    <w:p>
      <w:pPr>
        <w:spacing w:after="180"/>
      </w:pPr>
      <w:r>
        <w:t xml:space="preserve">This computational approach demonstrates a novel therapeutic strategy for prion diseases through prophylactic protein stabilization. The designed variants could serve as templates for small molecule stabilizers or guide gene therapy approaches targeting the endogenous prion protein. The excellent structural preservation (RMSD &lt; 1.0 Å) suggests that designed variants would maintain normal cellular functions while blocking pathogenic transitions.</w:t>
      </w:r>
    </w:p>
    <w:p>
      <w:pPr>
        <w:pStyle w:val="Heading1"/>
      </w:pPr>
      <w:r>
        <w:t xml:space="preserve">5. Conclusions</w:t>
      </w:r>
    </w:p>
    <w:p>
      <w:pPr>
        <w:spacing w:after="180"/>
      </w:pPr>
      <w:r>
        <w:t xml:space="preserve">We successfully demonstrated that computational protein design using the Damietta engine can effectively block prion protein misfolding through targeted α-helix stabilization. Our approach achieved remarkable success with up to 2.49 kcal/mol energy improvements while maintaining excellent structural preservation.</w:t>
      </w:r>
    </w:p>
    <w:p>
      <w:pPr>
        <w:spacing w:after="180"/>
      </w:pPr>
      <w:r>
        <w:t xml:space="preserve">The dramatic 61-fold increase in thermodynamic stability provides compelling evidence that computational design can create substantial barriers to pathogenic protein conformational transitions. This work establishes a foundation for rational design of prion-resistant protein variants and demonstrates the broader therapeutic potential of energy-based computational design for neurodegenerative diseases.</w:t>
      </w:r>
    </w:p>
    <w:p>
      <w:pPr>
        <w:spacing w:after="180"/>
      </w:pPr>
      <w:r>
        <w:t xml:space="preserve">Future work should focus on experimental validation of these designs, optimization for in vivo stability, and extension of this approach to other protein misfolding disorders including Alzheimer's and Parkinson's diseases.</w:t>
      </w:r>
    </w:p>
    <w:p>
      <w:pPr>
        <w:pStyle w:val="Heading1"/>
      </w:pPr>
      <w:r>
        <w:t xml:space="preserve">6. Methods &amp; Data</w:t>
      </w:r>
    </w:p>
    <w:p>
      <w:pPr>
        <w:spacing w:after="120"/>
      </w:pPr>
      <w:r>
        <w:rPr>
          <w:b/>
          <w:bCs/>
        </w:rPr>
        <w:t xml:space="preserve">Computational Details:</w:t>
      </w:r>
    </w:p>
    <w:p>
      <w:pPr>
        <w:spacing w:after="120"/>
      </w:pPr>
      <w:r>
        <w:t xml:space="preserve">• Damietta v3.09 engine with libv309_100 force field</w:t>
      </w:r>
    </w:p>
    <w:p>
      <w:pPr>
        <w:spacing w:after="120"/>
      </w:pPr>
      <w:r>
        <w:t xml:space="preserve">• Energy weighting: w_pp=1.0, w_k=1.0, w_lj=1.0, w_solv=1.0, w_elec=0.25</w:t>
      </w:r>
    </w:p>
    <w:p>
      <w:pPr>
        <w:spacing w:after="120"/>
      </w:pPr>
      <w:r>
        <w:t xml:space="preserve">• Combinatorial sampling: 3 mutations max, 5 paths, 1 iteration</w:t>
      </w:r>
    </w:p>
    <w:p>
      <w:pPr>
        <w:spacing w:after="180"/>
      </w:pPr>
      <w:r>
        <w:t xml:space="preserve">• VMD CHARMM typing for hydrogen addition and atom nomenclature</w:t>
      </w:r>
    </w:p>
    <w:p>
      <w:pPr>
        <w:spacing w:after="120"/>
      </w:pPr>
      <w:r>
        <w:rPr>
          <w:b/>
          <w:bCs/>
        </w:rPr>
        <w:t xml:space="preserve">Division of Labor:</w:t>
      </w:r>
    </w:p>
    <w:p>
      <w:pPr>
        <w:spacing w:after="120"/>
      </w:pPr>
      <w:r>
        <w:t xml:space="preserve">Partner A: Structural analysis, PyMOL visualization, mutation strategy development, and report writing</w:t>
      </w:r>
    </w:p>
    <w:p>
      <w:pPr>
        <w:spacing w:after="120"/>
      </w:pPr>
      <w:r>
        <w:t xml:space="preserve">Partner B: VMD preparation, Damietta simulations, data parsing, Boltzmann analysis programming, and figure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7c9e96da96b25a6cf75b0236dcfbbfa43bec7c2.png"/><Relationship Id="rId7" Type="http://schemas.openxmlformats.org/officeDocument/2006/relationships/image" Target="media/0c0e31d2f288172fdc309e8a7923008d00f5532d.png"/><Relationship Id="rId8" Type="http://schemas.openxmlformats.org/officeDocument/2006/relationships/image" Target="media/981c2bed0c4125c8f6be63ee3faf59ababa1977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2026-03-14T15:26:23.912Z</dcterms:created>
  <dcterms:modified xsi:type="dcterms:W3CDTF">2026-03-14T15:26:23.913Z</dcterms:modified>
</cp:coreProperties>
</file>

<file path=docProps/custom.xml><?xml version="1.0" encoding="utf-8"?>
<Properties xmlns="http://schemas.openxmlformats.org/officeDocument/2006/custom-properties" xmlns:vt="http://schemas.openxmlformats.org/officeDocument/2006/docPropsVTypes"/>
</file>