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Assignment Topic- Get-Process, For Loop, Set-ADTIniValue, MSI/MSP Logging,  MSIX</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E-mail ID:- </w:t>
      </w:r>
      <w:r>
        <w:rPr>
          <w:rFonts w:ascii="Calibri" w:hAnsi="Calibri" w:cs="Calibri" w:eastAsia="Calibri"/>
          <w:color w:val="auto"/>
          <w:spacing w:val="0"/>
          <w:position w:val="0"/>
          <w:sz w:val="28"/>
          <w:shd w:fill="auto" w:val="clear"/>
        </w:rPr>
        <w:t xml:space="preserve">innamaf29@gmail.com</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Name</w:t>
      </w:r>
      <w:r>
        <w:rPr>
          <w:rFonts w:ascii="Calibri" w:hAnsi="Calibri" w:cs="Calibri" w:eastAsia="Calibri"/>
          <w:color w:val="auto"/>
          <w:spacing w:val="0"/>
          <w:position w:val="0"/>
          <w:sz w:val="28"/>
          <w:shd w:fill="auto" w:val="clear"/>
        </w:rPr>
        <w:t xml:space="preserve">:- Batool Fatima</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8"/>
          <w:shd w:fill="auto" w:val="clear"/>
        </w:rPr>
        <w:t xml:space="preserve">User ID</w:t>
      </w:r>
      <w:r>
        <w:rPr>
          <w:rFonts w:ascii="Calibri" w:hAnsi="Calibri" w:cs="Calibri" w:eastAsia="Calibri"/>
          <w:color w:val="auto"/>
          <w:spacing w:val="0"/>
          <w:position w:val="0"/>
          <w:sz w:val="28"/>
          <w:shd w:fill="auto" w:val="clear"/>
        </w:rPr>
        <w:t xml:space="preserve">:- 34723</w:t>
      </w:r>
    </w:p>
    <w:p>
      <w:pPr>
        <w:spacing w:before="0" w:after="200" w:line="276"/>
        <w:ind w:right="0" w:left="0" w:firstLine="0"/>
        <w:jc w:val="center"/>
        <w:rPr>
          <w:rFonts w:ascii="Calibri" w:hAnsi="Calibri" w:cs="Calibri" w:eastAsia="Calibri"/>
          <w:b/>
          <w:color w:val="auto"/>
          <w:spacing w:val="0"/>
          <w:position w:val="0"/>
          <w:sz w:val="22"/>
          <w:u w:val="single"/>
          <w:shd w:fill="auto" w:val="clear"/>
        </w:rPr>
      </w:pPr>
    </w:p>
    <w:p>
      <w:pPr>
        <w:spacing w:before="0" w:after="200" w:line="276"/>
        <w:ind w:right="0" w:left="0" w:firstLine="0"/>
        <w:jc w:val="center"/>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Get-Process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Within the </w:t>
      </w:r>
      <w:r>
        <w:rPr>
          <w:rFonts w:ascii="Calibri" w:hAnsi="Calibri" w:cs="Calibri" w:eastAsia="Calibri"/>
          <w:b/>
          <w:color w:val="auto"/>
          <w:spacing w:val="0"/>
          <w:position w:val="0"/>
          <w:sz w:val="22"/>
          <w:shd w:fill="auto" w:val="clear"/>
        </w:rPr>
        <w:t xml:space="preserve">PowerShell App Deployment Toolkit</w:t>
      </w:r>
      <w:r>
        <w:rPr>
          <w:rFonts w:ascii="Calibri" w:hAnsi="Calibri" w:cs="Calibri" w:eastAsia="Calibri"/>
          <w:color w:val="auto"/>
          <w:spacing w:val="0"/>
          <w:position w:val="0"/>
          <w:sz w:val="22"/>
          <w:shd w:fill="auto" w:val="clear"/>
        </w:rPr>
        <w:t xml:space="preserve">, the management of running processes is handled through standard PowerShell cmdlets, primarily </w:t>
      </w:r>
      <w:r>
        <w:rPr>
          <w:rFonts w:ascii="Calibri" w:hAnsi="Calibri" w:cs="Calibri" w:eastAsia="Calibri"/>
          <w:b/>
          <w:color w:val="auto"/>
          <w:spacing w:val="0"/>
          <w:position w:val="0"/>
          <w:sz w:val="22"/>
          <w:shd w:fill="auto" w:val="clear"/>
        </w:rPr>
        <w:t xml:space="preserve">Get-Process </w:t>
      </w:r>
      <w:r>
        <w:rPr>
          <w:rFonts w:ascii="Calibri" w:hAnsi="Calibri" w:cs="Calibri" w:eastAsia="Calibri"/>
          <w:color w:val="auto"/>
          <w:spacing w:val="0"/>
          <w:position w:val="0"/>
          <w:sz w:val="22"/>
          <w:shd w:fill="auto" w:val="clear"/>
        </w:rPr>
        <w:t xml:space="preserve">and </w:t>
      </w:r>
      <w:r>
        <w:rPr>
          <w:rFonts w:ascii="Calibri" w:hAnsi="Calibri" w:cs="Calibri" w:eastAsia="Calibri"/>
          <w:b/>
          <w:color w:val="auto"/>
          <w:spacing w:val="0"/>
          <w:position w:val="0"/>
          <w:sz w:val="22"/>
          <w:shd w:fill="auto" w:val="clear"/>
        </w:rPr>
        <w:t xml:space="preserve">Stop-Process</w:t>
      </w:r>
      <w:r>
        <w:rPr>
          <w:rFonts w:ascii="Calibri" w:hAnsi="Calibri" w:cs="Calibri" w:eastAsia="Calibri"/>
          <w:color w:val="auto"/>
          <w:spacing w:val="0"/>
          <w:position w:val="0"/>
          <w:sz w:val="22"/>
          <w:shd w:fill="auto" w:val="clear"/>
        </w:rPr>
        <w:t xml:space="preserve">. To check if an application is running, the Get-Process cmdlet is used with the -Name or -Id parameter to retrieve its object. The script can then use a conditional statement to determine if the process exists. To terminate a process, the Stop-Process cmdlet is employed, which can be configured with the -Name or -Id to specify the target process. For automation, the -NoConfirm switch is essential to suppress the default confirmation prompts. This robust combination of functions allows PSADT to gracefully handle running applications before a deployment, ensuring that files are not in use and that installations or uninstallations can proceed without interruption.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Get-Process zoom</w:t>
      </w:r>
    </w:p>
    <w:p>
      <w:pPr>
        <w:spacing w:before="0" w:after="200" w:line="276"/>
        <w:ind w:right="0" w:left="0" w:firstLine="0"/>
        <w:jc w:val="left"/>
        <w:rPr>
          <w:rFonts w:ascii="Calibri" w:hAnsi="Calibri" w:cs="Calibri" w:eastAsia="Calibri"/>
          <w:color w:val="auto"/>
          <w:spacing w:val="0"/>
          <w:position w:val="0"/>
          <w:sz w:val="22"/>
          <w:shd w:fill="auto" w:val="clear"/>
        </w:rPr>
      </w:pPr>
      <w:r>
        <w:object w:dxaOrig="4875" w:dyaOrig="1440">
          <v:rect xmlns:o="urn:schemas-microsoft-com:office:office" xmlns:v="urn:schemas-microsoft-com:vml" id="rectole0000000000" style="width:243.750000pt;height:72.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object w:dxaOrig="8640" w:dyaOrig="2429">
          <v:rect xmlns:o="urn:schemas-microsoft-com:office:office" xmlns:v="urn:schemas-microsoft-com:vml" id="rectole0000000001" style="width:432.000000pt;height:121.4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Lucida Console" w:hAnsi="Lucida Console" w:cs="Lucida Console" w:eastAsia="Lucida Console"/>
          <w:color w:val="auto"/>
          <w:spacing w:val="0"/>
          <w:position w:val="0"/>
          <w:sz w:val="22"/>
          <w:shd w:fill="auto" w:val="clear"/>
        </w:rPr>
        <w:t xml:space="preserve">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if (Get-Process -Name "brave")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Write-Host "Process brave is running"</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Write-Host "Process brave is not running"</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object w:dxaOrig="6825" w:dyaOrig="2280">
          <v:rect xmlns:o="urn:schemas-microsoft-com:office:office" xmlns:v="urn:schemas-microsoft-com:vml" id="rectole0000000002" style="width:341.250000pt;height:114.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object w:dxaOrig="3704" w:dyaOrig="1154">
          <v:rect xmlns:o="urn:schemas-microsoft-com:office:office" xmlns:v="urn:schemas-microsoft-com:vml" id="rectole0000000003" style="width:185.200000pt;height:57.7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Lucida Console" w:hAnsi="Lucida Console" w:cs="Lucida Console" w:eastAsia="Lucida Console"/>
          <w:color w:val="auto"/>
          <w:spacing w:val="0"/>
          <w:position w:val="0"/>
          <w:sz w:val="22"/>
          <w:shd w:fill="auto" w:val="clear"/>
        </w:rPr>
        <w:t xml:space="preserve">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if (Get-Process -Name "msedge")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Stop-Process -Name "msedge"</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Write-Host "Process msedge has been stopped"</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Write-Host "Process msedge was not running"</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object w:dxaOrig="7650" w:dyaOrig="1860">
          <v:rect xmlns:o="urn:schemas-microsoft-com:office:office" xmlns:v="urn:schemas-microsoft-com:vml" id="rectole0000000004" style="width:382.500000pt;height:93.0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200" w:line="276"/>
        <w:ind w:right="0" w:left="0" w:firstLine="0"/>
        <w:jc w:val="left"/>
        <w:rPr>
          <w:rFonts w:ascii="Calibri" w:hAnsi="Calibri" w:cs="Calibri" w:eastAsia="Calibri"/>
          <w:color w:val="auto"/>
          <w:spacing w:val="0"/>
          <w:position w:val="0"/>
          <w:sz w:val="22"/>
          <w:shd w:fill="auto" w:val="clear"/>
        </w:rPr>
      </w:pPr>
      <w:r>
        <w:object w:dxaOrig="4215" w:dyaOrig="1035">
          <v:rect xmlns:o="urn:schemas-microsoft-com:office:office" xmlns:v="urn:schemas-microsoft-com:vml" id="rectole0000000005" style="width:210.750000pt;height:51.7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For Loop</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The PowerShell for </w:t>
      </w:r>
      <w:r>
        <w:rPr>
          <w:rFonts w:ascii="Calibri" w:hAnsi="Calibri" w:cs="Calibri" w:eastAsia="Calibri"/>
          <w:b/>
          <w:color w:val="auto"/>
          <w:spacing w:val="0"/>
          <w:position w:val="0"/>
          <w:sz w:val="22"/>
          <w:shd w:fill="auto" w:val="clear"/>
        </w:rPr>
        <w:t xml:space="preserve">loop </w:t>
      </w:r>
      <w:r>
        <w:rPr>
          <w:rFonts w:ascii="Calibri" w:hAnsi="Calibri" w:cs="Calibri" w:eastAsia="Calibri"/>
          <w:color w:val="auto"/>
          <w:spacing w:val="0"/>
          <w:position w:val="0"/>
          <w:sz w:val="22"/>
          <w:shd w:fill="auto" w:val="clear"/>
        </w:rPr>
        <w:t xml:space="preserve">is a fundamental control structure for executing a block of code a specified number of times. Its syntax is comprised of four key components: an </w:t>
      </w:r>
      <w:r>
        <w:rPr>
          <w:rFonts w:ascii="Calibri" w:hAnsi="Calibri" w:cs="Calibri" w:eastAsia="Calibri"/>
          <w:b/>
          <w:color w:val="auto"/>
          <w:spacing w:val="0"/>
          <w:position w:val="0"/>
          <w:sz w:val="22"/>
          <w:shd w:fill="auto" w:val="clear"/>
        </w:rPr>
        <w:t xml:space="preserve">Init </w:t>
      </w:r>
      <w:r>
        <w:rPr>
          <w:rFonts w:ascii="Calibri" w:hAnsi="Calibri" w:cs="Calibri" w:eastAsia="Calibri"/>
          <w:color w:val="auto"/>
          <w:spacing w:val="0"/>
          <w:position w:val="0"/>
          <w:sz w:val="22"/>
          <w:shd w:fill="auto" w:val="clear"/>
        </w:rPr>
        <w:t xml:space="preserve">section, which initializes one or more variables before the loop begins; a </w:t>
      </w:r>
      <w:r>
        <w:rPr>
          <w:rFonts w:ascii="Calibri" w:hAnsi="Calibri" w:cs="Calibri" w:eastAsia="Calibri"/>
          <w:b/>
          <w:color w:val="auto"/>
          <w:spacing w:val="0"/>
          <w:position w:val="0"/>
          <w:sz w:val="22"/>
          <w:shd w:fill="auto" w:val="clear"/>
        </w:rPr>
        <w:t xml:space="preserve">Condition </w:t>
      </w:r>
      <w:r>
        <w:rPr>
          <w:rFonts w:ascii="Calibri" w:hAnsi="Calibri" w:cs="Calibri" w:eastAsia="Calibri"/>
          <w:color w:val="auto"/>
          <w:spacing w:val="0"/>
          <w:position w:val="0"/>
          <w:sz w:val="22"/>
          <w:shd w:fill="auto" w:val="clear"/>
        </w:rPr>
        <w:t xml:space="preserve">that is evaluated before each iteration and must be $true for the loop to continue; a </w:t>
      </w:r>
      <w:r>
        <w:rPr>
          <w:rFonts w:ascii="Calibri" w:hAnsi="Calibri" w:cs="Calibri" w:eastAsia="Calibri"/>
          <w:b/>
          <w:color w:val="auto"/>
          <w:spacing w:val="0"/>
          <w:position w:val="0"/>
          <w:sz w:val="22"/>
          <w:shd w:fill="auto" w:val="clear"/>
        </w:rPr>
        <w:t xml:space="preserve">Repeat </w:t>
      </w:r>
      <w:r>
        <w:rPr>
          <w:rFonts w:ascii="Calibri" w:hAnsi="Calibri" w:cs="Calibri" w:eastAsia="Calibri"/>
          <w:color w:val="auto"/>
          <w:spacing w:val="0"/>
          <w:position w:val="0"/>
          <w:sz w:val="22"/>
          <w:shd w:fill="auto" w:val="clear"/>
        </w:rPr>
        <w:t xml:space="preserve">section, which is executed at the end of each loop to modify the control variable; and a </w:t>
      </w:r>
      <w:r>
        <w:rPr>
          <w:rFonts w:ascii="Calibri" w:hAnsi="Calibri" w:cs="Calibri" w:eastAsia="Calibri"/>
          <w:b/>
          <w:color w:val="auto"/>
          <w:spacing w:val="0"/>
          <w:position w:val="0"/>
          <w:sz w:val="22"/>
          <w:shd w:fill="auto" w:val="clear"/>
        </w:rPr>
        <w:t xml:space="preserve">Statement </w:t>
      </w:r>
      <w:r>
        <w:rPr>
          <w:rFonts w:ascii="Calibri" w:hAnsi="Calibri" w:cs="Calibri" w:eastAsia="Calibri"/>
          <w:color w:val="auto"/>
          <w:spacing w:val="0"/>
          <w:position w:val="0"/>
          <w:sz w:val="22"/>
          <w:shd w:fill="auto" w:val="clear"/>
        </w:rPr>
        <w:t xml:space="preserve">list, which contains the commands to be executed with each iteration. This structure offers a high degree of flexibility, allowing for multiple variable assignments, complex conditional logic, and customized increment patterns. This makes the for loop a powerful tool for tasks requiring precise control over iteration, such as programmatically renaming a series of files or performing calculations based on a specific numerical sequence.</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for (($i = 0), ($j = 0); $i -lt 10; $i++)</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"`$i:$i"</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"`$j:$j"</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for ($($i = 0;$j = 0); $i -lt 10; $i++)</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"`$i:$i"</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"`$j:$j"</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Lucida Console" w:hAnsi="Lucida Console" w:cs="Lucida Console" w:eastAsia="Lucida Console"/>
          <w:color w:val="auto"/>
          <w:spacing w:val="0"/>
          <w:position w:val="0"/>
          <w:sz w:val="18"/>
          <w:shd w:fill="auto" w:val="clear"/>
        </w:rPr>
        <w:t xml:space="preserve"> </w:t>
      </w:r>
      <w:r>
        <w:object w:dxaOrig="8640" w:dyaOrig="4470">
          <v:rect xmlns:o="urn:schemas-microsoft-com:office:office" xmlns:v="urn:schemas-microsoft-com:vml" id="rectole0000000006" style="width:432.000000pt;height:223.5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200" w:line="276"/>
        <w:ind w:right="0" w:left="0" w:firstLine="0"/>
        <w:jc w:val="left"/>
        <w:rPr>
          <w:rFonts w:ascii="Lucida Console" w:hAnsi="Lucida Console" w:cs="Lucida Console" w:eastAsia="Lucida Console"/>
          <w:color w:val="auto"/>
          <w:spacing w:val="0"/>
          <w:position w:val="0"/>
          <w:sz w:val="18"/>
          <w:shd w:fill="auto" w:val="clear"/>
        </w:rPr>
      </w:pPr>
      <w:r>
        <w:object w:dxaOrig="3569" w:dyaOrig="9645">
          <v:rect xmlns:o="urn:schemas-microsoft-com:office:office" xmlns:v="urn:schemas-microsoft-com:vml" id="rectole0000000007" style="width:178.450000pt;height:482.2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$fileList = Get-ChildItem -Path ./ALLFILES</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$fileList | Sort-Object -Descending -Property Name</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$fileList = Get-ChildItem -Path C:/Users/innam</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$fileList | Sort-Object -Descending -Property Name</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$fileList | Sort-Object -Descending -Property LastWriteTime</w:t>
      </w:r>
    </w:p>
    <w:p>
      <w:pPr>
        <w:spacing w:before="0" w:after="200" w:line="276"/>
        <w:ind w:right="0" w:left="0" w:firstLine="0"/>
        <w:jc w:val="left"/>
        <w:rPr>
          <w:rFonts w:ascii="Calibri" w:hAnsi="Calibri" w:cs="Calibri" w:eastAsia="Calibri"/>
          <w:color w:val="auto"/>
          <w:spacing w:val="0"/>
          <w:position w:val="0"/>
          <w:sz w:val="22"/>
          <w:shd w:fill="auto" w:val="clear"/>
        </w:rPr>
      </w:pPr>
      <w:r>
        <w:object w:dxaOrig="8640" w:dyaOrig="1920">
          <v:rect xmlns:o="urn:schemas-microsoft-com:office:office" xmlns:v="urn:schemas-microsoft-com:vml" id="rectole0000000008" style="width:432.000000pt;height:96.0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200" w:line="276"/>
        <w:ind w:right="0" w:left="0" w:firstLine="0"/>
        <w:jc w:val="left"/>
        <w:rPr>
          <w:rFonts w:ascii="Calibri" w:hAnsi="Calibri" w:cs="Calibri" w:eastAsia="Calibri"/>
          <w:color w:val="auto"/>
          <w:spacing w:val="0"/>
          <w:position w:val="0"/>
          <w:sz w:val="22"/>
          <w:shd w:fill="auto" w:val="clear"/>
        </w:rPr>
      </w:pPr>
      <w:r>
        <w:object w:dxaOrig="8414" w:dyaOrig="8939">
          <v:rect xmlns:o="urn:schemas-microsoft-com:office:office" xmlns:v="urn:schemas-microsoft-com:vml" id="rectole0000000009" style="width:420.700000pt;height:446.9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Set-ADTIniValue</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Set-ADTIniValue </w:t>
      </w:r>
      <w:r>
        <w:rPr>
          <w:rFonts w:ascii="Calibri" w:hAnsi="Calibri" w:cs="Calibri" w:eastAsia="Calibri"/>
          <w:color w:val="auto"/>
          <w:spacing w:val="0"/>
          <w:position w:val="0"/>
          <w:sz w:val="22"/>
          <w:shd w:fill="auto" w:val="clear"/>
        </w:rPr>
        <w:t xml:space="preserve">command is a function within the PowerShell App Deployment Toolkit (PSADT) designed to simplify the modification of </w:t>
      </w:r>
      <w:r>
        <w:rPr>
          <w:rFonts w:ascii="Calibri" w:hAnsi="Calibri" w:cs="Calibri" w:eastAsia="Calibri"/>
          <w:b/>
          <w:color w:val="auto"/>
          <w:spacing w:val="0"/>
          <w:position w:val="0"/>
          <w:sz w:val="22"/>
          <w:shd w:fill="auto" w:val="clear"/>
        </w:rPr>
        <w:t xml:space="preserve">.ini configuration </w:t>
      </w:r>
      <w:r>
        <w:rPr>
          <w:rFonts w:ascii="Calibri" w:hAnsi="Calibri" w:cs="Calibri" w:eastAsia="Calibri"/>
          <w:color w:val="auto"/>
          <w:spacing w:val="0"/>
          <w:position w:val="0"/>
          <w:sz w:val="22"/>
          <w:shd w:fill="auto" w:val="clear"/>
        </w:rPr>
        <w:t xml:space="preserve">files. Its purpose is to programmatically set a specific key-value pair within a designated section of an .ini file. The command requires four essential parameters: -FilePath to specify the location of the .ini file, -Section to target a specific category of settings, -Key to identify the setting to be modified, and -Value to assign the new data. An optional -Force parameter can be used to create the .ini file if it does not already exist. This function is an essential tool for system administrators who need to standardize application configurations across multiple machines as part of a deployment, as it provides a reliable and scriptable method to edit these files without manual intervention.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Set-ADTIniValue -FilePath "C:\Users\innam\AppData\Roaming\Zoom\data\Zoom.us.ini" -Section 'Notes' -Key 'KeyFileName' -Value 'MyFile.ID'</w:t>
      </w:r>
    </w:p>
    <w:p>
      <w:pPr>
        <w:spacing w:before="0" w:after="200" w:line="276"/>
        <w:ind w:right="0" w:left="0" w:firstLine="0"/>
        <w:jc w:val="left"/>
        <w:rPr>
          <w:rFonts w:ascii="Calibri" w:hAnsi="Calibri" w:cs="Calibri" w:eastAsia="Calibri"/>
          <w:color w:val="auto"/>
          <w:spacing w:val="0"/>
          <w:position w:val="0"/>
          <w:sz w:val="22"/>
          <w:shd w:fill="auto" w:val="clear"/>
        </w:rPr>
      </w:pPr>
      <w:r>
        <w:object w:dxaOrig="8640" w:dyaOrig="1425">
          <v:rect xmlns:o="urn:schemas-microsoft-com:office:office" xmlns:v="urn:schemas-microsoft-com:vml" id="rectole0000000010" style="width:432.000000pt;height:71.2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200" w:line="276"/>
        <w:ind w:right="0" w:left="0" w:firstLine="0"/>
        <w:jc w:val="left"/>
        <w:rPr>
          <w:rFonts w:ascii="Calibri" w:hAnsi="Calibri" w:cs="Calibri" w:eastAsia="Calibri"/>
          <w:color w:val="auto"/>
          <w:spacing w:val="0"/>
          <w:position w:val="0"/>
          <w:sz w:val="22"/>
          <w:shd w:fill="auto" w:val="clear"/>
        </w:rPr>
      </w:pPr>
      <w:r>
        <w:object w:dxaOrig="2835" w:dyaOrig="840">
          <v:rect xmlns:o="urn:schemas-microsoft-com:office:office" xmlns:v="urn:schemas-microsoft-com:vml" id="rectole0000000011" style="width:141.750000pt;height:42.0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200" w:line="276"/>
        <w:ind w:right="0" w:left="0" w:firstLine="0"/>
        <w:jc w:val="left"/>
        <w:rPr>
          <w:rFonts w:ascii="Calibri" w:hAnsi="Calibri" w:cs="Calibri" w:eastAsia="Calibri"/>
          <w:color w:val="auto"/>
          <w:spacing w:val="0"/>
          <w:position w:val="0"/>
          <w:sz w:val="22"/>
          <w:shd w:fill="auto" w:val="clear"/>
        </w:rPr>
      </w:pPr>
      <w:r>
        <w:object w:dxaOrig="7499" w:dyaOrig="5729">
          <v:rect xmlns:o="urn:schemas-microsoft-com:office:office" xmlns:v="urn:schemas-microsoft-com:vml" id="rectole0000000012" style="width:374.950000pt;height:286.4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spacing w:before="0" w:after="200" w:line="276"/>
        <w:ind w:right="0" w:left="0" w:firstLine="0"/>
        <w:jc w:val="center"/>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MSI/MSP Logging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Within the PowerShell App Deployment Toolkit (PSADT), robust logging is a critical feature for managing software installations, and the </w:t>
      </w:r>
      <w:r>
        <w:rPr>
          <w:rFonts w:ascii="Calibri" w:hAnsi="Calibri" w:cs="Calibri" w:eastAsia="Calibri"/>
          <w:b/>
          <w:color w:val="auto"/>
          <w:spacing w:val="0"/>
          <w:position w:val="0"/>
          <w:sz w:val="22"/>
          <w:shd w:fill="auto" w:val="clear"/>
        </w:rPr>
        <w:t xml:space="preserve">Execute-MSI </w:t>
      </w:r>
      <w:r>
        <w:rPr>
          <w:rFonts w:ascii="Calibri" w:hAnsi="Calibri" w:cs="Calibri" w:eastAsia="Calibri"/>
          <w:color w:val="auto"/>
          <w:spacing w:val="0"/>
          <w:position w:val="0"/>
          <w:sz w:val="22"/>
          <w:shd w:fill="auto" w:val="clear"/>
        </w:rPr>
        <w:t xml:space="preserve">command is central to this process. This command is not merely an installer; it is a professional tool that ensures deployments are both auditable and troubleshootable. By using the -</w:t>
      </w:r>
      <w:r>
        <w:rPr>
          <w:rFonts w:ascii="Calibri" w:hAnsi="Calibri" w:cs="Calibri" w:eastAsia="Calibri"/>
          <w:b/>
          <w:color w:val="auto"/>
          <w:spacing w:val="0"/>
          <w:position w:val="0"/>
          <w:sz w:val="22"/>
          <w:shd w:fill="auto" w:val="clear"/>
        </w:rPr>
        <w:t xml:space="preserve">LogName parameter</w:t>
      </w:r>
      <w:r>
        <w:rPr>
          <w:rFonts w:ascii="Calibri" w:hAnsi="Calibri" w:cs="Calibri" w:eastAsia="Calibri"/>
          <w:color w:val="auto"/>
          <w:spacing w:val="0"/>
          <w:position w:val="0"/>
          <w:sz w:val="22"/>
          <w:shd w:fill="auto" w:val="clear"/>
        </w:rPr>
        <w:t xml:space="preserve">, a system administrator can create a dedicated log file for each deployment, which meticulously records every action, parameter, and outcome, including any errors encountered during the silent installation. This practice is essential for professional IT operations, as it moves deployment from a "black box" process to a transparent and documented event, allowing for swift problem diagnosis and providing a clear, auditable trail for compliance and quality assurance.</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Execute-MSI -Action Install -Path "C:\MyApps\Firefox Setup 14.0.1.msi" -LogName "$envWinDir\Logs\Software" </w:t>
      </w:r>
    </w:p>
    <w:p>
      <w:pPr>
        <w:spacing w:before="0" w:after="200" w:line="240"/>
        <w:ind w:right="0" w:left="0" w:firstLine="0"/>
        <w:jc w:val="left"/>
        <w:rPr>
          <w:rFonts w:ascii="Calibri" w:hAnsi="Calibri" w:cs="Calibri" w:eastAsia="Calibri"/>
          <w:b/>
          <w:color w:val="auto"/>
          <w:spacing w:val="0"/>
          <w:position w:val="0"/>
          <w:sz w:val="22"/>
          <w:shd w:fill="auto" w:val="clear"/>
        </w:rPr>
      </w:pPr>
      <w:r>
        <w:object w:dxaOrig="8640" w:dyaOrig="1049">
          <v:rect xmlns:o="urn:schemas-microsoft-com:office:office" xmlns:v="urn:schemas-microsoft-com:vml" id="rectole0000000013" style="width:432.000000pt;height:52.4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Dib" DrawAspect="Content" ObjectID="0000000013" ShapeID="rectole0000000013" r:id="docRId26"/>
        </w:object>
      </w: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MSIX</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MSIX </w:t>
      </w:r>
      <w:r>
        <w:rPr>
          <w:rFonts w:ascii="Calibri" w:hAnsi="Calibri" w:cs="Calibri" w:eastAsia="Calibri"/>
          <w:color w:val="auto"/>
          <w:spacing w:val="0"/>
          <w:position w:val="0"/>
          <w:sz w:val="22"/>
          <w:shd w:fill="auto" w:val="clear"/>
        </w:rPr>
        <w:t xml:space="preserve">is a modern, unified application packaging format for Windows, designed to replace traditional installers like MSI with a more secure and efficient solution. It functions as a container for applications, isolating them from the operating system to prevent system clutter and ensure a clean installation and uninstallation process. Key benefits of MSIX include enhanced security through digital signing, highly efficient updates that only download necessary changes, and the ability to package both traditional desktop and modern Windows Store applications. This technology streamlines deployment for IT administrators and provides a more stable and secure experience for end-users, representing a significant advancement in Windows application management.</w:t>
      </w:r>
    </w:p>
    <w:p>
      <w:pPr>
        <w:spacing w:before="0" w:after="200" w:line="276"/>
        <w:ind w:right="0" w:left="0" w:firstLine="0"/>
        <w:jc w:val="left"/>
        <w:rPr>
          <w:rFonts w:ascii="Lucida Console" w:hAnsi="Lucida Console" w:cs="Lucida Console" w:eastAsia="Lucida Console"/>
          <w:color w:val="auto"/>
          <w:spacing w:val="0"/>
          <w:position w:val="0"/>
          <w:sz w:val="18"/>
          <w:shd w:fill="auto" w:val="clear"/>
        </w:rPr>
      </w:pPr>
      <w:r>
        <w:rPr>
          <w:rFonts w:ascii="Lucida Console" w:hAnsi="Lucida Console" w:cs="Lucida Console" w:eastAsia="Lucida Console"/>
          <w:color w:val="auto"/>
          <w:spacing w:val="0"/>
          <w:position w:val="0"/>
          <w:sz w:val="18"/>
          <w:shd w:fill="auto" w:val="clear"/>
        </w:rPr>
        <w:t xml:space="preserve"> </w:t>
      </w:r>
    </w:p>
    <w:p>
      <w:pPr>
        <w:spacing w:before="0" w:after="200" w:line="240"/>
        <w:ind w:right="0" w:left="0" w:firstLine="0"/>
        <w:jc w:val="left"/>
        <w:rPr>
          <w:rFonts w:ascii="Lucida Console" w:hAnsi="Lucida Console" w:cs="Lucida Console" w:eastAsia="Lucida Console"/>
          <w:color w:val="auto"/>
          <w:spacing w:val="0"/>
          <w:position w:val="0"/>
          <w:sz w:val="18"/>
          <w:shd w:fill="auto" w:val="clear"/>
        </w:rPr>
      </w:pPr>
      <w:r>
        <w:object w:dxaOrig="8640" w:dyaOrig="5144">
          <v:rect xmlns:o="urn:schemas-microsoft-com:office:office" xmlns:v="urn:schemas-microsoft-com:vml" id="rectole0000000014" style="width:432.000000pt;height:257.2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Dib" DrawAspect="Content" ObjectID="0000000014" ShapeID="rectole0000000014" r:id="docRId28"/>
        </w:object>
      </w:r>
    </w:p>
    <w:p>
      <w:pPr>
        <w:spacing w:before="0" w:after="200" w:line="240"/>
        <w:ind w:right="0" w:left="0" w:firstLine="0"/>
        <w:jc w:val="left"/>
        <w:rPr>
          <w:rFonts w:ascii="Calibri" w:hAnsi="Calibri" w:cs="Calibri" w:eastAsia="Calibri"/>
          <w:color w:val="auto"/>
          <w:spacing w:val="0"/>
          <w:position w:val="0"/>
          <w:sz w:val="22"/>
          <w:shd w:fill="auto" w:val="clear"/>
        </w:rPr>
      </w:pPr>
      <w:r>
        <w:object w:dxaOrig="8640" w:dyaOrig="7364">
          <v:rect xmlns:o="urn:schemas-microsoft-com:office:office" xmlns:v="urn:schemas-microsoft-com:vml" id="rectole0000000015" style="width:432.000000pt;height:368.2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r>
        <w:object w:dxaOrig="8640" w:dyaOrig="4124">
          <v:rect xmlns:o="urn:schemas-microsoft-com:office:office" xmlns:v="urn:schemas-microsoft-com:vml" id="rectole0000000016" style="width:432.000000pt;height:206.20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6" ShapeID="rectole0000000016" r:id="docRId32"/>
        </w:object>
      </w:r>
      <w:r>
        <w:object w:dxaOrig="8640" w:dyaOrig="3030">
          <v:rect xmlns:o="urn:schemas-microsoft-com:office:office" xmlns:v="urn:schemas-microsoft-com:vml" id="rectole0000000017" style="width:432.000000pt;height:151.50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7" ShapeID="rectole0000000017" r:id="docRId34"/>
        </w:object>
      </w:r>
    </w:p>
    <w:p>
      <w:pPr>
        <w:spacing w:before="0" w:after="200" w:line="240"/>
        <w:ind w:right="0" w:left="0" w:firstLine="0"/>
        <w:jc w:val="center"/>
        <w:rPr>
          <w:rFonts w:ascii="Calibri" w:hAnsi="Calibri" w:cs="Calibri" w:eastAsia="Calibri"/>
          <w:color w:val="auto"/>
          <w:spacing w:val="0"/>
          <w:position w:val="0"/>
          <w:sz w:val="22"/>
          <w:shd w:fill="auto" w:val="clear"/>
        </w:rPr>
      </w:pPr>
      <w:r>
        <w:object w:dxaOrig="1049" w:dyaOrig="6449">
          <v:rect xmlns:o="urn:schemas-microsoft-com:office:office" xmlns:v="urn:schemas-microsoft-com:vml" id="rectole0000000018" style="width:52.450000pt;height:322.45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Dib" DrawAspect="Content" ObjectID="0000000018" ShapeID="rectole0000000018" r:id="docRId36"/>
        </w:object>
      </w:r>
    </w:p>
    <w:p>
      <w:pPr>
        <w:spacing w:before="0" w:after="200" w:line="240"/>
        <w:ind w:right="0" w:left="0" w:firstLine="0"/>
        <w:jc w:val="left"/>
        <w:rPr>
          <w:rFonts w:ascii="Lucida Console" w:hAnsi="Lucida Console" w:cs="Lucida Console" w:eastAsia="Lucida Console"/>
          <w:color w:val="auto"/>
          <w:spacing w:val="0"/>
          <w:position w:val="0"/>
          <w:sz w:val="18"/>
          <w:shd w:fill="auto" w:val="clear"/>
        </w:rPr>
      </w:pPr>
    </w:p>
    <w:p>
      <w:pPr>
        <w:spacing w:before="0" w:after="200" w:line="276"/>
        <w:ind w:right="0" w:left="0" w:firstLine="0"/>
        <w:jc w:val="left"/>
        <w:rPr>
          <w:rFonts w:ascii="Lucida Console" w:hAnsi="Lucida Console" w:cs="Lucida Console" w:eastAsia="Lucida Console"/>
          <w:color w:val="auto"/>
          <w:spacing w:val="0"/>
          <w:position w:val="0"/>
          <w:sz w:val="18"/>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embeddings/oleObject17.bin" Id="docRId34"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1.bin" Id="docRId22" Type="http://schemas.openxmlformats.org/officeDocument/2006/relationships/oleObject" /><Relationship Target="media/image17.wmf" Id="docRId3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media/image14.wmf" Id="docRId29" Type="http://schemas.openxmlformats.org/officeDocument/2006/relationships/image" /><Relationship Target="embeddings/oleObject18.bin" Id="docRId36"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media/image18.wmf" Id="docRId37"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numbering.xml" Id="docRId38" Type="http://schemas.openxmlformats.org/officeDocument/2006/relationships/numbering"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styles.xml" Id="docRId39" Type="http://schemas.openxmlformats.org/officeDocument/2006/relationships/styles"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16.bin" Id="docRId32" Type="http://schemas.openxmlformats.org/officeDocument/2006/relationships/oleObject" /><Relationship Target="embeddings/oleObject2.bin" Id="docRId4" Type="http://schemas.openxmlformats.org/officeDocument/2006/relationships/oleObject" /><Relationship Target="media/image8.wmf" Id="docRId17" Type="http://schemas.openxmlformats.org/officeDocument/2006/relationships/image" /><Relationship Target="embeddings/oleObject12.bin" Id="docRId24" Type="http://schemas.openxmlformats.org/officeDocument/2006/relationships/oleObject" /><Relationship Target="media/image16.wmf" Id="docRId33" Type="http://schemas.openxmlformats.org/officeDocument/2006/relationships/image" /><Relationship Target="media/image11.wmf" Id="docRId23" Type="http://schemas.openxmlformats.org/officeDocument/2006/relationships/image" /><Relationship Target="embeddings/oleObject3.bin" Id="docRId6" Type="http://schemas.openxmlformats.org/officeDocument/2006/relationships/oleObject" /></Relationships>
</file>