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Рассмотрим признак “Индекс лояльности клиента к товарной группе”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данного признака IV (т.е. значимость признака или предсказательная сила) равен 0,14 , что свидетельствует о его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средней </w:t>
      </w:r>
      <w:r w:rsidDel="00000000" w:rsidR="00000000" w:rsidRPr="00000000">
        <w:rPr>
          <w:sz w:val="24"/>
          <w:szCs w:val="24"/>
          <w:rtl w:val="0"/>
        </w:rPr>
        <w:t xml:space="preserve">значимости (поскольку IV располагается в интервале от 0,1 до 0,3). Он не меньше 0,02, поэтому с ним можно считаться и рассматривать как потенциально полезный, в котором можно увидеть некоторые инсайты или зависимости (рисунок 1).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3275" cy="62574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8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25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</w:t>
      </w:r>
    </w:p>
    <w:p w:rsidR="00000000" w:rsidDel="00000000" w:rsidP="00000000" w:rsidRDefault="00000000" w:rsidRPr="00000000" w14:paraId="00000006">
      <w:pPr>
        <w:spacing w:line="360" w:lineRule="auto"/>
        <w:ind w:right="-182.598425196849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Самое сильное влияние у бина, где значение индекса лояльности &lt; 0,009, в это случае WoE = -0,39,  а самое слабое влияние у бина, где индекс лояльности &gt; 0,86, в этом случае WoE = 1,42. Класс пропусков отсутствует, поскольку каждый из клиентов так или иначе покупал товар из предложенных групп (рисунок 2).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По графику (рисунок 3) можем заметить, что количество не-событий больше, чем количество событий. По линии IV видна довольно четкая тенденция - чем выше индекс лояльности, тем больше шанс, что клиент вернется.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Рассмотрим признак “Потраченная сумма за последний визит”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данного признака IV равен 0,06 , что свидетельствует о его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низкой </w:t>
      </w:r>
      <w:r w:rsidDel="00000000" w:rsidR="00000000" w:rsidRPr="00000000">
        <w:rPr>
          <w:sz w:val="24"/>
          <w:szCs w:val="24"/>
          <w:rtl w:val="0"/>
        </w:rPr>
        <w:t xml:space="preserve">значимости (поскольку IV располагается в интервале от 0,02 до 0,1). В целом, не обладает сильной значимостью, а значит может быть не очень информативным для нахождения зависимостей (рисунок 1).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0875" cy="49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Самое сильное влияние у бина, где значение суммы до 405, в это случае WoE = -0,26,  а самое слабое влияние у бина, где сумма  от 1498, в этом случае WoE = 0,28. Бин 4 лучше объединить с другим бином (поскольку он почти не оказывает влияния) (рисунок 2).</w:t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По графику (рисунок 3) можем заметить, что чем больше потратил клиент в последний визит, тем больше вероятность вернуться.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