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ormorant Garamond" w:cs="Cormorant Garamond" w:eastAsia="Cormorant Garamond" w:hAnsi="Cormorant Garamond"/>
          <w:b/>
          <w:bCs/>
          <w:color w:val="2C2420"/>
          <w:sz w:val="56"/>
          <w:szCs w:val="56"/>
        </w:rPr>
        <w:t xml:space="preserve">High Awareness, High Load</w:t>
      </w:r>
    </w:p>
    <w:p>
      <w:pPr>
        <w:spacing w:after="320"/>
      </w:pPr>
      <w:r>
        <w:rPr>
          <w:rFonts w:ascii="Cormorant Garamond" w:cs="Cormorant Garamond" w:eastAsia="Cormorant Garamond" w:hAnsi="Cormorant Garamond"/>
          <w:i/>
          <w:iCs/>
          <w:color w:val="4F6861"/>
          <w:sz w:val="28"/>
          <w:szCs w:val="28"/>
        </w:rPr>
        <w:t xml:space="preserve">When knowing is not enough</w:t>
      </w:r>
    </w:p>
    <w:p>
      <w:pPr>
        <w:spacing w:after="180" w:line="300"/>
      </w:pPr>
      <w:r>
        <w:rPr>
          <w:rFonts w:ascii="Jost" w:cs="Jost" w:eastAsia="Jost" w:hAnsi="Jost"/>
          <w:color w:val="2C2420"/>
          <w:sz w:val="22"/>
          <w:szCs w:val="22"/>
        </w:rPr>
        <w:t xml:space="preserve">There is a particular kind of exhaustion that comes with understanding your own stress perfectly and still feeling crushed by it. You can name what is draining you. You can trace where it comes from. And none of that insight has made the weight any lighter.</w:t>
      </w:r>
    </w:p>
    <w:p>
      <w:pPr>
        <w:spacing w:after="180" w:line="300"/>
      </w:pPr>
      <w:r>
        <w:rPr>
          <w:rFonts w:ascii="Jost" w:cs="Jost" w:eastAsia="Jost" w:hAnsi="Jost"/>
          <w:color w:val="2C2420"/>
          <w:sz w:val="22"/>
          <w:szCs w:val="22"/>
        </w:rPr>
        <w:t xml:space="preserve">This is the High Awareness, High Load profile, one of the four outcomes measured by the Emotional Load Assessment. If it describes you, the issue is not that you lack insight. It is that insight alone was never going to be enough.</w:t>
      </w:r>
    </w:p>
    <w:p>
      <w:pPr>
        <w:pBdr>
          <w:bottom w:val="single" w:color="4F6861" w:sz="6"/>
        </w:pBdr>
        <w:spacing w:after="220" w:before="220"/>
      </w:pPr>
      <w:r>
        <w:rPr>
          <w:sz w:val="2"/>
          <w:szCs w:val="2"/>
        </w:rPr>
        <w:t xml:space="preserve"/>
      </w:r>
    </w:p>
    <w:p>
      <w:pPr>
        <w:pStyle w:val="Heading1"/>
        <w:spacing w:after="140" w:before="360"/>
      </w:pPr>
      <w:r>
        <w:rPr>
          <w:rFonts w:ascii="Cormorant Garamond" w:cs="Cormorant Garamond" w:eastAsia="Cormorant Garamond" w:hAnsi="Cormorant Garamond"/>
          <w:b/>
          <w:bCs/>
          <w:color w:val="2C2420"/>
          <w:sz w:val="36"/>
          <w:szCs w:val="36"/>
        </w:rPr>
        <w:t xml:space="preserve">The Insight Plateau</w:t>
      </w:r>
    </w:p>
    <w:p>
      <w:pPr>
        <w:spacing w:after="180" w:line="300"/>
      </w:pPr>
      <w:r>
        <w:rPr>
          <w:rFonts w:ascii="Jost" w:cs="Jost" w:eastAsia="Jost" w:hAnsi="Jost"/>
          <w:color w:val="2C2420"/>
          <w:sz w:val="22"/>
          <w:szCs w:val="22"/>
        </w:rPr>
        <w:t xml:space="preserve">Self-aware people often assume that understanding a problem is most of the solution. For emotional load, this assumption quietly fails. You can understand exactly why you are depleted and remain fully depleted. Knowing the cause of a heavy load does not lift it.</w:t>
      </w:r>
    </w:p>
    <w:p>
      <w:pPr>
        <w:spacing w:after="180" w:line="300"/>
      </w:pPr>
      <w:r>
        <w:rPr>
          <w:rFonts w:ascii="Jost" w:cs="Jost" w:eastAsia="Jost" w:hAnsi="Jost"/>
          <w:color w:val="2C2420"/>
          <w:sz w:val="22"/>
          <w:szCs w:val="22"/>
        </w:rPr>
        <w:t xml:space="preserve">This is where many thoughtful, psychologically literate people get stuck. They read, they reflect, they analyse. The awareness deepens. The load does not move. Understanding becomes a sophisticated way of circling the problem without changing it.</w:t>
      </w:r>
    </w:p>
    <w:p>
      <w:pPr>
        <w:pBdr>
          <w:left w:val="single" w:color="4F6861" w:sz="24" w:space="12"/>
        </w:pBdr>
        <w:shd w:fill="F5F1E8" w:color="auto" w:val="clear"/>
        <w:spacing w:after="220" w:before="160" w:line="300"/>
        <w:ind w:left="240"/>
      </w:pPr>
      <w:r>
        <w:rPr>
          <w:rFonts w:ascii="Jost" w:cs="Jost" w:eastAsia="Jost" w:hAnsi="Jost"/>
          <w:i/>
          <w:iCs/>
          <w:color w:val="2C2420"/>
          <w:sz w:val="22"/>
          <w:szCs w:val="22"/>
        </w:rPr>
        <w:t xml:space="preserve">Awareness shows you the weight. It does not carry it for you.</w:t>
      </w:r>
    </w:p>
    <w:p>
      <w:pPr>
        <w:pStyle w:val="Heading1"/>
        <w:spacing w:after="140" w:before="360"/>
      </w:pPr>
      <w:r>
        <w:rPr>
          <w:rFonts w:ascii="Cormorant Garamond" w:cs="Cormorant Garamond" w:eastAsia="Cormorant Garamond" w:hAnsi="Cormorant Garamond"/>
          <w:b/>
          <w:bCs/>
          <w:color w:val="2C2420"/>
          <w:sz w:val="36"/>
          <w:szCs w:val="36"/>
        </w:rPr>
        <w:t xml:space="preserve">Why Knowing Does Not Equal Relief</w:t>
      </w:r>
    </w:p>
    <w:p>
      <w:pPr>
        <w:pStyle w:val="Heading2"/>
        <w:spacing w:after="120" w:before="260"/>
      </w:pPr>
      <w:r>
        <w:rPr>
          <w:rFonts w:ascii="Cormorant Garamond" w:cs="Cormorant Garamond" w:eastAsia="Cormorant Garamond" w:hAnsi="Cormorant Garamond"/>
          <w:b/>
          <w:bCs/>
          <w:color w:val="4F6861"/>
          <w:sz w:val="30"/>
          <w:szCs w:val="30"/>
        </w:rPr>
        <w:t xml:space="preserve">Insight Is Cognitive, Load Is Physiological</w:t>
      </w:r>
    </w:p>
    <w:p>
      <w:pPr>
        <w:spacing w:after="180" w:line="300"/>
      </w:pPr>
      <w:r>
        <w:rPr>
          <w:rFonts w:ascii="Jost" w:cs="Jost" w:eastAsia="Jost" w:hAnsi="Jost"/>
          <w:color w:val="2C2420"/>
          <w:sz w:val="22"/>
          <w:szCs w:val="22"/>
        </w:rPr>
        <w:t xml:space="preserve">Emotional load lives in the body, not only in the mind. You can think clearly about your stress while your nervous system stays locked in activation. Understanding a state and shifting a state are two different skills, and the first does not automatically produce the second. Analysing yourself from the neck up does not reset what is happening below it.</w:t>
      </w:r>
    </w:p>
    <w:p>
      <w:pPr>
        <w:pStyle w:val="Heading2"/>
        <w:spacing w:after="120" w:before="260"/>
      </w:pPr>
      <w:r>
        <w:rPr>
          <w:rFonts w:ascii="Cormorant Garamond" w:cs="Cormorant Garamond" w:eastAsia="Cormorant Garamond" w:hAnsi="Cormorant Garamond"/>
          <w:b/>
          <w:bCs/>
          <w:color w:val="4F6861"/>
          <w:sz w:val="30"/>
          <w:szCs w:val="30"/>
        </w:rPr>
        <w:t xml:space="preserve">Rumination Disguised as Processing</w:t>
      </w:r>
    </w:p>
    <w:p>
      <w:pPr>
        <w:spacing w:after="180" w:line="300"/>
      </w:pPr>
      <w:r>
        <w:rPr>
          <w:rFonts w:ascii="Jost" w:cs="Jost" w:eastAsia="Jost" w:hAnsi="Jost"/>
          <w:color w:val="2C2420"/>
          <w:sz w:val="22"/>
          <w:szCs w:val="22"/>
        </w:rPr>
        <w:t xml:space="preserve">For high-awareness people, thinking about feelings can masquerade as dealing with them. But turning a problem over repeatedly is not the same as resolving it. Sometimes deep awareness becomes a very refined form of staying stuck.</w:t>
      </w:r>
    </w:p>
    <w:p>
      <w:pPr>
        <w:pStyle w:val="Heading1"/>
        <w:spacing w:after="140" w:before="360"/>
      </w:pPr>
      <w:r>
        <w:rPr>
          <w:rFonts w:ascii="Cormorant Garamond" w:cs="Cormorant Garamond" w:eastAsia="Cormorant Garamond" w:hAnsi="Cormorant Garamond"/>
          <w:b/>
          <w:bCs/>
          <w:color w:val="2C2420"/>
          <w:sz w:val="36"/>
          <w:szCs w:val="36"/>
        </w:rPr>
        <w:t xml:space="preserve">What This Profile Actually Needs</w:t>
      </w:r>
    </w:p>
    <w:p>
      <w:pPr>
        <w:spacing w:after="180" w:line="300"/>
      </w:pPr>
      <w:r>
        <w:rPr>
          <w:rFonts w:ascii="Jost" w:cs="Jost" w:eastAsia="Jost" w:hAnsi="Jost"/>
          <w:color w:val="2C2420"/>
          <w:sz w:val="22"/>
          <w:szCs w:val="22"/>
        </w:rPr>
        <w:t xml:space="preserve">If you are high awareness and high load, your next step is not more insight. It is regulation, practices that shift your physiological state rather than your understanding of it.</w:t>
      </w:r>
    </w:p>
    <w:p>
      <w:pPr>
        <w:spacing w:after="180" w:line="300"/>
      </w:pPr>
      <w:r>
        <w:rPr>
          <w:rFonts w:ascii="Jost" w:cs="Jost" w:eastAsia="Jost" w:hAnsi="Jost"/>
          <w:color w:val="2C2420"/>
          <w:sz w:val="22"/>
          <w:szCs w:val="22"/>
        </w:rPr>
        <w:t xml:space="preserve">This is a specific pivot. You move from asking why do I feel this way, which you can already answer, to how do I help my nervous system come back down, which is a different skill entirely. Regulation works with the body, through the breath and the vagus nerve, to complete the stress response that awareness alone leaves open.</w:t>
      </w:r>
    </w:p>
    <w:p>
      <w:pPr>
        <w:spacing w:after="180" w:line="300"/>
      </w:pPr>
      <w:r>
        <w:rPr>
          <w:rFonts w:ascii="Jost" w:cs="Jost" w:eastAsia="Jost" w:hAnsi="Jost"/>
          <w:color w:val="2C2420"/>
          <w:sz w:val="22"/>
          <w:szCs w:val="22"/>
        </w:rPr>
        <w:t xml:space="preserve">This is exactly where the Inner Balance System begins its regulation stage. Because your awareness is already built, you can start there rather than spending weeks learning to read yourself first. You have done that part.</w:t>
      </w:r>
    </w:p>
    <w:p>
      <w:pPr>
        <w:pBdr>
          <w:bottom w:val="single" w:color="4F6861" w:sz="6"/>
        </w:pBdr>
        <w:spacing w:after="220" w:before="220"/>
      </w:pPr>
      <w:r>
        <w:rPr>
          <w:sz w:val="2"/>
          <w:szCs w:val="2"/>
        </w:rPr>
        <w:t xml:space="preserve"/>
      </w:r>
    </w:p>
    <w:p>
      <w:pPr>
        <w:pStyle w:val="Heading1"/>
        <w:spacing w:after="140" w:before="360"/>
      </w:pPr>
      <w:r>
        <w:rPr>
          <w:rFonts w:ascii="Cormorant Garamond" w:cs="Cormorant Garamond" w:eastAsia="Cormorant Garamond" w:hAnsi="Cormorant Garamond"/>
          <w:b/>
          <w:bCs/>
          <w:color w:val="2C2420"/>
          <w:sz w:val="36"/>
          <w:szCs w:val="36"/>
        </w:rPr>
        <w:t xml:space="preserve">The Shift From Understanding to Doing</w:t>
      </w:r>
    </w:p>
    <w:p>
      <w:pPr>
        <w:pStyle w:val="ListParagraph"/>
        <w:numPr>
          <w:ilvl w:val="0"/>
          <w:numId w:val="1"/>
        </w:numPr>
        <w:spacing w:after="100" w:line="300"/>
      </w:pPr>
      <w:r>
        <w:rPr>
          <w:rFonts w:ascii="Jost" w:cs="Jost" w:eastAsia="Jost" w:hAnsi="Jost"/>
          <w:color w:val="2C2420"/>
          <w:sz w:val="22"/>
          <w:szCs w:val="22"/>
        </w:rPr>
        <w:t xml:space="preserve">Stop gathering more insight about your load. You have enough.</w:t>
      </w:r>
    </w:p>
    <w:p>
      <w:pPr>
        <w:pStyle w:val="ListParagraph"/>
        <w:numPr>
          <w:ilvl w:val="0"/>
          <w:numId w:val="1"/>
        </w:numPr>
        <w:spacing w:after="100" w:line="300"/>
      </w:pPr>
      <w:r>
        <w:rPr>
          <w:rFonts w:ascii="Jost" w:cs="Jost" w:eastAsia="Jost" w:hAnsi="Jost"/>
          <w:color w:val="2C2420"/>
          <w:sz w:val="22"/>
          <w:szCs w:val="22"/>
        </w:rPr>
        <w:t xml:space="preserve">Redirect that energy toward practices that change your state, not your analysis.</w:t>
      </w:r>
    </w:p>
    <w:p>
      <w:pPr>
        <w:pStyle w:val="ListParagraph"/>
        <w:numPr>
          <w:ilvl w:val="0"/>
          <w:numId w:val="1"/>
        </w:numPr>
        <w:spacing w:after="100" w:line="300"/>
      </w:pPr>
      <w:r>
        <w:rPr>
          <w:rFonts w:ascii="Jost" w:cs="Jost" w:eastAsia="Jost" w:hAnsi="Jost"/>
          <w:color w:val="2C2420"/>
          <w:sz w:val="22"/>
          <w:szCs w:val="22"/>
        </w:rPr>
        <w:t xml:space="preserve">Prioritise recovery. Your load is high, which means completing the return to calm matters more than understanding why calm is hard.</w:t>
      </w:r>
    </w:p>
    <w:p>
      <w:pPr>
        <w:pStyle w:val="ListParagraph"/>
        <w:numPr>
          <w:ilvl w:val="0"/>
          <w:numId w:val="1"/>
        </w:numPr>
        <w:spacing w:after="100" w:line="300"/>
      </w:pPr>
      <w:r>
        <w:rPr>
          <w:rFonts w:ascii="Jost" w:cs="Jost" w:eastAsia="Jost" w:hAnsi="Jost"/>
          <w:color w:val="2C2420"/>
          <w:sz w:val="22"/>
          <w:szCs w:val="22"/>
        </w:rPr>
        <w:t xml:space="preserve">Notice which dimension carries the most weight, and regulate there first.</w:t>
      </w:r>
    </w:p>
    <w:p>
      <w:pPr>
        <w:pStyle w:val="Heading1"/>
        <w:spacing w:after="140" w:before="360"/>
      </w:pPr>
      <w:r>
        <w:rPr>
          <w:rFonts w:ascii="Cormorant Garamond" w:cs="Cormorant Garamond" w:eastAsia="Cormorant Garamond" w:hAnsi="Cormorant Garamond"/>
          <w:b/>
          <w:bCs/>
          <w:color w:val="2C2420"/>
          <w:sz w:val="36"/>
          <w:szCs w:val="36"/>
        </w:rPr>
        <w:t xml:space="preserve">Why This Profile Responds Quickly</w:t>
      </w:r>
    </w:p>
    <w:p>
      <w:pPr>
        <w:spacing w:after="180" w:line="300"/>
      </w:pPr>
      <w:r>
        <w:rPr>
          <w:rFonts w:ascii="Jost" w:cs="Jost" w:eastAsia="Jost" w:hAnsi="Jost"/>
          <w:color w:val="2C2420"/>
          <w:sz w:val="22"/>
          <w:szCs w:val="22"/>
        </w:rPr>
        <w:t xml:space="preserve">There is good news in this profile. Because your awareness is already high, you do not need to build perception first. You can see your state clearly, which means the right regulation practice can produce noticeable relief faster than it would for someone still learning to read themselves.</w:t>
      </w:r>
    </w:p>
    <w:p>
      <w:pPr>
        <w:spacing w:after="180" w:line="300"/>
      </w:pPr>
      <w:r>
        <w:rPr>
          <w:rFonts w:ascii="Jost" w:cs="Jost" w:eastAsia="Jost" w:hAnsi="Jost"/>
          <w:color w:val="2C2420"/>
          <w:sz w:val="22"/>
          <w:szCs w:val="22"/>
        </w:rPr>
        <w:t xml:space="preserve">The awareness you have been carrying is not wasted. It becomes the foundation regulation is built on. You simply needed the other half of the equation.</w:t>
      </w:r>
    </w:p>
    <w:p>
      <w:pPr>
        <w:pStyle w:val="Heading1"/>
        <w:spacing w:after="140" w:before="360"/>
      </w:pPr>
      <w:r>
        <w:rPr>
          <w:rFonts w:ascii="Cormorant Garamond" w:cs="Cormorant Garamond" w:eastAsia="Cormorant Garamond" w:hAnsi="Cormorant Garamond"/>
          <w:b/>
          <w:bCs/>
          <w:color w:val="2C2420"/>
          <w:sz w:val="36"/>
          <w:szCs w:val="36"/>
        </w:rPr>
        <w:t xml:space="preserve">Where to Go From Here</w:t>
      </w:r>
    </w:p>
    <w:p>
      <w:pPr>
        <w:spacing w:after="180" w:line="300"/>
      </w:pPr>
      <w:r>
        <w:rPr>
          <w:rFonts w:ascii="Jost" w:cs="Jost" w:eastAsia="Jost" w:hAnsi="Jost"/>
          <w:color w:val="2C2420"/>
          <w:sz w:val="22"/>
          <w:szCs w:val="22"/>
        </w:rPr>
        <w:t xml:space="preserve">If you have not yet confirmed your profile, or want to see which dimension to regulate first, the Emotional Load Assessment maps both your awareness and your load, so your next step is precise rather than more of the same.</w:t>
      </w:r>
    </w:p>
    <w:p>
      <w:pPr>
        <w:shd w:fill="4F6861" w:color="auto" w:val="clear"/>
        <w:spacing w:after="120" w:before="300" w:line="300"/>
        <w:ind w:left="200" w:right="200"/>
      </w:pPr>
      <w:hyperlink w:history="1" r:id="rIdpm900tfyqfrhqbvr7uzp1">
        <w:r>
          <w:rPr>
            <w:rFonts w:ascii="Jost" w:cs="Jost" w:eastAsia="Jost" w:hAnsi="Jost"/>
            <w:b/>
            <w:bCs/>
            <w:color w:val="FFFFFF"/>
            <w:sz w:val="24"/>
            <w:szCs w:val="24"/>
          </w:rPr>
          <w:t xml:space="preserve">Confirm your profile with the Emotional Load Assessment</w:t>
        </w:r>
      </w:hyperlink>
    </w:p>
    <w:p>
      <w:pPr>
        <w:spacing w:before="240"/>
      </w:pPr>
      <w:r>
        <w:rPr>
          <w:rFonts w:ascii="Jost" w:cs="Jost" w:eastAsia="Jost" w:hAnsi="Jost"/>
          <w:color w:val="4F6861"/>
          <w:sz w:val="20"/>
          <w:szCs w:val="20"/>
        </w:rPr>
        <w:t xml:space="preserve">#emotionalload  #selfawareness  #emotionalregulation  #nervoussystem  #overthinking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Jost" w:cs="Jost" w:eastAsia="Jost" w:hAnsi="Jost"/>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m900tfyqfrhqbvr7uzp1" Type="http://schemas.openxmlformats.org/officeDocument/2006/relationships/hyperlink" Target="https://innerbalance101.com/emotional_load_assessment"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2026-07-09T21:17:54.487Z</dcterms:created>
  <dcterms:modified xsi:type="dcterms:W3CDTF">2026-07-09T21:17:54.487Z</dcterms:modified>
</cp:coreProperties>
</file>

<file path=docProps/custom.xml><?xml version="1.0" encoding="utf-8"?>
<Properties xmlns="http://schemas.openxmlformats.org/officeDocument/2006/custom-properties" xmlns:vt="http://schemas.openxmlformats.org/officeDocument/2006/docPropsVTypes"/>
</file>