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E60012"/>
          <w:sz w:val="72"/>
          <w:szCs w:val="72"/>
        </w:rPr>
        <w:t xml:space="preserve">MOOVY</w:t>
      </w:r>
    </w:p>
    <w:p>
      <w:pPr>
        <w:spacing w:after="400"/>
        <w:jc w:val="center"/>
      </w:pPr>
      <w:r>
        <w:rPr>
          <w:rFonts w:ascii="Arial" w:cs="Arial" w:eastAsia="Arial" w:hAnsi="Arial"/>
          <w:color w:val="666666"/>
          <w:sz w:val="28"/>
          <w:szCs w:val="28"/>
        </w:rPr>
        <w:t xml:space="preserve">Marketplace + Delivery — Ushuaia, Tierra del Fuego</w:t>
      </w:r>
    </w:p>
    <w:p>
      <w:pPr>
        <w:spacing w:after="80"/>
      </w:pPr>
    </w:p>
    <w:p>
      <w:pPr>
        <w:pBdr>
          <w:top w:val="single" w:color="E60012" w:sz="2" w:space="12"/>
          <w:bottom w:val="single" w:color="E60012" w:sz="2" w:space="12"/>
        </w:pBdr>
        <w:spacing w:after="200" w:before="200"/>
        <w:jc w:val="center"/>
      </w:pPr>
      <w:r>
        <w:rPr>
          <w:rFonts w:ascii="Arial" w:cs="Arial" w:eastAsia="Arial" w:hAnsi="Arial"/>
          <w:b/>
          <w:bCs/>
          <w:color w:val="1A1A1A"/>
          <w:sz w:val="40"/>
          <w:szCs w:val="40"/>
        </w:rPr>
        <w:t xml:space="preserve">GUÍA LEGAL COMPLETA</w:t>
      </w:r>
    </w:p>
    <w:p>
      <w:pPr>
        <w:spacing w:after="80"/>
        <w:jc w:val="center"/>
      </w:pPr>
      <w:r>
        <w:rPr>
          <w:rFonts w:ascii="Arial" w:cs="Arial" w:eastAsia="Arial" w:hAnsi="Arial"/>
          <w:color w:val="666666"/>
          <w:sz w:val="26"/>
          <w:szCs w:val="26"/>
        </w:rPr>
        <w:t xml:space="preserve">Registro de Marca, Constitución Societaria y</w:t>
      </w:r>
    </w:p>
    <w:p>
      <w:pPr>
        <w:spacing w:after="400"/>
        <w:jc w:val="center"/>
      </w:pPr>
      <w:r>
        <w:rPr>
          <w:rFonts w:ascii="Arial" w:cs="Arial" w:eastAsia="Arial" w:hAnsi="Arial"/>
          <w:color w:val="666666"/>
          <w:sz w:val="26"/>
          <w:szCs w:val="26"/>
        </w:rPr>
        <w:t xml:space="preserve">Cumplimiento Legal para Operación</w:t>
      </w: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Preparado para: Mauro D. — Fundador</w:t>
      </w:r>
    </w:p>
    <w:p>
      <w:pPr>
        <w:spacing w:after="80"/>
        <w:jc w:val="center"/>
      </w:pPr>
      <w:r>
        <w:rPr>
          <w:rFonts w:ascii="Arial" w:cs="Arial" w:eastAsia="Arial" w:hAnsi="Arial"/>
          <w:color w:val="666666"/>
          <w:sz w:val="22"/>
          <w:szCs w:val="22"/>
        </w:rPr>
        <w:t xml:space="preserve">Fecha: Marzo 2026</w:t>
      </w:r>
    </w:p>
    <w:p>
      <w:pPr>
        <w:jc w:val="center"/>
      </w:pPr>
      <w:r>
        <w:rPr>
          <w:rFonts w:ascii="Arial" w:cs="Arial" w:eastAsia="Arial" w:hAnsi="Arial"/>
          <w:i/>
          <w:iCs/>
          <w:color w:val="666666"/>
          <w:sz w:val="18"/>
          <w:szCs w:val="18"/>
        </w:rPr>
        <w:t xml:space="preserve">DOCUMENTO INTERNO — NO REEMPLAZA ASESORÍA LEGAL PROFESIONAL</w:t>
      </w:r>
    </w:p>
    <w:p>
      <w:pPr>
        <w:sectPr>
          <w:pgSz w:w="12240" w:h="15840" w:orient="portrait"/>
          <w:pgMar w:top="1440" w:right="1440" w:bottom="1440" w:left="1440" w:header="708" w:footer="708" w:gutter="0"/>
          <w:pgNumType/>
          <w:docGrid w:linePitch="360"/>
        </w:sectPr>
      </w:pPr>
    </w:p>
    <w:p>
      <w:pPr>
        <w:pBdr>
          <w:left w:val="single" w:color="F59E0B" w:sz="12" w:space="8"/>
        </w:pBdr>
        <w:spacing w:after="200"/>
        <w:ind w:left="240"/>
      </w:pPr>
      <w:r>
        <w:rPr>
          <w:rFonts w:ascii="Arial" w:cs="Arial" w:eastAsia="Arial" w:hAnsi="Arial"/>
          <w:b/>
          <w:bCs/>
          <w:color w:val="F59E0B"/>
          <w:sz w:val="22"/>
          <w:szCs w:val="22"/>
        </w:rPr>
        <w:t xml:space="preserve">AVISO IMPORTANTE: </w:t>
      </w:r>
      <w:r>
        <w:rPr>
          <w:rFonts w:ascii="Arial" w:cs="Arial" w:eastAsia="Arial" w:hAnsi="Arial"/>
          <w:color w:val="1A1A1A"/>
          <w:sz w:val="22"/>
          <w:szCs w:val="22"/>
        </w:rPr>
        <w:t xml:space="preserve">Esta guía es orientativa y fue preparada con información pública vigente a marzo 2026. No reemplaza la consulta con un abogado matriculado en Tierra del Fuego. Los aranceles y requisitos pueden cambiar. Se recomienda contratar un agente de propiedad industrial para el registro de marca y un contador público para la constitución societaria.</w:t>
      </w:r>
    </w:p>
    <w:p>
      <w:pPr>
        <w:spacing w:after="80"/>
      </w:pPr>
    </w:p>
    <w:p>
      <w:pPr>
        <w:pStyle w:val="Heading1"/>
        <w:spacing w:after="200" w:before="360"/>
      </w:pPr>
      <w:r>
        <w:rPr>
          <w:rFonts w:ascii="Arial" w:cs="Arial" w:eastAsia="Arial" w:hAnsi="Arial"/>
          <w:b/>
          <w:bCs/>
          <w:color w:val="E60012"/>
          <w:sz w:val="32"/>
          <w:szCs w:val="32"/>
        </w:rPr>
        <w:t xml:space="preserve">1. REGISTRO DE MARCA “MOOVY”</w:t>
      </w:r>
    </w:p>
    <w:p>
      <w:pPr>
        <w:spacing w:after="120"/>
        <w:jc w:val="left"/>
      </w:pPr>
      <w:r>
        <w:rPr>
          <w:rFonts w:ascii="Arial" w:cs="Arial" w:eastAsia="Arial" w:hAnsi="Arial"/>
          <w:b w:val="false"/>
          <w:bCs w:val="false"/>
          <w:i w:val="false"/>
          <w:iCs w:val="false"/>
          <w:color w:val="1A1A1A"/>
          <w:sz w:val="22"/>
          <w:szCs w:val="22"/>
        </w:rPr>
        <w:t xml:space="preserve">El registro de marca en Argentina se tramita exclusivamente ante el INPI (Instituto Nacional de la Propiedad Industrial), dependiente de la Secretaría de Industria y Comercio. Es un trámite 100% online desde 2026. La marca registrada otorga exclusividad por 10 años, renovable indefinidamente.</w:t>
      </w:r>
    </w:p>
    <w:p>
      <w:pPr>
        <w:pStyle w:val="Heading2"/>
        <w:spacing w:after="160" w:before="280"/>
      </w:pPr>
      <w:r>
        <w:rPr>
          <w:rFonts w:ascii="Arial" w:cs="Arial" w:eastAsia="Arial" w:hAnsi="Arial"/>
          <w:b/>
          <w:bCs/>
          <w:color w:val="1A1A1A"/>
          <w:sz w:val="26"/>
          <w:szCs w:val="26"/>
        </w:rPr>
        <w:t xml:space="preserve">1.1 Antes de registrar: Búsqueda de disponibilidad</w:t>
      </w:r>
    </w:p>
    <w:p>
      <w:pPr>
        <w:spacing w:after="120"/>
        <w:jc w:val="left"/>
      </w:pPr>
      <w:r>
        <w:rPr>
          <w:rFonts w:ascii="Arial" w:cs="Arial" w:eastAsia="Arial" w:hAnsi="Arial"/>
          <w:b w:val="false"/>
          <w:bCs w:val="false"/>
          <w:i w:val="false"/>
          <w:iCs w:val="false"/>
          <w:color w:val="1A1A1A"/>
          <w:sz w:val="22"/>
          <w:szCs w:val="22"/>
        </w:rPr>
        <w:t xml:space="preserve">Antes de iniciar el trámite formal, es fundamental verificar que no exista una marca idéntica o similar registrada o en trámite. Esto evita gastar dinero en una solicitud que será rechazada.</w:t>
      </w:r>
    </w:p>
    <w:p>
      <w:pPr>
        <w:spacing w:after="120" w:before="200"/>
      </w:pPr>
      <w:r>
        <w:rPr>
          <w:rFonts w:ascii="Arial" w:cs="Arial" w:eastAsia="Arial" w:hAnsi="Arial"/>
          <w:b/>
          <w:bCs/>
          <w:color w:val="1A1A1A"/>
          <w:sz w:val="22"/>
          <w:szCs w:val="22"/>
        </w:rPr>
        <w:t xml:space="preserve">Cómo hacer la búsqueda</w:t>
      </w:r>
    </w:p>
    <w:p>
      <w:pPr>
        <w:pStyle w:val="ListParagraph"/>
        <w:numPr>
          <w:ilvl w:val="0"/>
          <w:numId w:val="2"/>
        </w:numPr>
        <w:spacing w:after="80"/>
      </w:pPr>
      <w:r>
        <w:rPr>
          <w:rFonts w:ascii="Arial" w:cs="Arial" w:eastAsia="Arial" w:hAnsi="Arial"/>
          <w:b/>
          <w:bCs/>
          <w:sz w:val="22"/>
          <w:szCs w:val="22"/>
        </w:rPr>
        <w:t xml:space="preserve">Búsqueda gratuita: </w:t>
      </w:r>
      <w:r>
        <w:rPr>
          <w:rFonts w:ascii="Arial" w:cs="Arial" w:eastAsia="Arial" w:hAnsi="Arial"/>
          <w:sz w:val="22"/>
          <w:szCs w:val="22"/>
        </w:rPr>
        <w:t xml:space="preserve">Ingresar al buscador de marcas del INPI (portaltramites.inpi.gob.ar) y buscar “MOOVY” y variantes fonéticas similares (“Muvi”, “Moovi”, “Mooby”, “Movie”). Buscar en las clases 35, 39 y 42.</w:t>
      </w:r>
    </w:p>
    <w:p>
      <w:pPr>
        <w:pStyle w:val="ListParagraph"/>
        <w:numPr>
          <w:ilvl w:val="0"/>
          <w:numId w:val="2"/>
        </w:numPr>
        <w:spacing w:after="80"/>
      </w:pPr>
      <w:r>
        <w:rPr>
          <w:rFonts w:ascii="Arial" w:cs="Arial" w:eastAsia="Arial" w:hAnsi="Arial"/>
          <w:b/>
          <w:bCs/>
          <w:sz w:val="22"/>
          <w:szCs w:val="22"/>
        </w:rPr>
        <w:t xml:space="preserve">Búsqueda paga (recomendada): </w:t>
      </w:r>
      <w:r>
        <w:rPr>
          <w:rFonts w:ascii="Arial" w:cs="Arial" w:eastAsia="Arial" w:hAnsi="Arial"/>
          <w:sz w:val="22"/>
          <w:szCs w:val="22"/>
        </w:rPr>
        <w:t xml:space="preserve">Solicitar al INPI una búsqueda de antecedentes en el área de Información Tecnológica. Es más exhaustiva y tiene costo adicional, pero reduce significativamente el riesgo de oposiciones.</w:t>
      </w:r>
    </w:p>
    <w:p>
      <w:pPr>
        <w:pStyle w:val="ListParagraph"/>
        <w:numPr>
          <w:ilvl w:val="0"/>
          <w:numId w:val="2"/>
        </w:numPr>
        <w:spacing w:after="120"/>
      </w:pPr>
      <w:r>
        <w:rPr>
          <w:rFonts w:ascii="Arial" w:cs="Arial" w:eastAsia="Arial" w:hAnsi="Arial"/>
          <w:b/>
          <w:bCs/>
          <w:sz w:val="22"/>
          <w:szCs w:val="22"/>
        </w:rPr>
        <w:t xml:space="preserve">Contratar agente de propiedad industrial: </w:t>
      </w:r>
      <w:r>
        <w:rPr>
          <w:rFonts w:ascii="Arial" w:cs="Arial" w:eastAsia="Arial" w:hAnsi="Arial"/>
          <w:sz w:val="22"/>
          <w:szCs w:val="22"/>
        </w:rPr>
        <w:t xml:space="preserve">Un profesional matriculado ante el INPI hace la búsqueda, evalúa riesgos de confusión fonética/visual, y presenta la solicitud. Costo típico: $50.000–$150.000 ARS por clase (además del arancel oficial).</w:t>
      </w:r>
    </w:p>
    <w:p>
      <w:pPr>
        <w:pBdr>
          <w:left w:val="single" w:color="E60012" w:sz="12" w:space="8"/>
        </w:pBdr>
        <w:spacing w:after="160" w:before="160"/>
        <w:ind w:left="240"/>
      </w:pPr>
      <w:r>
        <w:rPr>
          <w:rFonts w:ascii="Arial" w:cs="Arial" w:eastAsia="Arial" w:hAnsi="Arial"/>
          <w:b/>
          <w:bCs/>
          <w:color w:val="E60012"/>
          <w:sz w:val="22"/>
          <w:szCs w:val="22"/>
        </w:rPr>
        <w:t xml:space="preserve">RECOMENDACIÓN CEO: Contratá un agente de propiedad industrial. El costo es bajo comparado con el riesgo de perder la marca o enfrentar una oposición.</w:t>
      </w:r>
    </w:p>
    <w:p>
      <w:pPr>
        <w:pStyle w:val="Heading2"/>
        <w:spacing w:after="160" w:before="280"/>
      </w:pPr>
      <w:r>
        <w:rPr>
          <w:rFonts w:ascii="Arial" w:cs="Arial" w:eastAsia="Arial" w:hAnsi="Arial"/>
          <w:b/>
          <w:bCs/>
          <w:color w:val="1A1A1A"/>
          <w:sz w:val="26"/>
          <w:szCs w:val="26"/>
        </w:rPr>
        <w:t xml:space="preserve">1.2 Clases de Niza que necesita MOOVY</w:t>
      </w:r>
    </w:p>
    <w:p>
      <w:pPr>
        <w:spacing w:after="120"/>
        <w:jc w:val="left"/>
      </w:pPr>
      <w:r>
        <w:rPr>
          <w:rFonts w:ascii="Arial" w:cs="Arial" w:eastAsia="Arial" w:hAnsi="Arial"/>
          <w:b w:val="false"/>
          <w:bCs w:val="false"/>
          <w:i w:val="false"/>
          <w:iCs w:val="false"/>
          <w:color w:val="1A1A1A"/>
          <w:sz w:val="22"/>
          <w:szCs w:val="22"/>
        </w:rPr>
        <w:t xml:space="preserve">Argentina usa la Clasificación Internacional de Niza (45 clases). Cada clase protege un tipo específico de producto o servicio. MOOVY necesita registrar en múltiples clases porque opera como marketplace, delivery y plataforma tecnológica. Cada clase se paga por separado.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E600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Clase</w:t>
            </w:r>
          </w:p>
        </w:tc>
        <w:tc>
          <w:tcPr>
            <w:tcW w:type="dxa" w:w="4160"/>
            <w:tcBorders>
              <w:top w:val="single" w:color="CCCCCC" w:sz="1"/>
              <w:left w:val="single" w:color="CCCCCC" w:sz="1"/>
              <w:bottom w:val="single" w:color="CCCCCC" w:sz="1"/>
              <w:right w:val="single" w:color="CCCCCC" w:sz="1"/>
            </w:tcBorders>
            <w:shd w:fill="E60012" w:val="clear"/>
            <w:tcMar>
              <w:top w:type="dxa" w:w="80"/>
              <w:left w:type="dxa" w:w="120"/>
              <w:bottom w:type="dxa" w:w="80"/>
              <w:right w:type="dxa" w:w="120"/>
            </w:tcMar>
          </w:tcPr>
          <w:p>
            <w:r>
              <w:rPr>
                <w:rFonts w:ascii="Arial" w:cs="Arial" w:eastAsia="Arial" w:hAnsi="Arial"/>
                <w:b/>
                <w:bCs/>
                <w:color w:val="FFFFFF"/>
                <w:sz w:val="20"/>
                <w:szCs w:val="20"/>
              </w:rPr>
              <w:t xml:space="preserve">Qué cubre</w:t>
            </w:r>
          </w:p>
        </w:tc>
        <w:tc>
          <w:tcPr>
            <w:tcW w:type="dxa" w:w="4000"/>
            <w:tcBorders>
              <w:top w:val="single" w:color="CCCCCC" w:sz="1"/>
              <w:left w:val="single" w:color="CCCCCC" w:sz="1"/>
              <w:bottom w:val="single" w:color="CCCCCC" w:sz="1"/>
              <w:right w:val="single" w:color="CCCCCC" w:sz="1"/>
            </w:tcBorders>
            <w:shd w:fill="E60012" w:val="clear"/>
            <w:tcMar>
              <w:top w:type="dxa" w:w="80"/>
              <w:left w:type="dxa" w:w="120"/>
              <w:bottom w:type="dxa" w:w="80"/>
              <w:right w:type="dxa" w:w="120"/>
            </w:tcMar>
          </w:tcPr>
          <w:p>
            <w:r>
              <w:rPr>
                <w:rFonts w:ascii="Arial" w:cs="Arial" w:eastAsia="Arial" w:hAnsi="Arial"/>
                <w:b/>
                <w:bCs/>
                <w:color w:val="FFFFFF"/>
                <w:sz w:val="20"/>
                <w:szCs w:val="20"/>
              </w:rPr>
              <w:t xml:space="preserve">Por qué MOOVY la necesita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0012"/>
                <w:sz w:val="22"/>
                <w:szCs w:val="22"/>
              </w:rPr>
              <w:t xml:space="preserve">35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Publicidad, gestión de negocios comerciales, servicios de intermediación comercial en línea (marketplace)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Actividad principal: conectar compradores con comercios y vendedores. Intermediación comercial digital. IMPRESCINDIBLE.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0012"/>
                <w:sz w:val="22"/>
                <w:szCs w:val="22"/>
              </w:rPr>
              <w:t xml:space="preserve">39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Transporte, reparto y entrega de mercancías, servicios de mensajería, logística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del negocio de delivery. Coordinación de repartidores, entregas last-mile. IMPRESCINDIBLE.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0012"/>
                <w:sz w:val="22"/>
                <w:szCs w:val="22"/>
              </w:rPr>
              <w:t xml:space="preserve">42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Diseño y desarrollo de software, plataformas digitales, SaaS, servicios tecnológicos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Protección de la app como producto tecnológico. Previene que otro use “MOOVY” para una app similar. RECOMENDADA.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E60012"/>
                <w:sz w:val="22"/>
                <w:szCs w:val="22"/>
              </w:rPr>
              <w:t xml:space="preserve">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descargable, aplicaciones móviles, contenido digital descargable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Protege la app como producto descargable en tiendas (Google Play, App Store). RECOMENDADA si se lanza app nativa.</w:t>
            </w:r>
          </w:p>
        </w:tc>
      </w:tr>
    </w:tbl>
    <w:p>
      <w:pPr>
        <w:spacing w:after="80"/>
      </w:pPr>
    </w:p>
    <w:p>
      <w:pPr>
        <w:pBdr>
          <w:left w:val="single" w:color="E60012" w:sz="12" w:space="8"/>
        </w:pBdr>
        <w:spacing w:after="160" w:before="160"/>
        <w:ind w:left="240"/>
      </w:pPr>
      <w:r>
        <w:rPr>
          <w:rFonts w:ascii="Arial" w:cs="Arial" w:eastAsia="Arial" w:hAnsi="Arial"/>
          <w:b/>
          <w:bCs/>
          <w:color w:val="E60012"/>
          <w:sz w:val="22"/>
          <w:szCs w:val="22"/>
        </w:rPr>
        <w:t xml:space="preserve">ESTRATEGIA: Registrá primero las clases 35 y 39 (imprescindibles). La 42 y la 9 son recomendables pero pueden esperar si el presupuesto es ajustado.</w:t>
      </w:r>
    </w:p>
    <w:p>
      <w:pPr>
        <w:pStyle w:val="Heading2"/>
        <w:spacing w:after="160" w:before="280"/>
      </w:pPr>
      <w:r>
        <w:rPr>
          <w:rFonts w:ascii="Arial" w:cs="Arial" w:eastAsia="Arial" w:hAnsi="Arial"/>
          <w:b/>
          <w:bCs/>
          <w:color w:val="1A1A1A"/>
          <w:sz w:val="26"/>
          <w:szCs w:val="26"/>
        </w:rPr>
        <w:t xml:space="preserve">1.3 Tipo de marca a registrar</w:t>
      </w:r>
    </w:p>
    <w:p>
      <w:pPr>
        <w:spacing w:after="120"/>
        <w:jc w:val="left"/>
      </w:pPr>
      <w:r>
        <w:rPr>
          <w:rFonts w:ascii="Arial" w:cs="Arial" w:eastAsia="Arial" w:hAnsi="Arial"/>
          <w:b w:val="false"/>
          <w:bCs w:val="false"/>
          <w:i w:val="false"/>
          <w:iCs w:val="false"/>
          <w:color w:val="1A1A1A"/>
          <w:sz w:val="22"/>
          <w:szCs w:val="22"/>
        </w:rPr>
        <w:t xml:space="preserve">Existen tres modalidades de registro ante el INPI. Para MOOVY conviene registrar al menos dos:</w:t>
      </w:r>
    </w:p>
    <w:p>
      <w:pPr>
        <w:pStyle w:val="ListParagraph"/>
        <w:numPr>
          <w:ilvl w:val="0"/>
          <w:numId w:val="3"/>
        </w:numPr>
        <w:spacing w:after="80"/>
      </w:pPr>
      <w:r>
        <w:rPr>
          <w:rFonts w:ascii="Arial" w:cs="Arial" w:eastAsia="Arial" w:hAnsi="Arial"/>
          <w:b/>
          <w:bCs/>
          <w:sz w:val="22"/>
          <w:szCs w:val="22"/>
        </w:rPr>
        <w:t xml:space="preserve">Marca denominativa (solo el nombre “MOOVY”): </w:t>
      </w:r>
      <w:r>
        <w:rPr>
          <w:rFonts w:ascii="Arial" w:cs="Arial" w:eastAsia="Arial" w:hAnsi="Arial"/>
          <w:sz w:val="22"/>
          <w:szCs w:val="22"/>
        </w:rPr>
        <w:t xml:space="preserve">Protege la palabra sin importar la tipografía o diseño. Es la protección más amplia. PRIORITARIA.</w:t>
      </w:r>
    </w:p>
    <w:p>
      <w:pPr>
        <w:pStyle w:val="ListParagraph"/>
        <w:numPr>
          <w:ilvl w:val="0"/>
          <w:numId w:val="3"/>
        </w:numPr>
        <w:spacing w:after="80"/>
      </w:pPr>
      <w:r>
        <w:rPr>
          <w:rFonts w:ascii="Arial" w:cs="Arial" w:eastAsia="Arial" w:hAnsi="Arial"/>
          <w:b/>
          <w:bCs/>
          <w:sz w:val="22"/>
          <w:szCs w:val="22"/>
        </w:rPr>
        <w:t xml:space="preserve">Marca mixta (nombre + logo): </w:t>
      </w:r>
      <w:r>
        <w:rPr>
          <w:rFonts w:ascii="Arial" w:cs="Arial" w:eastAsia="Arial" w:hAnsi="Arial"/>
          <w:sz w:val="22"/>
          <w:szCs w:val="22"/>
        </w:rPr>
        <w:t xml:space="preserve">Protege el conjunto del nombre con el diseño gráfico. Ideal cuando el isotipo es distintivo.</w:t>
      </w:r>
    </w:p>
    <w:p>
      <w:pPr>
        <w:pStyle w:val="ListParagraph"/>
        <w:numPr>
          <w:ilvl w:val="0"/>
          <w:numId w:val="3"/>
        </w:numPr>
        <w:spacing w:after="120"/>
      </w:pPr>
      <w:r>
        <w:rPr>
          <w:rFonts w:ascii="Arial" w:cs="Arial" w:eastAsia="Arial" w:hAnsi="Arial"/>
          <w:b/>
          <w:bCs/>
          <w:sz w:val="22"/>
          <w:szCs w:val="22"/>
        </w:rPr>
        <w:t xml:space="preserve">Marca figurativa (solo el logo/isotipo): </w:t>
      </w:r>
      <w:r>
        <w:rPr>
          <w:rFonts w:ascii="Arial" w:cs="Arial" w:eastAsia="Arial" w:hAnsi="Arial"/>
          <w:sz w:val="22"/>
          <w:szCs w:val="22"/>
        </w:rPr>
        <w:t xml:space="preserve">Opcional, solo si el logo es muy característico y se quiere proteger de forma independiente.</w:t>
      </w:r>
    </w:p>
    <w:p>
      <w:pPr>
        <w:pStyle w:val="Heading2"/>
        <w:spacing w:after="160" w:before="280"/>
      </w:pPr>
      <w:r>
        <w:rPr>
          <w:rFonts w:ascii="Arial" w:cs="Arial" w:eastAsia="Arial" w:hAnsi="Arial"/>
          <w:b/>
          <w:bCs/>
          <w:color w:val="1A1A1A"/>
          <w:sz w:val="26"/>
          <w:szCs w:val="26"/>
        </w:rPr>
        <w:t xml:space="preserve">1.4 Requisitos para el trámite</w:t>
      </w:r>
    </w:p>
    <w:p>
      <w:pPr>
        <w:spacing w:after="120" w:before="200"/>
      </w:pPr>
      <w:r>
        <w:rPr>
          <w:rFonts w:ascii="Arial" w:cs="Arial" w:eastAsia="Arial" w:hAnsi="Arial"/>
          <w:b/>
          <w:bCs/>
          <w:color w:val="1A1A1A"/>
          <w:sz w:val="22"/>
          <w:szCs w:val="22"/>
        </w:rPr>
        <w:t xml:space="preserve">Requisitos del solicitante</w:t>
      </w:r>
    </w:p>
    <w:p>
      <w:pPr>
        <w:pStyle w:val="ListParagraph"/>
        <w:numPr>
          <w:ilvl w:val="0"/>
          <w:numId w:val="4"/>
        </w:numPr>
        <w:spacing w:after="80"/>
      </w:pPr>
      <w:r>
        <w:rPr>
          <w:rFonts w:ascii="Arial" w:cs="Arial" w:eastAsia="Arial" w:hAnsi="Arial"/>
          <w:sz w:val="22"/>
          <w:szCs w:val="22"/>
        </w:rPr>
        <w:t xml:space="preserve">CUIT/CUIL activo</w:t>
      </w:r>
    </w:p>
    <w:p>
      <w:pPr>
        <w:pStyle w:val="ListParagraph"/>
        <w:numPr>
          <w:ilvl w:val="0"/>
          <w:numId w:val="4"/>
        </w:numPr>
        <w:spacing w:after="80"/>
      </w:pPr>
      <w:r>
        <w:rPr>
          <w:rFonts w:ascii="Arial" w:cs="Arial" w:eastAsia="Arial" w:hAnsi="Arial"/>
          <w:sz w:val="22"/>
          <w:szCs w:val="22"/>
        </w:rPr>
        <w:t xml:space="preserve">Clave Fiscal nivel 2 o superior (ARCA, ex AFIP)</w:t>
      </w:r>
    </w:p>
    <w:p>
      <w:pPr>
        <w:pStyle w:val="ListParagraph"/>
        <w:numPr>
          <w:ilvl w:val="0"/>
          <w:numId w:val="4"/>
        </w:numPr>
        <w:spacing w:after="80"/>
      </w:pPr>
      <w:r>
        <w:rPr>
          <w:rFonts w:ascii="Arial" w:cs="Arial" w:eastAsia="Arial" w:hAnsi="Arial"/>
          <w:sz w:val="22"/>
          <w:szCs w:val="22"/>
        </w:rPr>
        <w:t xml:space="preserve">Servicio del INPI habilitado en tu cuenta de ARCA (se vincula desde la página de ARCA)</w:t>
      </w:r>
    </w:p>
    <w:p>
      <w:pPr>
        <w:pStyle w:val="ListParagraph"/>
        <w:numPr>
          <w:ilvl w:val="0"/>
          <w:numId w:val="4"/>
        </w:numPr>
        <w:spacing w:after="80"/>
      </w:pPr>
      <w:r>
        <w:rPr>
          <w:rFonts w:ascii="Arial" w:cs="Arial" w:eastAsia="Arial" w:hAnsi="Arial"/>
          <w:sz w:val="22"/>
          <w:szCs w:val="22"/>
        </w:rPr>
        <w:t xml:space="preserve">Domicilio legal electrónico declarado</w:t>
      </w:r>
    </w:p>
    <w:p>
      <w:pPr>
        <w:pStyle w:val="ListParagraph"/>
        <w:numPr>
          <w:ilvl w:val="0"/>
          <w:numId w:val="4"/>
        </w:numPr>
        <w:spacing w:after="120"/>
      </w:pPr>
      <w:r>
        <w:rPr>
          <w:rFonts w:ascii="Arial" w:cs="Arial" w:eastAsia="Arial" w:hAnsi="Arial"/>
          <w:sz w:val="22"/>
          <w:szCs w:val="22"/>
        </w:rPr>
        <w:t xml:space="preserve">Si se registra a nombre de una SAS u otra sociedad: declaración jurada del firmante con datos de inscripción societaria</w:t>
      </w:r>
    </w:p>
    <w:p>
      <w:pPr>
        <w:spacing w:after="120" w:before="200"/>
      </w:pPr>
      <w:r>
        <w:rPr>
          <w:rFonts w:ascii="Arial" w:cs="Arial" w:eastAsia="Arial" w:hAnsi="Arial"/>
          <w:b/>
          <w:bCs/>
          <w:color w:val="1A1A1A"/>
          <w:sz w:val="22"/>
          <w:szCs w:val="22"/>
        </w:rPr>
        <w:t xml:space="preserve">Documentación para la solicitud</w:t>
      </w:r>
    </w:p>
    <w:p>
      <w:pPr>
        <w:pStyle w:val="ListParagraph"/>
        <w:numPr>
          <w:ilvl w:val="0"/>
          <w:numId w:val="5"/>
        </w:numPr>
        <w:spacing w:after="80"/>
      </w:pPr>
      <w:r>
        <w:rPr>
          <w:rFonts w:ascii="Arial" w:cs="Arial" w:eastAsia="Arial" w:hAnsi="Arial"/>
          <w:sz w:val="22"/>
          <w:szCs w:val="22"/>
        </w:rPr>
        <w:t xml:space="preserve">Nombre de la marca: MOOVY</w:t>
      </w:r>
    </w:p>
    <w:p>
      <w:pPr>
        <w:pStyle w:val="ListParagraph"/>
        <w:numPr>
          <w:ilvl w:val="0"/>
          <w:numId w:val="5"/>
        </w:numPr>
        <w:spacing w:after="80"/>
      </w:pPr>
      <w:r>
        <w:rPr>
          <w:rFonts w:ascii="Arial" w:cs="Arial" w:eastAsia="Arial" w:hAnsi="Arial"/>
          <w:sz w:val="22"/>
          <w:szCs w:val="22"/>
        </w:rPr>
        <w:t xml:space="preserve">Clase(s) de Niza seleccionada(s) con detalle de los servicios específicos</w:t>
      </w:r>
    </w:p>
    <w:p>
      <w:pPr>
        <w:pStyle w:val="ListParagraph"/>
        <w:numPr>
          <w:ilvl w:val="0"/>
          <w:numId w:val="5"/>
        </w:numPr>
        <w:spacing w:after="80"/>
      </w:pPr>
      <w:r>
        <w:rPr>
          <w:rFonts w:ascii="Arial" w:cs="Arial" w:eastAsia="Arial" w:hAnsi="Arial"/>
          <w:sz w:val="22"/>
          <w:szCs w:val="22"/>
        </w:rPr>
        <w:t xml:space="preserve">Logo en formato digital si se registra marca mixta (JPG/PNG, fondo blanco, mínimo 300 dpi)</w:t>
      </w:r>
    </w:p>
    <w:p>
      <w:pPr>
        <w:pStyle w:val="ListParagraph"/>
        <w:numPr>
          <w:ilvl w:val="0"/>
          <w:numId w:val="5"/>
        </w:numPr>
        <w:spacing w:after="80"/>
      </w:pPr>
      <w:r>
        <w:rPr>
          <w:rFonts w:ascii="Arial" w:cs="Arial" w:eastAsia="Arial" w:hAnsi="Arial"/>
          <w:sz w:val="22"/>
          <w:szCs w:val="22"/>
        </w:rPr>
        <w:t xml:space="preserve">Datos del titular (persona física o jurídica)</w:t>
      </w:r>
    </w:p>
    <w:p>
      <w:pPr>
        <w:pStyle w:val="ListParagraph"/>
        <w:numPr>
          <w:ilvl w:val="0"/>
          <w:numId w:val="5"/>
        </w:numPr>
        <w:spacing w:after="120"/>
      </w:pPr>
      <w:r>
        <w:rPr>
          <w:rFonts w:ascii="Arial" w:cs="Arial" w:eastAsia="Arial" w:hAnsi="Arial"/>
          <w:sz w:val="22"/>
          <w:szCs w:val="22"/>
        </w:rPr>
        <w:t xml:space="preserve">Poder del agente de propiedad industrial (si usás apoderado)</w:t>
      </w:r>
    </w:p>
    <w:p>
      <w:pPr>
        <w:pStyle w:val="Heading2"/>
        <w:spacing w:after="160" w:before="280"/>
      </w:pPr>
      <w:r>
        <w:rPr>
          <w:rFonts w:ascii="Arial" w:cs="Arial" w:eastAsia="Arial" w:hAnsi="Arial"/>
          <w:b/>
          <w:bCs/>
          <w:color w:val="1A1A1A"/>
          <w:sz w:val="26"/>
          <w:szCs w:val="26"/>
        </w:rPr>
        <w:t xml:space="preserve">1.5 Paso a paso del trámite</w:t>
      </w:r>
    </w:p>
    <w:p>
      <w:pPr>
        <w:pStyle w:val="ListParagraph"/>
        <w:numPr>
          <w:ilvl w:val="0"/>
          <w:numId w:val="2"/>
        </w:numPr>
        <w:spacing w:after="100"/>
      </w:pPr>
      <w:r>
        <w:rPr>
          <w:rFonts w:ascii="Arial" w:cs="Arial" w:eastAsia="Arial" w:hAnsi="Arial"/>
          <w:b/>
          <w:bCs/>
          <w:sz w:val="22"/>
          <w:szCs w:val="22"/>
        </w:rPr>
        <w:t xml:space="preserve">Vincular servicio INPI en ARCA. </w:t>
      </w:r>
      <w:r>
        <w:rPr>
          <w:rFonts w:ascii="Arial" w:cs="Arial" w:eastAsia="Arial" w:hAnsi="Arial"/>
          <w:sz w:val="22"/>
          <w:szCs w:val="22"/>
        </w:rPr>
        <w:t xml:space="preserve">Ingresá a tu cuenta de ARCA con clave fiscal → Administrador de Relaciones → buscar servicio “INPI” → confirmar.</w:t>
      </w:r>
    </w:p>
    <w:p>
      <w:pPr>
        <w:pStyle w:val="ListParagraph"/>
        <w:numPr>
          <w:ilvl w:val="0"/>
          <w:numId w:val="2"/>
        </w:numPr>
        <w:spacing w:after="100"/>
      </w:pPr>
      <w:r>
        <w:rPr>
          <w:rFonts w:ascii="Arial" w:cs="Arial" w:eastAsia="Arial" w:hAnsi="Arial"/>
          <w:b/>
          <w:bCs/>
          <w:sz w:val="22"/>
          <w:szCs w:val="22"/>
        </w:rPr>
        <w:t xml:space="preserve">Ingresar al portal del INPI. </w:t>
      </w:r>
      <w:r>
        <w:rPr>
          <w:rFonts w:ascii="Arial" w:cs="Arial" w:eastAsia="Arial" w:hAnsi="Arial"/>
          <w:sz w:val="22"/>
          <w:szCs w:val="22"/>
        </w:rPr>
        <w:t xml:space="preserve">Ir a portaltramites.inpi.gob.ar → iniciar sesión con CUIT y clave fiscal → sección Marcas → Nueva solicitud.</w:t>
      </w:r>
    </w:p>
    <w:p>
      <w:pPr>
        <w:pStyle w:val="ListParagraph"/>
        <w:numPr>
          <w:ilvl w:val="0"/>
          <w:numId w:val="2"/>
        </w:numPr>
        <w:spacing w:after="100"/>
      </w:pPr>
      <w:r>
        <w:rPr>
          <w:rFonts w:ascii="Arial" w:cs="Arial" w:eastAsia="Arial" w:hAnsi="Arial"/>
          <w:b/>
          <w:bCs/>
          <w:sz w:val="22"/>
          <w:szCs w:val="22"/>
        </w:rPr>
        <w:t xml:space="preserve">Completar el formulario. </w:t>
      </w:r>
      <w:r>
        <w:rPr>
          <w:rFonts w:ascii="Arial" w:cs="Arial" w:eastAsia="Arial" w:hAnsi="Arial"/>
          <w:sz w:val="22"/>
          <w:szCs w:val="22"/>
        </w:rPr>
        <w:t xml:space="preserve">Indicar titular, tipo de marca (denominativa o mixta), nombre “MOOVY”, clase de Niza, descripción de servicios. Para marca mixta, subir el logo.</w:t>
      </w:r>
    </w:p>
    <w:p>
      <w:pPr>
        <w:pStyle w:val="ListParagraph"/>
        <w:numPr>
          <w:ilvl w:val="0"/>
          <w:numId w:val="2"/>
        </w:numPr>
        <w:spacing w:after="100"/>
      </w:pPr>
      <w:r>
        <w:rPr>
          <w:rFonts w:ascii="Arial" w:cs="Arial" w:eastAsia="Arial" w:hAnsi="Arial"/>
          <w:b/>
          <w:bCs/>
          <w:sz w:val="22"/>
          <w:szCs w:val="22"/>
        </w:rPr>
        <w:t xml:space="preserve">Pagar el arancel. </w:t>
      </w:r>
      <w:r>
        <w:rPr>
          <w:rFonts w:ascii="Arial" w:cs="Arial" w:eastAsia="Arial" w:hAnsi="Arial"/>
          <w:sz w:val="22"/>
          <w:szCs w:val="22"/>
        </w:rPr>
        <w:t xml:space="preserve">Arancel vigente: consultar portaltramites.inpi.gob.ar/InfoPortal/Aranceles (desde mayo 2026 se usa la nueva unidad UMAPI con ajuste mensual por IPC). Se paga por cada clase solicitada.</w:t>
      </w:r>
    </w:p>
    <w:p>
      <w:pPr>
        <w:pStyle w:val="ListParagraph"/>
        <w:numPr>
          <w:ilvl w:val="0"/>
          <w:numId w:val="2"/>
        </w:numPr>
        <w:spacing w:after="100"/>
      </w:pPr>
      <w:r>
        <w:rPr>
          <w:rFonts w:ascii="Arial" w:cs="Arial" w:eastAsia="Arial" w:hAnsi="Arial"/>
          <w:b/>
          <w:bCs/>
          <w:sz w:val="22"/>
          <w:szCs w:val="22"/>
        </w:rPr>
        <w:t xml:space="preserve">Publicación en el Boletín de Marcas. </w:t>
      </w:r>
      <w:r>
        <w:rPr>
          <w:rFonts w:ascii="Arial" w:cs="Arial" w:eastAsia="Arial" w:hAnsi="Arial"/>
          <w:sz w:val="22"/>
          <w:szCs w:val="22"/>
        </w:rPr>
        <w:t xml:space="preserve">El INPI publica la solicitud. Desde la publicación, hay un plazo de 30 días para que terceros presenten oposiciones.</w:t>
      </w:r>
    </w:p>
    <w:p>
      <w:pPr>
        <w:pStyle w:val="ListParagraph"/>
        <w:numPr>
          <w:ilvl w:val="0"/>
          <w:numId w:val="2"/>
        </w:numPr>
        <w:spacing w:after="100"/>
      </w:pPr>
      <w:r>
        <w:rPr>
          <w:rFonts w:ascii="Arial" w:cs="Arial" w:eastAsia="Arial" w:hAnsi="Arial"/>
          <w:b/>
          <w:bCs/>
          <w:sz w:val="22"/>
          <w:szCs w:val="22"/>
        </w:rPr>
        <w:t xml:space="preserve">Período de oposición (30 días). </w:t>
      </w:r>
      <w:r>
        <w:rPr>
          <w:rFonts w:ascii="Arial" w:cs="Arial" w:eastAsia="Arial" w:hAnsi="Arial"/>
          <w:sz w:val="22"/>
          <w:szCs w:val="22"/>
        </w:rPr>
        <w:t xml:space="preserve">Si nadie se opone, el trámite avanza. Si hay oposición, hay que negociar o resolver judicialmente (el agente de PI se encarga).</w:t>
      </w:r>
    </w:p>
    <w:p>
      <w:pPr>
        <w:pStyle w:val="ListParagraph"/>
        <w:numPr>
          <w:ilvl w:val="0"/>
          <w:numId w:val="2"/>
        </w:numPr>
        <w:spacing w:after="100"/>
      </w:pPr>
      <w:r>
        <w:rPr>
          <w:rFonts w:ascii="Arial" w:cs="Arial" w:eastAsia="Arial" w:hAnsi="Arial"/>
          <w:b/>
          <w:bCs/>
          <w:sz w:val="22"/>
          <w:szCs w:val="22"/>
        </w:rPr>
        <w:t xml:space="preserve">Examen de fondo del INPI. </w:t>
      </w:r>
      <w:r>
        <w:rPr>
          <w:rFonts w:ascii="Arial" w:cs="Arial" w:eastAsia="Arial" w:hAnsi="Arial"/>
          <w:sz w:val="22"/>
          <w:szCs w:val="22"/>
        </w:rPr>
        <w:t xml:space="preserve">El INPI verifica que la marca sea registrable (que no sea genérica, descriptiva, engañosa, ni confusamente similar a otra).</w:t>
      </w:r>
    </w:p>
    <w:p>
      <w:pPr>
        <w:pStyle w:val="ListParagraph"/>
        <w:numPr>
          <w:ilvl w:val="0"/>
          <w:numId w:val="2"/>
        </w:numPr>
        <w:spacing w:after="120"/>
      </w:pPr>
      <w:r>
        <w:rPr>
          <w:rFonts w:ascii="Arial" w:cs="Arial" w:eastAsia="Arial" w:hAnsi="Arial"/>
          <w:b/>
          <w:bCs/>
          <w:sz w:val="22"/>
          <w:szCs w:val="22"/>
        </w:rPr>
        <w:t xml:space="preserve">Concesión del registro. </w:t>
      </w:r>
      <w:r>
        <w:rPr>
          <w:rFonts w:ascii="Arial" w:cs="Arial" w:eastAsia="Arial" w:hAnsi="Arial"/>
          <w:sz w:val="22"/>
          <w:szCs w:val="22"/>
        </w:rPr>
        <w:t xml:space="preserve">Si todo está bien, el INPI otorga el registro por 10 años. Se puede renovar indefinidamente presentando la renovación antes del vencimiento.</w:t>
      </w:r>
    </w:p>
    <w:p>
      <w:pPr>
        <w:spacing w:after="120" w:before="200"/>
      </w:pPr>
      <w:r>
        <w:rPr>
          <w:rFonts w:ascii="Arial" w:cs="Arial" w:eastAsia="Arial" w:hAnsi="Arial"/>
          <w:b/>
          <w:bCs/>
          <w:color w:val="1A1A1A"/>
          <w:sz w:val="22"/>
          <w:szCs w:val="22"/>
        </w:rPr>
        <w:t xml:space="preserve">Tiempos estimados</w:t>
      </w:r>
    </w:p>
    <w:p>
      <w:pPr>
        <w:spacing w:after="120"/>
        <w:jc w:val="left"/>
      </w:pPr>
      <w:r>
        <w:rPr>
          <w:rFonts w:ascii="Arial" w:cs="Arial" w:eastAsia="Arial" w:hAnsi="Arial"/>
          <w:b w:val="false"/>
          <w:bCs w:val="false"/>
          <w:i w:val="false"/>
          <w:iCs w:val="false"/>
          <w:color w:val="1A1A1A"/>
          <w:sz w:val="22"/>
          <w:szCs w:val="22"/>
        </w:rPr>
        <w:t xml:space="preserve">El proceso completo toma entre 12 y 18 meses aproximadamente. Sin embargo, desde la presentación de la solicitud ya tenés prioridad sobre la marca (derecho de prelación). Podés usar la marca con el símbolo ™ (TM) desde el día uno, y usar ® una vez concedido el registro.</w:t>
      </w:r>
    </w:p>
    <w:p>
      <w:pPr>
        <w:pStyle w:val="Heading2"/>
        <w:spacing w:after="160" w:before="280"/>
      </w:pPr>
      <w:r>
        <w:rPr>
          <w:rFonts w:ascii="Arial" w:cs="Arial" w:eastAsia="Arial" w:hAnsi="Arial"/>
          <w:b/>
          <w:bCs/>
          <w:color w:val="1A1A1A"/>
          <w:sz w:val="26"/>
          <w:szCs w:val="26"/>
        </w:rPr>
        <w:t xml:space="preserve">1.6 Costos estimados (Marzo 2026)</w:t>
      </w:r>
    </w:p>
    <w:p>
      <w:pPr>
        <w:spacing w:after="120"/>
        <w:jc w:val="left"/>
      </w:pPr>
      <w:r>
        <w:rPr>
          <w:rFonts w:ascii="Arial" w:cs="Arial" w:eastAsia="Arial" w:hAnsi="Arial"/>
          <w:b w:val="false"/>
          <w:bCs w:val="false"/>
          <w:i w:val="false"/>
          <w:iCs w:val="false"/>
          <w:color w:val="1A1A1A"/>
          <w:sz w:val="22"/>
          <w:szCs w:val="22"/>
        </w:rPr>
        <w:t xml:space="preserve">Los aranceles del INPI se actualizan periódicamente. A partir de mayo 2026 se implementa el sistema UMAPI (Unidad de Arancel de Propiedad Industrial) con ajuste mensual por IPC. Consultar valores actualizados antes de presentar.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CCCCCC" w:sz="1"/>
              <w:left w:val="single" w:color="CCCCCC" w:sz="1"/>
              <w:bottom w:val="single" w:color="CCCCCC" w:sz="1"/>
              <w:right w:val="single" w:color="CCCCCC" w:sz="1"/>
            </w:tcBorders>
            <w:shd w:fill="E60012"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4000"/>
            <w:tcBorders>
              <w:top w:val="single" w:color="CCCCCC" w:sz="1"/>
              <w:left w:val="single" w:color="CCCCCC" w:sz="1"/>
              <w:bottom w:val="single" w:color="CCCCCC" w:sz="1"/>
              <w:right w:val="single" w:color="CCCCCC" w:sz="1"/>
            </w:tcBorders>
            <w:shd w:fill="E60012"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Estimado (ARS)</w:t>
            </w:r>
          </w:p>
        </w:tc>
      </w:tr>
      <w:tr>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Arancel INPI por clase (precio referencia)</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bCs/>
                <w:sz w:val="20"/>
                <w:szCs w:val="20"/>
              </w:rPr>
              <w:t xml:space="preserve">$216.000 + IVA c/u</w:t>
            </w:r>
          </w:p>
        </w:tc>
      </w:tr>
      <w:tr>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Clases 35 + 39 (mínimo imprescindible)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bCs/>
                <w:sz w:val="20"/>
                <w:szCs w:val="20"/>
              </w:rPr>
              <w:t xml:space="preserve">$432.000 + IVA</w:t>
            </w:r>
          </w:p>
        </w:tc>
      </w:tr>
      <w:tr>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Clases 35 + 39 + 42 (recomendado)</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bCs/>
                <w:sz w:val="20"/>
                <w:szCs w:val="20"/>
              </w:rPr>
              <w:t xml:space="preserve">$648.000 + IVA</w:t>
            </w:r>
          </w:p>
        </w:tc>
      </w:tr>
      <w:tr>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clases (35 + 39 + 42 + 9) (ideal)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bCs/>
                <w:sz w:val="20"/>
                <w:szCs w:val="20"/>
              </w:rPr>
              <w:t xml:space="preserve">$864.000 + IVA</w:t>
            </w:r>
          </w:p>
        </w:tc>
      </w:tr>
      <w:tr>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Honorarios agente PI (estimado por clase)</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bCs/>
                <w:sz w:val="20"/>
                <w:szCs w:val="20"/>
              </w:rPr>
              <w:t xml:space="preserve">$50.000 - $150.000</w:t>
            </w:r>
          </w:p>
        </w:tc>
      </w:tr>
      <w:tr>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Búsqueda de antecedentes (INPI)</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right"/>
            </w:pPr>
            <w:r>
              <w:rPr>
                <w:rFonts w:ascii="Arial" w:cs="Arial" w:eastAsia="Arial" w:hAnsi="Arial"/>
                <w:b/>
                <w:bCs/>
                <w:sz w:val="20"/>
                <w:szCs w:val="20"/>
              </w:rPr>
              <w:t xml:space="preserve">Variable</w:t>
            </w:r>
          </w:p>
        </w:tc>
      </w:tr>
    </w:tbl>
    <w:p>
      <w:pPr>
        <w:spacing w:after="80"/>
      </w:pPr>
    </w:p>
    <w:p>
      <w:pPr>
        <w:spacing w:after="120"/>
        <w:jc w:val="left"/>
      </w:pPr>
      <w:r>
        <w:rPr>
          <w:rFonts w:ascii="Arial" w:cs="Arial" w:eastAsia="Arial" w:hAnsi="Arial"/>
          <w:b w:val="false"/>
          <w:bCs w:val="false"/>
          <w:i/>
          <w:iCs/>
          <w:color w:val="666666"/>
          <w:sz w:val="22"/>
          <w:szCs w:val="22"/>
        </w:rPr>
        <w:t xml:space="preserve">Nota: los aranceles del INPI se publican en portaltramites.inpi.gob.ar/InfoPortal/Aranceles. Verificar antes de presentar.</w:t>
      </w:r>
    </w:p>
    <w:p>
      <w:pPr>
        <w:pStyle w:val="Heading2"/>
        <w:spacing w:after="160" w:before="280"/>
      </w:pPr>
      <w:r>
        <w:rPr>
          <w:rFonts w:ascii="Arial" w:cs="Arial" w:eastAsia="Arial" w:hAnsi="Arial"/>
          <w:b/>
          <w:bCs/>
          <w:color w:val="1A1A1A"/>
          <w:sz w:val="26"/>
          <w:szCs w:val="26"/>
        </w:rPr>
        <w:t xml:space="preserve">1.7 Dominio web y redes sociales</w:t>
      </w:r>
    </w:p>
    <w:p>
      <w:pPr>
        <w:spacing w:after="120"/>
        <w:jc w:val="left"/>
      </w:pPr>
      <w:r>
        <w:rPr>
          <w:rFonts w:ascii="Arial" w:cs="Arial" w:eastAsia="Arial" w:hAnsi="Arial"/>
          <w:b w:val="false"/>
          <w:bCs w:val="false"/>
          <w:i w:val="false"/>
          <w:iCs w:val="false"/>
          <w:color w:val="1A1A1A"/>
          <w:sz w:val="22"/>
          <w:szCs w:val="22"/>
        </w:rPr>
        <w:t xml:space="preserve">Además del registro ante el INPI, asegurá la presencia digital de la marca:</w:t>
      </w:r>
    </w:p>
    <w:p>
      <w:pPr>
        <w:pStyle w:val="ListParagraph"/>
        <w:numPr>
          <w:ilvl w:val="0"/>
          <w:numId w:val="6"/>
        </w:numPr>
        <w:spacing w:after="80"/>
      </w:pPr>
      <w:r>
        <w:rPr>
          <w:rFonts w:ascii="Arial" w:cs="Arial" w:eastAsia="Arial" w:hAnsi="Arial"/>
          <w:b/>
          <w:bCs/>
          <w:sz w:val="22"/>
          <w:szCs w:val="22"/>
        </w:rPr>
        <w:t xml:space="preserve">Dominio somosmoovy.com: </w:t>
      </w:r>
      <w:r>
        <w:rPr>
          <w:rFonts w:ascii="Arial" w:cs="Arial" w:eastAsia="Arial" w:hAnsi="Arial"/>
          <w:sz w:val="22"/>
          <w:szCs w:val="22"/>
        </w:rPr>
        <w:t xml:space="preserve">Ya lo tenés registrado. Verificá que esté a nombre del titular correcto (persona física o sociedad).</w:t>
      </w:r>
    </w:p>
    <w:p>
      <w:pPr>
        <w:pStyle w:val="ListParagraph"/>
        <w:numPr>
          <w:ilvl w:val="0"/>
          <w:numId w:val="6"/>
        </w:numPr>
        <w:spacing w:after="80"/>
      </w:pPr>
      <w:r>
        <w:rPr>
          <w:rFonts w:ascii="Arial" w:cs="Arial" w:eastAsia="Arial" w:hAnsi="Arial"/>
          <w:b/>
          <w:bCs/>
          <w:sz w:val="22"/>
          <w:szCs w:val="22"/>
        </w:rPr>
        <w:t xml:space="preserve">Redes sociales: </w:t>
      </w:r>
      <w:r>
        <w:rPr>
          <w:rFonts w:ascii="Arial" w:cs="Arial" w:eastAsia="Arial" w:hAnsi="Arial"/>
          <w:sz w:val="22"/>
          <w:szCs w:val="22"/>
        </w:rPr>
        <w:t xml:space="preserve">Registrar @moovy o @somosmoovy en Instagram, Facebook, X (Twitter), TikTok y LinkedIn. Aunque no las uses todas ahora, reservá los nombres.</w:t>
      </w:r>
    </w:p>
    <w:p>
      <w:pPr>
        <w:pStyle w:val="ListParagraph"/>
        <w:numPr>
          <w:ilvl w:val="0"/>
          <w:numId w:val="6"/>
        </w:numPr>
        <w:spacing w:after="120"/>
      </w:pPr>
      <w:r>
        <w:rPr>
          <w:rFonts w:ascii="Arial" w:cs="Arial" w:eastAsia="Arial" w:hAnsi="Arial"/>
          <w:b/>
          <w:bCs/>
          <w:sz w:val="22"/>
          <w:szCs w:val="22"/>
        </w:rPr>
        <w:t xml:space="preserve">Google Play / App Store: </w:t>
      </w:r>
      <w:r>
        <w:rPr>
          <w:rFonts w:ascii="Arial" w:cs="Arial" w:eastAsia="Arial" w:hAnsi="Arial"/>
          <w:sz w:val="22"/>
          <w:szCs w:val="22"/>
        </w:rPr>
        <w:t xml:space="preserve">Reservar el nombre “MOOVY” en las tiendas de aplicaciones lo antes posible.</w:t>
      </w:r>
    </w:p>
    <w:p>
      <w:r>
        <w:br w:type="page"/>
      </w:r>
    </w:p>
    <w:p>
      <w:pPr>
        <w:pStyle w:val="Heading1"/>
        <w:spacing w:after="200" w:before="360"/>
      </w:pPr>
      <w:r>
        <w:rPr>
          <w:rFonts w:ascii="Arial" w:cs="Arial" w:eastAsia="Arial" w:hAnsi="Arial"/>
          <w:b/>
          <w:bCs/>
          <w:color w:val="E60012"/>
          <w:sz w:val="32"/>
          <w:szCs w:val="32"/>
        </w:rPr>
        <w:t xml:space="preserve">2. CONSTITUCIÓN SOCIETARIA</w:t>
      </w:r>
    </w:p>
    <w:p>
      <w:pPr>
        <w:spacing w:after="120"/>
        <w:jc w:val="left"/>
      </w:pPr>
      <w:r>
        <w:rPr>
          <w:rFonts w:ascii="Arial" w:cs="Arial" w:eastAsia="Arial" w:hAnsi="Arial"/>
          <w:b w:val="false"/>
          <w:bCs w:val="false"/>
          <w:i w:val="false"/>
          <w:iCs w:val="false"/>
          <w:color w:val="1A1A1A"/>
          <w:sz w:val="22"/>
          <w:szCs w:val="22"/>
        </w:rPr>
        <w:t xml:space="preserve">Para operar legalmente, facturar, cobrar comisiones y tener una cuenta de MercadoPago comercial, MOOVY necesita una figura jurídica. Las opciones más viables son:</w:t>
      </w:r>
    </w:p>
    <w:p>
      <w:pPr>
        <w:pStyle w:val="Heading2"/>
        <w:spacing w:after="160" w:before="280"/>
      </w:pPr>
      <w:r>
        <w:rPr>
          <w:rFonts w:ascii="Arial" w:cs="Arial" w:eastAsia="Arial" w:hAnsi="Arial"/>
          <w:b/>
          <w:bCs/>
          <w:color w:val="1A1A1A"/>
          <w:sz w:val="26"/>
          <w:szCs w:val="26"/>
        </w:rPr>
        <w:t xml:space="preserve">2.1 Opciones societarias</w:t>
      </w:r>
    </w:p>
    <w:p>
      <w:pPr>
        <w:spacing w:after="120" w:before="200"/>
      </w:pPr>
      <w:r>
        <w:rPr>
          <w:rFonts w:ascii="Arial" w:cs="Arial" w:eastAsia="Arial" w:hAnsi="Arial"/>
          <w:b/>
          <w:bCs/>
          <w:color w:val="1A1A1A"/>
          <w:sz w:val="22"/>
          <w:szCs w:val="22"/>
        </w:rPr>
        <w:t xml:space="preserve">Opción A: SAS (Sociedad por Acciones Simplificada) — RECOMENDADA</w:t>
      </w:r>
    </w:p>
    <w:p>
      <w:pPr>
        <w:pStyle w:val="ListParagraph"/>
        <w:numPr>
          <w:ilvl w:val="0"/>
          <w:numId w:val="7"/>
        </w:numPr>
        <w:spacing w:after="80"/>
      </w:pPr>
      <w:r>
        <w:rPr>
          <w:rFonts w:ascii="Arial" w:cs="Arial" w:eastAsia="Arial" w:hAnsi="Arial"/>
          <w:sz w:val="22"/>
          <w:szCs w:val="22"/>
        </w:rPr>
        <w:t xml:space="preserve">Se puede constituir con un solo socio</w:t>
      </w:r>
    </w:p>
    <w:p>
      <w:pPr>
        <w:pStyle w:val="ListParagraph"/>
        <w:numPr>
          <w:ilvl w:val="0"/>
          <w:numId w:val="7"/>
        </w:numPr>
        <w:spacing w:after="80"/>
      </w:pPr>
      <w:r>
        <w:rPr>
          <w:rFonts w:ascii="Arial" w:cs="Arial" w:eastAsia="Arial" w:hAnsi="Arial"/>
          <w:sz w:val="22"/>
          <w:szCs w:val="22"/>
        </w:rPr>
        <w:t xml:space="preserve">Trámite más simple y rápido que una SRL o SA</w:t>
      </w:r>
    </w:p>
    <w:p>
      <w:pPr>
        <w:pStyle w:val="ListParagraph"/>
        <w:numPr>
          <w:ilvl w:val="0"/>
          <w:numId w:val="7"/>
        </w:numPr>
        <w:spacing w:after="80"/>
      </w:pPr>
      <w:r>
        <w:rPr>
          <w:rFonts w:ascii="Arial" w:cs="Arial" w:eastAsia="Arial" w:hAnsi="Arial"/>
          <w:sz w:val="22"/>
          <w:szCs w:val="22"/>
        </w:rPr>
        <w:t xml:space="preserve">Capital mínimo: 2 salarios mínimos vitales y móviles (al 25% al constituir, el resto en 2 años)</w:t>
      </w:r>
    </w:p>
    <w:p>
      <w:pPr>
        <w:pStyle w:val="ListParagraph"/>
        <w:numPr>
          <w:ilvl w:val="0"/>
          <w:numId w:val="7"/>
        </w:numPr>
        <w:spacing w:after="80"/>
      </w:pPr>
      <w:r>
        <w:rPr>
          <w:rFonts w:ascii="Arial" w:cs="Arial" w:eastAsia="Arial" w:hAnsi="Arial"/>
          <w:sz w:val="22"/>
          <w:szCs w:val="22"/>
        </w:rPr>
        <w:t xml:space="preserve">Responsabilidad limitada al capital aportado (protege tu patrimonio personal)</w:t>
      </w:r>
    </w:p>
    <w:p>
      <w:pPr>
        <w:pStyle w:val="ListParagraph"/>
        <w:numPr>
          <w:ilvl w:val="0"/>
          <w:numId w:val="7"/>
        </w:numPr>
        <w:spacing w:after="80"/>
      </w:pPr>
      <w:r>
        <w:rPr>
          <w:rFonts w:ascii="Arial" w:cs="Arial" w:eastAsia="Arial" w:hAnsi="Arial"/>
          <w:sz w:val="22"/>
          <w:szCs w:val="22"/>
        </w:rPr>
        <w:t xml:space="preserve">Permite incorporar socios o inversores fácilmente a futuro</w:t>
      </w:r>
    </w:p>
    <w:p>
      <w:pPr>
        <w:pStyle w:val="ListParagraph"/>
        <w:numPr>
          <w:ilvl w:val="0"/>
          <w:numId w:val="7"/>
        </w:numPr>
        <w:spacing w:after="120"/>
      </w:pPr>
      <w:r>
        <w:rPr>
          <w:rFonts w:ascii="Arial" w:cs="Arial" w:eastAsia="Arial" w:hAnsi="Arial"/>
          <w:sz w:val="22"/>
          <w:szCs w:val="22"/>
        </w:rPr>
        <w:t xml:space="preserve">Inscripción en Tierra del Fuego: IGJ provincial (Inspección General de Justicia de TDF)</w:t>
      </w:r>
    </w:p>
    <w:p>
      <w:pPr>
        <w:spacing w:after="120" w:before="200"/>
      </w:pPr>
      <w:r>
        <w:rPr>
          <w:rFonts w:ascii="Arial" w:cs="Arial" w:eastAsia="Arial" w:hAnsi="Arial"/>
          <w:b/>
          <w:bCs/>
          <w:color w:val="1A1A1A"/>
          <w:sz w:val="22"/>
          <w:szCs w:val="22"/>
        </w:rPr>
        <w:t xml:space="preserve">Opción B: Monotributo (persona física)</w:t>
      </w:r>
    </w:p>
    <w:p>
      <w:pPr>
        <w:spacing w:after="120"/>
        <w:jc w:val="left"/>
      </w:pPr>
      <w:r>
        <w:rPr>
          <w:rFonts w:ascii="Arial" w:cs="Arial" w:eastAsia="Arial" w:hAnsi="Arial"/>
          <w:b w:val="false"/>
          <w:bCs w:val="false"/>
          <w:i w:val="false"/>
          <w:iCs w:val="false"/>
          <w:color w:val="1A1A1A"/>
          <w:sz w:val="22"/>
          <w:szCs w:val="22"/>
        </w:rPr>
        <w:t xml:space="preserve">Si querés arrancar rápido y el volumen de facturación es bajo al inicio, podés operar como monotributista. Sin embargo, el monotributo tiene límites de facturación que MOOVY superaría rápidamente si crece como se proyecta. Además, no limita la responsabilidad patrimonial.</w:t>
      </w:r>
    </w:p>
    <w:p>
      <w:pPr>
        <w:pBdr>
          <w:left w:val="single" w:color="E60012" w:sz="12" w:space="8"/>
        </w:pBdr>
        <w:spacing w:after="160" w:before="160"/>
        <w:ind w:left="240"/>
      </w:pPr>
      <w:r>
        <w:rPr>
          <w:rFonts w:ascii="Arial" w:cs="Arial" w:eastAsia="Arial" w:hAnsi="Arial"/>
          <w:b/>
          <w:bCs/>
          <w:color w:val="E60012"/>
          <w:sz w:val="22"/>
          <w:szCs w:val="22"/>
        </w:rPr>
        <w:t xml:space="preserve">RECOMENDACIÓN: Constitui una SAS desde el inicio. El costo es bajo, te da seriedad ante comercios e inversores, y te protege legalmente. Si arrancas como monotributista, vas a tener que migrar a sociedad igualmente cuando crezcas.</w:t>
      </w:r>
    </w:p>
    <w:p>
      <w:pPr>
        <w:pStyle w:val="Heading2"/>
        <w:spacing w:after="160" w:before="280"/>
      </w:pPr>
      <w:r>
        <w:rPr>
          <w:rFonts w:ascii="Arial" w:cs="Arial" w:eastAsia="Arial" w:hAnsi="Arial"/>
          <w:b/>
          <w:bCs/>
          <w:color w:val="1A1A1A"/>
          <w:sz w:val="26"/>
          <w:szCs w:val="26"/>
        </w:rPr>
        <w:t xml:space="preserve">2.2 Pasos para constituir una SAS en Tierra del Fuego</w:t>
      </w:r>
    </w:p>
    <w:p>
      <w:pPr>
        <w:pStyle w:val="ListParagraph"/>
        <w:numPr>
          <w:ilvl w:val="0"/>
          <w:numId w:val="2"/>
        </w:numPr>
        <w:spacing w:after="100"/>
      </w:pPr>
      <w:r>
        <w:rPr>
          <w:rFonts w:ascii="Arial" w:cs="Arial" w:eastAsia="Arial" w:hAnsi="Arial"/>
          <w:b/>
          <w:bCs/>
          <w:sz w:val="22"/>
          <w:szCs w:val="22"/>
        </w:rPr>
        <w:t xml:space="preserve">Elegir nombre de la sociedad. </w:t>
      </w:r>
      <w:r>
        <w:rPr>
          <w:rFonts w:ascii="Arial" w:cs="Arial" w:eastAsia="Arial" w:hAnsi="Arial"/>
          <w:sz w:val="22"/>
          <w:szCs w:val="22"/>
        </w:rPr>
        <w:t xml:space="preserve">Verificar disponibilidad ante la IGJ de TDF. Sugerencia: “MOOVY SAS” o “MOOVY TECNOLOGÍA SAS”.</w:t>
      </w:r>
    </w:p>
    <w:p>
      <w:pPr>
        <w:pStyle w:val="ListParagraph"/>
        <w:numPr>
          <w:ilvl w:val="0"/>
          <w:numId w:val="2"/>
        </w:numPr>
        <w:spacing w:after="100"/>
      </w:pPr>
      <w:r>
        <w:rPr>
          <w:rFonts w:ascii="Arial" w:cs="Arial" w:eastAsia="Arial" w:hAnsi="Arial"/>
          <w:b/>
          <w:bCs/>
          <w:sz w:val="22"/>
          <w:szCs w:val="22"/>
        </w:rPr>
        <w:t xml:space="preserve">Redactar el instrumento constitutivo. </w:t>
      </w:r>
      <w:r>
        <w:rPr>
          <w:rFonts w:ascii="Arial" w:cs="Arial" w:eastAsia="Arial" w:hAnsi="Arial"/>
          <w:sz w:val="22"/>
          <w:szCs w:val="22"/>
        </w:rPr>
        <w:t xml:space="preserve">Estatuto social con objeto, capital, administración, sede. Se puede usar el modelo tipo de la IGJ o redactar uno propio. Un abogado de TDF puede prepararlo.</w:t>
      </w:r>
    </w:p>
    <w:p>
      <w:pPr>
        <w:pStyle w:val="ListParagraph"/>
        <w:numPr>
          <w:ilvl w:val="0"/>
          <w:numId w:val="2"/>
        </w:numPr>
        <w:spacing w:after="100"/>
      </w:pPr>
      <w:r>
        <w:rPr>
          <w:rFonts w:ascii="Arial" w:cs="Arial" w:eastAsia="Arial" w:hAnsi="Arial"/>
          <w:b/>
          <w:bCs/>
          <w:sz w:val="22"/>
          <w:szCs w:val="22"/>
        </w:rPr>
        <w:t xml:space="preserve">Firmar con firma digital o ante escribano. </w:t>
      </w:r>
      <w:r>
        <w:rPr>
          <w:rFonts w:ascii="Arial" w:cs="Arial" w:eastAsia="Arial" w:hAnsi="Arial"/>
          <w:sz w:val="22"/>
          <w:szCs w:val="22"/>
        </w:rPr>
        <w:t xml:space="preserve">La SAS acepta firma digital, lo que simplifica el trámite.</w:t>
      </w:r>
    </w:p>
    <w:p>
      <w:pPr>
        <w:pStyle w:val="ListParagraph"/>
        <w:numPr>
          <w:ilvl w:val="0"/>
          <w:numId w:val="2"/>
        </w:numPr>
        <w:spacing w:after="100"/>
      </w:pPr>
      <w:r>
        <w:rPr>
          <w:rFonts w:ascii="Arial" w:cs="Arial" w:eastAsia="Arial" w:hAnsi="Arial"/>
          <w:b/>
          <w:bCs/>
          <w:sz w:val="22"/>
          <w:szCs w:val="22"/>
        </w:rPr>
        <w:t xml:space="preserve">Inscribir ante la IGJ de TDF. </w:t>
      </w:r>
      <w:r>
        <w:rPr>
          <w:rFonts w:ascii="Arial" w:cs="Arial" w:eastAsia="Arial" w:hAnsi="Arial"/>
          <w:sz w:val="22"/>
          <w:szCs w:val="22"/>
        </w:rPr>
        <w:t xml:space="preserve">Presentar el instrumento constitutivo. La IGJ provincial es el organismo de contralor en Tierra del Fuego (igj.tierradelfuego.gob.ar).</w:t>
      </w:r>
    </w:p>
    <w:p>
      <w:pPr>
        <w:pStyle w:val="ListParagraph"/>
        <w:numPr>
          <w:ilvl w:val="0"/>
          <w:numId w:val="2"/>
        </w:numPr>
        <w:spacing w:after="100"/>
      </w:pPr>
      <w:r>
        <w:rPr>
          <w:rFonts w:ascii="Arial" w:cs="Arial" w:eastAsia="Arial" w:hAnsi="Arial"/>
          <w:b/>
          <w:bCs/>
          <w:sz w:val="22"/>
          <w:szCs w:val="22"/>
        </w:rPr>
        <w:t xml:space="preserve">Obtener CUIT de la sociedad. </w:t>
      </w:r>
      <w:r>
        <w:rPr>
          <w:rFonts w:ascii="Arial" w:cs="Arial" w:eastAsia="Arial" w:hAnsi="Arial"/>
          <w:sz w:val="22"/>
          <w:szCs w:val="22"/>
        </w:rPr>
        <w:t xml:space="preserve">Una vez inscripta la SAS, tramitar el CUIT ante ARCA con los papeles de la IGJ.</w:t>
      </w:r>
    </w:p>
    <w:p>
      <w:pPr>
        <w:pStyle w:val="ListParagraph"/>
        <w:numPr>
          <w:ilvl w:val="0"/>
          <w:numId w:val="2"/>
        </w:numPr>
        <w:spacing w:after="100"/>
      </w:pPr>
      <w:r>
        <w:rPr>
          <w:rFonts w:ascii="Arial" w:cs="Arial" w:eastAsia="Arial" w:hAnsi="Arial"/>
          <w:b/>
          <w:bCs/>
          <w:sz w:val="22"/>
          <w:szCs w:val="22"/>
        </w:rPr>
        <w:t xml:space="preserve">Inscripción en Ingresos Brutos. </w:t>
      </w:r>
      <w:r>
        <w:rPr>
          <w:rFonts w:ascii="Arial" w:cs="Arial" w:eastAsia="Arial" w:hAnsi="Arial"/>
          <w:sz w:val="22"/>
          <w:szCs w:val="22"/>
        </w:rPr>
        <w:t xml:space="preserve">Inscribir la SAS en la Dirección General de Rentas de TDF para pagar Ingresos Brutos provincial. Tierra del Fuego tiene beneficios impositivos especiales que un contador local puede explicarte.</w:t>
      </w:r>
    </w:p>
    <w:p>
      <w:pPr>
        <w:pStyle w:val="ListParagraph"/>
        <w:numPr>
          <w:ilvl w:val="0"/>
          <w:numId w:val="2"/>
        </w:numPr>
        <w:spacing w:after="100"/>
      </w:pPr>
      <w:r>
        <w:rPr>
          <w:rFonts w:ascii="Arial" w:cs="Arial" w:eastAsia="Arial" w:hAnsi="Arial"/>
          <w:b/>
          <w:bCs/>
          <w:sz w:val="22"/>
          <w:szCs w:val="22"/>
        </w:rPr>
        <w:t xml:space="preserve">Abrir cuenta bancaria comercial. </w:t>
      </w:r>
      <w:r>
        <w:rPr>
          <w:rFonts w:ascii="Arial" w:cs="Arial" w:eastAsia="Arial" w:hAnsi="Arial"/>
          <w:sz w:val="22"/>
          <w:szCs w:val="22"/>
        </w:rPr>
        <w:t xml:space="preserve">Con el CUIT de la SAS, abrir una cuenta en un banco para operar comercialmente.</w:t>
      </w:r>
    </w:p>
    <w:p>
      <w:pPr>
        <w:pStyle w:val="ListParagraph"/>
        <w:numPr>
          <w:ilvl w:val="0"/>
          <w:numId w:val="2"/>
        </w:numPr>
        <w:spacing w:after="120"/>
      </w:pPr>
      <w:r>
        <w:rPr>
          <w:rFonts w:ascii="Arial" w:cs="Arial" w:eastAsia="Arial" w:hAnsi="Arial"/>
          <w:b/>
          <w:bCs/>
          <w:sz w:val="22"/>
          <w:szCs w:val="22"/>
        </w:rPr>
        <w:t xml:space="preserve">Habilitar facturación electrónica. </w:t>
      </w:r>
      <w:r>
        <w:rPr>
          <w:rFonts w:ascii="Arial" w:cs="Arial" w:eastAsia="Arial" w:hAnsi="Arial"/>
          <w:sz w:val="22"/>
          <w:szCs w:val="22"/>
        </w:rPr>
        <w:t xml:space="preserve">Dar de alta los puntos de venta electrónicos en ARCA y activar la emisión de facturas electrónicas.</w:t>
      </w:r>
    </w:p>
    <w:p>
      <w:r>
        <w:br w:type="page"/>
      </w:r>
    </w:p>
    <w:p>
      <w:pPr>
        <w:pStyle w:val="Heading1"/>
        <w:spacing w:after="200" w:before="360"/>
      </w:pPr>
      <w:r>
        <w:rPr>
          <w:rFonts w:ascii="Arial" w:cs="Arial" w:eastAsia="Arial" w:hAnsi="Arial"/>
          <w:b/>
          <w:bCs/>
          <w:color w:val="E60012"/>
          <w:sz w:val="32"/>
          <w:szCs w:val="32"/>
        </w:rPr>
        <w:t xml:space="preserve">3. CUMPLIMIENTO LEGAL PARA OPERAR</w:t>
      </w:r>
    </w:p>
    <w:p>
      <w:pPr>
        <w:spacing w:after="120"/>
        <w:jc w:val="left"/>
      </w:pPr>
      <w:r>
        <w:rPr>
          <w:rFonts w:ascii="Arial" w:cs="Arial" w:eastAsia="Arial" w:hAnsi="Arial"/>
          <w:b w:val="false"/>
          <w:bCs w:val="false"/>
          <w:i w:val="false"/>
          <w:iCs w:val="false"/>
          <w:color w:val="1A1A1A"/>
          <w:sz w:val="22"/>
          <w:szCs w:val="22"/>
        </w:rPr>
        <w:t xml:space="preserve">MOOVY, como plataforma digital de intermediación y delivery, está sujeta a múltiples regulaciones. A continuación se detallan las principales áreas legales que debés cubrir.</w:t>
      </w:r>
    </w:p>
    <w:p>
      <w:pPr>
        <w:pStyle w:val="Heading2"/>
        <w:spacing w:after="160" w:before="280"/>
      </w:pPr>
      <w:r>
        <w:rPr>
          <w:rFonts w:ascii="Arial" w:cs="Arial" w:eastAsia="Arial" w:hAnsi="Arial"/>
          <w:b/>
          <w:bCs/>
          <w:color w:val="1A1A1A"/>
          <w:sz w:val="26"/>
          <w:szCs w:val="26"/>
        </w:rPr>
        <w:t xml:space="preserve">3.1 Defensa del Consumidor (Ley 24.240)</w:t>
      </w:r>
    </w:p>
    <w:p>
      <w:pPr>
        <w:spacing w:after="120"/>
        <w:jc w:val="left"/>
      </w:pPr>
      <w:r>
        <w:rPr>
          <w:rFonts w:ascii="Arial" w:cs="Arial" w:eastAsia="Arial" w:hAnsi="Arial"/>
          <w:b w:val="false"/>
          <w:bCs w:val="false"/>
          <w:i w:val="false"/>
          <w:iCs w:val="false"/>
          <w:color w:val="1A1A1A"/>
          <w:sz w:val="22"/>
          <w:szCs w:val="22"/>
        </w:rPr>
        <w:t xml:space="preserve">MOOVY es un proveedor de servicios bajo la Ley de Defensa del Consumidor. Obligaciones principales:</w:t>
      </w:r>
    </w:p>
    <w:p>
      <w:pPr>
        <w:pStyle w:val="ListParagraph"/>
        <w:numPr>
          <w:ilvl w:val="0"/>
          <w:numId w:val="8"/>
        </w:numPr>
        <w:spacing w:after="80"/>
      </w:pPr>
      <w:r>
        <w:rPr>
          <w:rFonts w:ascii="Arial" w:cs="Arial" w:eastAsia="Arial" w:hAnsi="Arial"/>
          <w:b/>
          <w:bCs/>
          <w:sz w:val="22"/>
          <w:szCs w:val="22"/>
        </w:rPr>
        <w:t xml:space="preserve">Información clara y veraz: </w:t>
      </w:r>
      <w:r>
        <w:rPr>
          <w:rFonts w:ascii="Arial" w:cs="Arial" w:eastAsia="Arial" w:hAnsi="Arial"/>
          <w:sz w:val="22"/>
          <w:szCs w:val="22"/>
        </w:rPr>
        <w:t xml:space="preserve">Precios, condiciones de envío, tiempos de entrega, política de cancelación y reembolso deben estar claramente informados antes de la compra.</w:t>
      </w:r>
    </w:p>
    <w:p>
      <w:pPr>
        <w:pStyle w:val="ListParagraph"/>
        <w:numPr>
          <w:ilvl w:val="0"/>
          <w:numId w:val="8"/>
        </w:numPr>
        <w:spacing w:after="80"/>
      </w:pPr>
      <w:r>
        <w:rPr>
          <w:rFonts w:ascii="Arial" w:cs="Arial" w:eastAsia="Arial" w:hAnsi="Arial"/>
          <w:b/>
          <w:bCs/>
          <w:sz w:val="22"/>
          <w:szCs w:val="22"/>
        </w:rPr>
        <w:t xml:space="preserve">Derecho de arrepentimiento: </w:t>
      </w:r>
      <w:r>
        <w:rPr>
          <w:rFonts w:ascii="Arial" w:cs="Arial" w:eastAsia="Arial" w:hAnsi="Arial"/>
          <w:sz w:val="22"/>
          <w:szCs w:val="22"/>
        </w:rPr>
        <w:t xml:space="preserve">En ventas a distancia, el consumidor tiene 10 días para arrepentirse (Art. 34). Hay excepciones para productos perecederos y personalizados, pero hay que informar claramente.</w:t>
      </w:r>
    </w:p>
    <w:p>
      <w:pPr>
        <w:pStyle w:val="ListParagraph"/>
        <w:numPr>
          <w:ilvl w:val="0"/>
          <w:numId w:val="8"/>
        </w:numPr>
        <w:spacing w:after="80"/>
      </w:pPr>
      <w:r>
        <w:rPr>
          <w:rFonts w:ascii="Arial" w:cs="Arial" w:eastAsia="Arial" w:hAnsi="Arial"/>
          <w:b/>
          <w:bCs/>
          <w:sz w:val="22"/>
          <w:szCs w:val="22"/>
        </w:rPr>
        <w:t xml:space="preserve">Botón de arrepentimiento: </w:t>
      </w:r>
      <w:r>
        <w:rPr>
          <w:rFonts w:ascii="Arial" w:cs="Arial" w:eastAsia="Arial" w:hAnsi="Arial"/>
          <w:sz w:val="22"/>
          <w:szCs w:val="22"/>
        </w:rPr>
        <w:t xml:space="preserve">Obligatorio en toda plataforma de comercio electrónico. Debe estar visible y permitir ejercer el derecho de arrepentimiento de manera fácil.</w:t>
      </w:r>
    </w:p>
    <w:p>
      <w:pPr>
        <w:pStyle w:val="ListParagraph"/>
        <w:numPr>
          <w:ilvl w:val="0"/>
          <w:numId w:val="8"/>
        </w:numPr>
        <w:spacing w:after="80"/>
      </w:pPr>
      <w:r>
        <w:rPr>
          <w:rFonts w:ascii="Arial" w:cs="Arial" w:eastAsia="Arial" w:hAnsi="Arial"/>
          <w:b/>
          <w:bCs/>
          <w:sz w:val="22"/>
          <w:szCs w:val="22"/>
        </w:rPr>
        <w:t xml:space="preserve">Términos y condiciones: </w:t>
      </w:r>
      <w:r>
        <w:rPr>
          <w:rFonts w:ascii="Arial" w:cs="Arial" w:eastAsia="Arial" w:hAnsi="Arial"/>
          <w:sz w:val="22"/>
          <w:szCs w:val="22"/>
        </w:rPr>
        <w:t xml:space="preserve">Deben ser accesibles, en lenguaje claro, y aceptados explícitamente por el usuario al registrarse. MOOVY ya tiene /terminos con 14 cláusulas.</w:t>
      </w:r>
    </w:p>
    <w:p>
      <w:pPr>
        <w:pStyle w:val="ListParagraph"/>
        <w:numPr>
          <w:ilvl w:val="0"/>
          <w:numId w:val="8"/>
        </w:numPr>
        <w:spacing w:after="80"/>
      </w:pPr>
      <w:r>
        <w:rPr>
          <w:rFonts w:ascii="Arial" w:cs="Arial" w:eastAsia="Arial" w:hAnsi="Arial"/>
          <w:b/>
          <w:bCs/>
          <w:sz w:val="22"/>
          <w:szCs w:val="22"/>
        </w:rPr>
        <w:t xml:space="preserve">Garantía legal: </w:t>
      </w:r>
      <w:r>
        <w:rPr>
          <w:rFonts w:ascii="Arial" w:cs="Arial" w:eastAsia="Arial" w:hAnsi="Arial"/>
          <w:sz w:val="22"/>
          <w:szCs w:val="22"/>
        </w:rPr>
        <w:t xml:space="preserve">6 meses para productos nuevos, 3 meses para usados (marketplace). MOOVY como intermediaria debe facilitar el reclamo.</w:t>
      </w:r>
    </w:p>
    <w:p>
      <w:pPr>
        <w:pStyle w:val="ListParagraph"/>
        <w:numPr>
          <w:ilvl w:val="0"/>
          <w:numId w:val="8"/>
        </w:numPr>
        <w:spacing w:after="120"/>
      </w:pPr>
      <w:r>
        <w:rPr>
          <w:rFonts w:ascii="Arial" w:cs="Arial" w:eastAsia="Arial" w:hAnsi="Arial"/>
          <w:b/>
          <w:bCs/>
          <w:sz w:val="22"/>
          <w:szCs w:val="22"/>
        </w:rPr>
        <w:t xml:space="preserve">Servicio de atención al cliente: </w:t>
      </w:r>
      <w:r>
        <w:rPr>
          <w:rFonts w:ascii="Arial" w:cs="Arial" w:eastAsia="Arial" w:hAnsi="Arial"/>
          <w:sz w:val="22"/>
          <w:szCs w:val="22"/>
        </w:rPr>
        <w:t xml:space="preserve">Obligatorio tener un canal de atención visible. El chat de soporte de MOOVY cumple este requisito.</w:t>
      </w:r>
    </w:p>
    <w:p>
      <w:pPr>
        <w:pStyle w:val="Heading2"/>
        <w:spacing w:after="160" w:before="280"/>
      </w:pPr>
      <w:r>
        <w:rPr>
          <w:rFonts w:ascii="Arial" w:cs="Arial" w:eastAsia="Arial" w:hAnsi="Arial"/>
          <w:b/>
          <w:bCs/>
          <w:color w:val="1A1A1A"/>
          <w:sz w:val="26"/>
          <w:szCs w:val="26"/>
        </w:rPr>
        <w:t xml:space="preserve">3.2 Protección de Datos Personales (Ley 25.326)</w:t>
      </w:r>
    </w:p>
    <w:p>
      <w:pPr>
        <w:spacing w:after="120"/>
        <w:jc w:val="left"/>
      </w:pPr>
      <w:r>
        <w:rPr>
          <w:rFonts w:ascii="Arial" w:cs="Arial" w:eastAsia="Arial" w:hAnsi="Arial"/>
          <w:b w:val="false"/>
          <w:bCs w:val="false"/>
          <w:i w:val="false"/>
          <w:iCs w:val="false"/>
          <w:color w:val="1A1A1A"/>
          <w:sz w:val="22"/>
          <w:szCs w:val="22"/>
        </w:rPr>
        <w:t xml:space="preserve">MOOVY recolecta datos personales de compradores, comercios, repartidores y vendedores. Obligaciones:</w:t>
      </w:r>
    </w:p>
    <w:p>
      <w:pPr>
        <w:pStyle w:val="ListParagraph"/>
        <w:numPr>
          <w:ilvl w:val="0"/>
          <w:numId w:val="9"/>
        </w:numPr>
        <w:spacing w:after="80"/>
      </w:pPr>
      <w:r>
        <w:rPr>
          <w:rFonts w:ascii="Arial" w:cs="Arial" w:eastAsia="Arial" w:hAnsi="Arial"/>
          <w:b/>
          <w:bCs/>
          <w:sz w:val="22"/>
          <w:szCs w:val="22"/>
        </w:rPr>
        <w:t xml:space="preserve">Consentimiento informado: </w:t>
      </w:r>
      <w:r>
        <w:rPr>
          <w:rFonts w:ascii="Arial" w:cs="Arial" w:eastAsia="Arial" w:hAnsi="Arial"/>
          <w:sz w:val="22"/>
          <w:szCs w:val="22"/>
        </w:rPr>
        <w:t xml:space="preserve">El usuario debe aceptar explícitamente la política de privacidad al registrarse. Explicar qué datos se recolectan, para qué y con quién se comparten.</w:t>
      </w:r>
    </w:p>
    <w:p>
      <w:pPr>
        <w:pStyle w:val="ListParagraph"/>
        <w:numPr>
          <w:ilvl w:val="0"/>
          <w:numId w:val="9"/>
        </w:numPr>
        <w:spacing w:after="80"/>
      </w:pPr>
      <w:r>
        <w:rPr>
          <w:rFonts w:ascii="Arial" w:cs="Arial" w:eastAsia="Arial" w:hAnsi="Arial"/>
          <w:b/>
          <w:bCs/>
          <w:sz w:val="22"/>
          <w:szCs w:val="22"/>
        </w:rPr>
        <w:t xml:space="preserve">Registro de base de datos: </w:t>
      </w:r>
      <w:r>
        <w:rPr>
          <w:rFonts w:ascii="Arial" w:cs="Arial" w:eastAsia="Arial" w:hAnsi="Arial"/>
          <w:sz w:val="22"/>
          <w:szCs w:val="22"/>
        </w:rPr>
        <w:t xml:space="preserve">La Ley 25.326 exige registrar las bases de datos ante la Agencia de Acceso a la Información Pública (AAIP). Trámite online en aaip.gob.ar.</w:t>
      </w:r>
    </w:p>
    <w:p>
      <w:pPr>
        <w:pStyle w:val="ListParagraph"/>
        <w:numPr>
          <w:ilvl w:val="0"/>
          <w:numId w:val="9"/>
        </w:numPr>
        <w:spacing w:after="80"/>
      </w:pPr>
      <w:r>
        <w:rPr>
          <w:rFonts w:ascii="Arial" w:cs="Arial" w:eastAsia="Arial" w:hAnsi="Arial"/>
          <w:b/>
          <w:bCs/>
          <w:sz w:val="22"/>
          <w:szCs w:val="22"/>
        </w:rPr>
        <w:t xml:space="preserve">Derechos ARCO: </w:t>
      </w:r>
      <w:r>
        <w:rPr>
          <w:rFonts w:ascii="Arial" w:cs="Arial" w:eastAsia="Arial" w:hAnsi="Arial"/>
          <w:sz w:val="22"/>
          <w:szCs w:val="22"/>
        </w:rPr>
        <w:t xml:space="preserve">Los usuarios tienen derecho a Acceder, Rectificar, Cancelar y Oponerse al tratamiento de sus datos. MOOVY ya implementa soft delete, lo cual es buena práctica.</w:t>
      </w:r>
    </w:p>
    <w:p>
      <w:pPr>
        <w:pStyle w:val="ListParagraph"/>
        <w:numPr>
          <w:ilvl w:val="0"/>
          <w:numId w:val="9"/>
        </w:numPr>
        <w:spacing w:after="80"/>
      </w:pPr>
      <w:r>
        <w:rPr>
          <w:rFonts w:ascii="Arial" w:cs="Arial" w:eastAsia="Arial" w:hAnsi="Arial"/>
          <w:b/>
          <w:bCs/>
          <w:sz w:val="22"/>
          <w:szCs w:val="22"/>
        </w:rPr>
        <w:t xml:space="preserve">Seguridad de los datos: </w:t>
      </w:r>
      <w:r>
        <w:rPr>
          <w:rFonts w:ascii="Arial" w:cs="Arial" w:eastAsia="Arial" w:hAnsi="Arial"/>
          <w:sz w:val="22"/>
          <w:szCs w:val="22"/>
        </w:rPr>
        <w:t xml:space="preserve">Medidas técnicas adecuadas (encriptación, acceso restringido, backups). MOOVY ya tiene bcrypt para passwords, HMAC para webhooks, y rate limiting.</w:t>
      </w:r>
    </w:p>
    <w:p>
      <w:pPr>
        <w:pStyle w:val="ListParagraph"/>
        <w:numPr>
          <w:ilvl w:val="0"/>
          <w:numId w:val="9"/>
        </w:numPr>
        <w:spacing w:after="120"/>
      </w:pPr>
      <w:r>
        <w:rPr>
          <w:rFonts w:ascii="Arial" w:cs="Arial" w:eastAsia="Arial" w:hAnsi="Arial"/>
          <w:b/>
          <w:bCs/>
          <w:sz w:val="22"/>
          <w:szCs w:val="22"/>
        </w:rPr>
        <w:t xml:space="preserve">Transferencia a terceros: </w:t>
      </w:r>
      <w:r>
        <w:rPr>
          <w:rFonts w:ascii="Arial" w:cs="Arial" w:eastAsia="Arial" w:hAnsi="Arial"/>
          <w:sz w:val="22"/>
          <w:szCs w:val="22"/>
        </w:rPr>
        <w:t xml:space="preserve">Documentar que se comparten datos con MercadoPago, Google (Maps), y el servicio de email (SMTP). Esto debe constar en la política de privacidad.</w:t>
      </w:r>
    </w:p>
    <w:p>
      <w:pPr>
        <w:pStyle w:val="Heading2"/>
        <w:spacing w:after="160" w:before="280"/>
      </w:pPr>
      <w:r>
        <w:rPr>
          <w:rFonts w:ascii="Arial" w:cs="Arial" w:eastAsia="Arial" w:hAnsi="Arial"/>
          <w:b/>
          <w:bCs/>
          <w:color w:val="1A1A1A"/>
          <w:sz w:val="26"/>
          <w:szCs w:val="26"/>
        </w:rPr>
        <w:t xml:space="preserve">3.3 Fiscal y Tributario</w:t>
      </w:r>
    </w:p>
    <w:p>
      <w:pPr>
        <w:pStyle w:val="ListParagraph"/>
        <w:numPr>
          <w:ilvl w:val="0"/>
          <w:numId w:val="10"/>
        </w:numPr>
        <w:spacing w:after="80"/>
      </w:pPr>
      <w:r>
        <w:rPr>
          <w:rFonts w:ascii="Arial" w:cs="Arial" w:eastAsia="Arial" w:hAnsi="Arial"/>
          <w:b/>
          <w:bCs/>
          <w:sz w:val="22"/>
          <w:szCs w:val="22"/>
        </w:rPr>
        <w:t xml:space="preserve">Régimen impositivo: </w:t>
      </w:r>
      <w:r>
        <w:rPr>
          <w:rFonts w:ascii="Arial" w:cs="Arial" w:eastAsia="Arial" w:hAnsi="Arial"/>
          <w:sz w:val="22"/>
          <w:szCs w:val="22"/>
        </w:rPr>
        <w:t xml:space="preserve">La SAS tributa IVA, Ganancias e Ingresos Brutos. Un contador de TDF es fundamental porque Tierra del Fuego tiene un régimen fiscal diferenciado (Ley 19.640 de promoción económica) que puede dar beneficios impositivos significativos.</w:t>
      </w:r>
    </w:p>
    <w:p>
      <w:pPr>
        <w:pStyle w:val="ListParagraph"/>
        <w:numPr>
          <w:ilvl w:val="0"/>
          <w:numId w:val="10"/>
        </w:numPr>
        <w:spacing w:after="80"/>
      </w:pPr>
      <w:r>
        <w:rPr>
          <w:rFonts w:ascii="Arial" w:cs="Arial" w:eastAsia="Arial" w:hAnsi="Arial"/>
          <w:b/>
          <w:bCs/>
          <w:sz w:val="22"/>
          <w:szCs w:val="22"/>
        </w:rPr>
        <w:t xml:space="preserve">Facturación electrónica: </w:t>
      </w:r>
      <w:r>
        <w:rPr>
          <w:rFonts w:ascii="Arial" w:cs="Arial" w:eastAsia="Arial" w:hAnsi="Arial"/>
          <w:sz w:val="22"/>
          <w:szCs w:val="22"/>
        </w:rPr>
        <w:t xml:space="preserve">Obligatoria para todos los contribuyentes. MOOVY debe emitir factura por las comisiones cobradas a comercios y sellers.</w:t>
      </w:r>
    </w:p>
    <w:p>
      <w:pPr>
        <w:pStyle w:val="ListParagraph"/>
        <w:numPr>
          <w:ilvl w:val="0"/>
          <w:numId w:val="10"/>
        </w:numPr>
        <w:spacing w:after="80"/>
      </w:pPr>
      <w:r>
        <w:rPr>
          <w:rFonts w:ascii="Arial" w:cs="Arial" w:eastAsia="Arial" w:hAnsi="Arial"/>
          <w:b/>
          <w:bCs/>
          <w:sz w:val="22"/>
          <w:szCs w:val="22"/>
        </w:rPr>
        <w:t xml:space="preserve">Régimen de información ARCA: </w:t>
      </w:r>
      <w:r>
        <w:rPr>
          <w:rFonts w:ascii="Arial" w:cs="Arial" w:eastAsia="Arial" w:hAnsi="Arial"/>
          <w:sz w:val="22"/>
          <w:szCs w:val="22"/>
        </w:rPr>
        <w:t xml:space="preserve">Las plataformas de intermediación digital pueden estar obligadas a informar las transacciones de sus usuarios a ARCA (RG 4838/2020 y sus actualizaciones).</w:t>
      </w:r>
    </w:p>
    <w:p>
      <w:pPr>
        <w:pStyle w:val="ListParagraph"/>
        <w:numPr>
          <w:ilvl w:val="0"/>
          <w:numId w:val="10"/>
        </w:numPr>
        <w:spacing w:after="120"/>
      </w:pPr>
      <w:r>
        <w:rPr>
          <w:rFonts w:ascii="Arial" w:cs="Arial" w:eastAsia="Arial" w:hAnsi="Arial"/>
          <w:b/>
          <w:bCs/>
          <w:sz w:val="22"/>
          <w:szCs w:val="22"/>
        </w:rPr>
        <w:t xml:space="preserve">Retención de IVA e IIBB: </w:t>
      </w:r>
      <w:r>
        <w:rPr>
          <w:rFonts w:ascii="Arial" w:cs="Arial" w:eastAsia="Arial" w:hAnsi="Arial"/>
          <w:sz w:val="22"/>
          <w:szCs w:val="22"/>
        </w:rPr>
        <w:t xml:space="preserve">Verificar con un contador si MOOVY debe actuar como agente de retención sobre los pagos a comercios y sellers.</w:t>
      </w:r>
    </w:p>
    <w:p>
      <w:pPr>
        <w:pBdr>
          <w:left w:val="single" w:color="E60012" w:sz="12" w:space="8"/>
        </w:pBdr>
        <w:spacing w:after="160" w:before="160"/>
        <w:ind w:left="240"/>
      </w:pPr>
      <w:r>
        <w:rPr>
          <w:rFonts w:ascii="Arial" w:cs="Arial" w:eastAsia="Arial" w:hAnsi="Arial"/>
          <w:b/>
          <w:bCs/>
          <w:color w:val="E60012"/>
          <w:sz w:val="22"/>
          <w:szCs w:val="22"/>
        </w:rPr>
        <w:t xml:space="preserve">CLAVE: Tierra del Fuego tiene beneficios de la Ley 19.640 (promoción económica). Un contador local puede ayudarte a maximizar estos beneficios. No te pierdas esta ventaja.</w:t>
      </w:r>
    </w:p>
    <w:p>
      <w:pPr>
        <w:pStyle w:val="Heading2"/>
        <w:spacing w:after="160" w:before="280"/>
      </w:pPr>
      <w:r>
        <w:rPr>
          <w:rFonts w:ascii="Arial" w:cs="Arial" w:eastAsia="Arial" w:hAnsi="Arial"/>
          <w:b/>
          <w:bCs/>
          <w:color w:val="1A1A1A"/>
          <w:sz w:val="26"/>
          <w:szCs w:val="26"/>
        </w:rPr>
        <w:t xml:space="preserve">3.4 Habilitación Comercial Municipal (Ushuaia)</w:t>
      </w:r>
    </w:p>
    <w:p>
      <w:pPr>
        <w:spacing w:after="120"/>
        <w:jc w:val="left"/>
      </w:pPr>
      <w:r>
        <w:rPr>
          <w:rFonts w:ascii="Arial" w:cs="Arial" w:eastAsia="Arial" w:hAnsi="Arial"/>
          <w:b w:val="false"/>
          <w:bCs w:val="false"/>
          <w:i w:val="false"/>
          <w:iCs w:val="false"/>
          <w:color w:val="1A1A1A"/>
          <w:sz w:val="22"/>
          <w:szCs w:val="22"/>
        </w:rPr>
        <w:t xml:space="preserve">Aunque MOOVY opera como plataforma digital, si tiene sede física en Ushuaia necesita habilitación comercial municipal. El trámite es 100% digital desde 2025.</w:t>
      </w:r>
    </w:p>
    <w:p>
      <w:pPr>
        <w:pStyle w:val="ListParagraph"/>
        <w:numPr>
          <w:ilvl w:val="0"/>
          <w:numId w:val="7"/>
        </w:numPr>
        <w:spacing w:after="80"/>
      </w:pPr>
      <w:r>
        <w:rPr>
          <w:rFonts w:ascii="Arial" w:cs="Arial" w:eastAsia="Arial" w:hAnsi="Arial"/>
          <w:sz w:val="22"/>
          <w:szCs w:val="22"/>
        </w:rPr>
        <w:t xml:space="preserve">Portal de trámites: tramites.ushuaia.gob.ar</w:t>
      </w:r>
    </w:p>
    <w:p>
      <w:pPr>
        <w:pStyle w:val="ListParagraph"/>
        <w:numPr>
          <w:ilvl w:val="0"/>
          <w:numId w:val="7"/>
        </w:numPr>
        <w:spacing w:after="80"/>
      </w:pPr>
      <w:r>
        <w:rPr>
          <w:rFonts w:ascii="Arial" w:cs="Arial" w:eastAsia="Arial" w:hAnsi="Arial"/>
          <w:sz w:val="22"/>
          <w:szCs w:val="22"/>
        </w:rPr>
        <w:t xml:space="preserve">Requisitos: libre deuda municipal, DNI del titular, plano aprobado del espacio (si aplica), informe de bomberos</w:t>
      </w:r>
    </w:p>
    <w:p>
      <w:pPr>
        <w:pStyle w:val="ListParagraph"/>
        <w:numPr>
          <w:ilvl w:val="0"/>
          <w:numId w:val="7"/>
        </w:numPr>
        <w:spacing w:after="80"/>
      </w:pPr>
      <w:r>
        <w:rPr>
          <w:rFonts w:ascii="Arial" w:cs="Arial" w:eastAsia="Arial" w:hAnsi="Arial"/>
          <w:sz w:val="22"/>
          <w:szCs w:val="22"/>
        </w:rPr>
        <w:t xml:space="preserve">Consulta específica para apps de delivery: contactar Dirección de Comercio e Industria (administracion.comercio@ushuaia.gob.ar)</w:t>
      </w:r>
    </w:p>
    <w:p>
      <w:pPr>
        <w:pStyle w:val="ListParagraph"/>
        <w:numPr>
          <w:ilvl w:val="0"/>
          <w:numId w:val="7"/>
        </w:numPr>
        <w:spacing w:after="120"/>
      </w:pPr>
      <w:r>
        <w:rPr>
          <w:rFonts w:ascii="Arial" w:cs="Arial" w:eastAsia="Arial" w:hAnsi="Arial"/>
          <w:sz w:val="22"/>
          <w:szCs w:val="22"/>
        </w:rPr>
        <w:t xml:space="preserve">Tasa de habilitación comercial: pago único al habilitar + tasa periódica</w:t>
      </w:r>
    </w:p>
    <w:p>
      <w:pPr>
        <w:pStyle w:val="Heading2"/>
        <w:spacing w:after="160" w:before="280"/>
      </w:pPr>
      <w:r>
        <w:rPr>
          <w:rFonts w:ascii="Arial" w:cs="Arial" w:eastAsia="Arial" w:hAnsi="Arial"/>
          <w:b/>
          <w:bCs/>
          <w:color w:val="1A1A1A"/>
          <w:sz w:val="26"/>
          <w:szCs w:val="26"/>
        </w:rPr>
        <w:t xml:space="preserve">3.5 Relación con Repartidores</w:t>
      </w:r>
    </w:p>
    <w:p>
      <w:pPr>
        <w:spacing w:after="120"/>
        <w:jc w:val="left"/>
      </w:pPr>
      <w:r>
        <w:rPr>
          <w:rFonts w:ascii="Arial" w:cs="Arial" w:eastAsia="Arial" w:hAnsi="Arial"/>
          <w:b w:val="false"/>
          <w:bCs w:val="false"/>
          <w:i w:val="false"/>
          <w:iCs w:val="false"/>
          <w:color w:val="1A1A1A"/>
          <w:sz w:val="22"/>
          <w:szCs w:val="22"/>
        </w:rPr>
        <w:t xml:space="preserve">Este es un punto crítico legalmente. La relación con los repartidores debe estar claramente definida para evitar reclamos laborales.</w:t>
      </w:r>
    </w:p>
    <w:p>
      <w:pPr>
        <w:pStyle w:val="ListParagraph"/>
        <w:numPr>
          <w:ilvl w:val="0"/>
          <w:numId w:val="8"/>
        </w:numPr>
        <w:spacing w:after="80"/>
      </w:pPr>
      <w:r>
        <w:rPr>
          <w:rFonts w:ascii="Arial" w:cs="Arial" w:eastAsia="Arial" w:hAnsi="Arial"/>
          <w:b/>
          <w:bCs/>
          <w:sz w:val="22"/>
          <w:szCs w:val="22"/>
        </w:rPr>
        <w:t xml:space="preserve">Contratistas independientes vs. empleados: </w:t>
      </w:r>
      <w:r>
        <w:rPr>
          <w:rFonts w:ascii="Arial" w:cs="Arial" w:eastAsia="Arial" w:hAnsi="Arial"/>
          <w:sz w:val="22"/>
          <w:szCs w:val="22"/>
        </w:rPr>
        <w:t xml:space="preserve">Si los repartidores eligen sus horarios, usan su propio vehículo, y pueden rechazar pedidos, es más fácil sostener que son independientes. Pero la jurisprudencia argentina tiende a proteger al trabajador.</w:t>
      </w:r>
    </w:p>
    <w:p>
      <w:pPr>
        <w:pStyle w:val="ListParagraph"/>
        <w:numPr>
          <w:ilvl w:val="0"/>
          <w:numId w:val="8"/>
        </w:numPr>
        <w:spacing w:after="80"/>
      </w:pPr>
      <w:r>
        <w:rPr>
          <w:rFonts w:ascii="Arial" w:cs="Arial" w:eastAsia="Arial" w:hAnsi="Arial"/>
          <w:b/>
          <w:bCs/>
          <w:sz w:val="22"/>
          <w:szCs w:val="22"/>
        </w:rPr>
        <w:t xml:space="preserve">Términos y condiciones de repartidores: </w:t>
      </w:r>
      <w:r>
        <w:rPr>
          <w:rFonts w:ascii="Arial" w:cs="Arial" w:eastAsia="Arial" w:hAnsi="Arial"/>
          <w:sz w:val="22"/>
          <w:szCs w:val="22"/>
        </w:rPr>
        <w:t xml:space="preserve">Redactar un contrato de servicio claro que establezca la independencia de la relación. Un abogado laboralista debe revisarlo.</w:t>
      </w:r>
    </w:p>
    <w:p>
      <w:pPr>
        <w:pStyle w:val="ListParagraph"/>
        <w:numPr>
          <w:ilvl w:val="0"/>
          <w:numId w:val="8"/>
        </w:numPr>
        <w:spacing w:after="80"/>
      </w:pPr>
      <w:r>
        <w:rPr>
          <w:rFonts w:ascii="Arial" w:cs="Arial" w:eastAsia="Arial" w:hAnsi="Arial"/>
          <w:b/>
          <w:bCs/>
          <w:sz w:val="22"/>
          <w:szCs w:val="22"/>
        </w:rPr>
        <w:t xml:space="preserve">Seguros: </w:t>
      </w:r>
      <w:r>
        <w:rPr>
          <w:rFonts w:ascii="Arial" w:cs="Arial" w:eastAsia="Arial" w:hAnsi="Arial"/>
          <w:sz w:val="22"/>
          <w:szCs w:val="22"/>
        </w:rPr>
        <w:t xml:space="preserve">Exigir a los repartidores seguro de accidentes personales y del vehículo. MOOVY ya pide documentación de seguro en el registro de driver.</w:t>
      </w:r>
    </w:p>
    <w:p>
      <w:pPr>
        <w:pStyle w:val="ListParagraph"/>
        <w:numPr>
          <w:ilvl w:val="0"/>
          <w:numId w:val="8"/>
        </w:numPr>
        <w:spacing w:after="120"/>
      </w:pPr>
      <w:r>
        <w:rPr>
          <w:rFonts w:ascii="Arial" w:cs="Arial" w:eastAsia="Arial" w:hAnsi="Arial"/>
          <w:b/>
          <w:bCs/>
          <w:sz w:val="22"/>
          <w:szCs w:val="22"/>
        </w:rPr>
        <w:t xml:space="preserve">ART / monotributo del repartidor: </w:t>
      </w:r>
      <w:r>
        <w:rPr>
          <w:rFonts w:ascii="Arial" w:cs="Arial" w:eastAsia="Arial" w:hAnsi="Arial"/>
          <w:sz w:val="22"/>
          <w:szCs w:val="22"/>
        </w:rPr>
        <w:t xml:space="preserve">Idealmente, los repartidores deberían estar inscriptos como monotributistas y tener su propia cobertura.</w:t>
      </w:r>
    </w:p>
    <w:p>
      <w:pPr>
        <w:pBdr>
          <w:left w:val="single" w:color="E60012" w:sz="12" w:space="8"/>
        </w:pBdr>
        <w:spacing w:after="160" w:before="160"/>
        <w:ind w:left="240"/>
      </w:pPr>
      <w:r>
        <w:rPr>
          <w:rFonts w:ascii="Arial" w:cs="Arial" w:eastAsia="Arial" w:hAnsi="Arial"/>
          <w:b/>
          <w:bCs/>
          <w:color w:val="E60012"/>
          <w:sz w:val="22"/>
          <w:szCs w:val="22"/>
        </w:rPr>
        <w:t xml:space="preserve">RIESGO LEGAL ALTO: La relación con repartidores es el punto más litigioso de las plataformas de delivery en Argentina. Invertí en un buen contrato y asesoramiento laboral ANTES de lanzar.</w:t>
      </w:r>
    </w:p>
    <w:p>
      <w:pPr>
        <w:pStyle w:val="Heading2"/>
        <w:spacing w:after="160" w:before="280"/>
      </w:pPr>
      <w:r>
        <w:rPr>
          <w:rFonts w:ascii="Arial" w:cs="Arial" w:eastAsia="Arial" w:hAnsi="Arial"/>
          <w:b/>
          <w:bCs/>
          <w:color w:val="1A1A1A"/>
          <w:sz w:val="26"/>
          <w:szCs w:val="26"/>
        </w:rPr>
        <w:t xml:space="preserve">3.6 Seguros</w:t>
      </w:r>
    </w:p>
    <w:p>
      <w:pPr>
        <w:spacing w:after="120"/>
        <w:jc w:val="left"/>
      </w:pPr>
      <w:r>
        <w:rPr>
          <w:rFonts w:ascii="Arial" w:cs="Arial" w:eastAsia="Arial" w:hAnsi="Arial"/>
          <w:b w:val="false"/>
          <w:bCs w:val="false"/>
          <w:i w:val="false"/>
          <w:iCs w:val="false"/>
          <w:color w:val="1A1A1A"/>
          <w:sz w:val="22"/>
          <w:szCs w:val="22"/>
        </w:rPr>
        <w:t xml:space="preserve">Seguros recomendados para MOOVY como empresa:</w:t>
      </w:r>
    </w:p>
    <w:p>
      <w:pPr>
        <w:pStyle w:val="ListParagraph"/>
        <w:numPr>
          <w:ilvl w:val="0"/>
          <w:numId w:val="9"/>
        </w:numPr>
        <w:spacing w:after="80"/>
      </w:pPr>
      <w:r>
        <w:rPr>
          <w:rFonts w:ascii="Arial" w:cs="Arial" w:eastAsia="Arial" w:hAnsi="Arial"/>
          <w:b/>
          <w:bCs/>
          <w:sz w:val="22"/>
          <w:szCs w:val="22"/>
        </w:rPr>
        <w:t xml:space="preserve">Seguro de responsabilidad civil: </w:t>
      </w:r>
      <w:r>
        <w:rPr>
          <w:rFonts w:ascii="Arial" w:cs="Arial" w:eastAsia="Arial" w:hAnsi="Arial"/>
          <w:sz w:val="22"/>
          <w:szCs w:val="22"/>
        </w:rPr>
        <w:t xml:space="preserve">Cubre reclamos de terceros por daños causados por la operación de la plataforma.</w:t>
      </w:r>
    </w:p>
    <w:p>
      <w:pPr>
        <w:pStyle w:val="ListParagraph"/>
        <w:numPr>
          <w:ilvl w:val="0"/>
          <w:numId w:val="9"/>
        </w:numPr>
        <w:spacing w:after="80"/>
      </w:pPr>
      <w:r>
        <w:rPr>
          <w:rFonts w:ascii="Arial" w:cs="Arial" w:eastAsia="Arial" w:hAnsi="Arial"/>
          <w:b/>
          <w:bCs/>
          <w:sz w:val="22"/>
          <w:szCs w:val="22"/>
        </w:rPr>
        <w:t xml:space="preserve">Seguro de cyber / protección de datos: </w:t>
      </w:r>
      <w:r>
        <w:rPr>
          <w:rFonts w:ascii="Arial" w:cs="Arial" w:eastAsia="Arial" w:hAnsi="Arial"/>
          <w:sz w:val="22"/>
          <w:szCs w:val="22"/>
        </w:rPr>
        <w:t xml:space="preserve">Cubre costos de brechas de seguridad, notificación a afectados y responsabilidad legal.</w:t>
      </w:r>
    </w:p>
    <w:p>
      <w:pPr>
        <w:pStyle w:val="ListParagraph"/>
        <w:numPr>
          <w:ilvl w:val="0"/>
          <w:numId w:val="9"/>
        </w:numPr>
        <w:spacing w:after="120"/>
      </w:pPr>
      <w:r>
        <w:rPr>
          <w:rFonts w:ascii="Arial" w:cs="Arial" w:eastAsia="Arial" w:hAnsi="Arial"/>
          <w:b/>
          <w:bCs/>
          <w:sz w:val="22"/>
          <w:szCs w:val="22"/>
        </w:rPr>
        <w:t xml:space="preserve">Seguro de repartidores: </w:t>
      </w:r>
      <w:r>
        <w:rPr>
          <w:rFonts w:ascii="Arial" w:cs="Arial" w:eastAsia="Arial" w:hAnsi="Arial"/>
          <w:sz w:val="22"/>
          <w:szCs w:val="22"/>
        </w:rPr>
        <w:t xml:space="preserve">Evaluar si MOOVY contrata un seguro colectivo o exige que cada repartidor tenga el propio. Ambas opciones tienen implicancias legales distintas.</w:t>
      </w:r>
    </w:p>
    <w:p>
      <w:r>
        <w:br w:type="page"/>
      </w:r>
    </w:p>
    <w:p>
      <w:pPr>
        <w:pStyle w:val="Heading1"/>
        <w:spacing w:after="200" w:before="360"/>
      </w:pPr>
      <w:r>
        <w:rPr>
          <w:rFonts w:ascii="Arial" w:cs="Arial" w:eastAsia="Arial" w:hAnsi="Arial"/>
          <w:b/>
          <w:bCs/>
          <w:color w:val="E60012"/>
          <w:sz w:val="32"/>
          <w:szCs w:val="32"/>
        </w:rPr>
        <w:t xml:space="preserve">4. CHECKLIST LEGAL — ORDEN DE PRIORIDAD</w:t>
      </w:r>
    </w:p>
    <w:p>
      <w:pPr>
        <w:spacing w:after="120"/>
        <w:jc w:val="left"/>
      </w:pPr>
      <w:r>
        <w:rPr>
          <w:rFonts w:ascii="Arial" w:cs="Arial" w:eastAsia="Arial" w:hAnsi="Arial"/>
          <w:b w:val="false"/>
          <w:bCs w:val="false"/>
          <w:i w:val="false"/>
          <w:iCs w:val="false"/>
          <w:color w:val="1A1A1A"/>
          <w:sz w:val="22"/>
          <w:szCs w:val="22"/>
        </w:rPr>
        <w:t xml:space="preserve">Usá esta lista para ir tachando los pasos completados. Están ordenados por urgencia relativa al lanzamiento.</w:t>
      </w:r>
    </w:p>
    <w:p>
      <w:pPr>
        <w:spacing w:after="80"/>
      </w:pPr>
    </w:p>
    <w:p>
      <w:pPr>
        <w:pStyle w:val="Heading2"/>
        <w:spacing w:after="160" w:before="280"/>
      </w:pPr>
      <w:r>
        <w:rPr>
          <w:rFonts w:ascii="Arial" w:cs="Arial" w:eastAsia="Arial" w:hAnsi="Arial"/>
          <w:b/>
          <w:bCs/>
          <w:color w:val="1A1A1A"/>
          <w:sz w:val="26"/>
          <w:szCs w:val="26"/>
        </w:rPr>
        <w:t xml:space="preserve">Etapa 1: Antes del lanzamiento (BLOCKER)</w:t>
      </w:r>
    </w:p>
    <w:p>
      <w:pPr>
        <w:pStyle w:val="ListParagraph"/>
        <w:numPr>
          <w:ilvl w:val="0"/>
          <w:numId w:val="11"/>
        </w:numPr>
        <w:spacing w:after="80"/>
      </w:pPr>
      <w:r>
        <w:rPr>
          <w:rFonts w:ascii="Arial" w:cs="Arial" w:eastAsia="Arial" w:hAnsi="Arial"/>
          <w:sz w:val="22"/>
          <w:szCs w:val="22"/>
        </w:rPr>
        <w:t xml:space="preserve">Consultar abogado matriculado en Tierra del Fuego</w:t>
      </w:r>
    </w:p>
    <w:p>
      <w:pPr>
        <w:pStyle w:val="ListParagraph"/>
        <w:numPr>
          <w:ilvl w:val="0"/>
          <w:numId w:val="11"/>
        </w:numPr>
        <w:spacing w:after="80"/>
      </w:pPr>
      <w:r>
        <w:rPr>
          <w:rFonts w:ascii="Arial" w:cs="Arial" w:eastAsia="Arial" w:hAnsi="Arial"/>
          <w:sz w:val="22"/>
          <w:szCs w:val="22"/>
        </w:rPr>
        <w:t xml:space="preserve">Consultar contador público de TDF (beneficios Ley 19.640)</w:t>
      </w:r>
    </w:p>
    <w:p>
      <w:pPr>
        <w:pStyle w:val="ListParagraph"/>
        <w:numPr>
          <w:ilvl w:val="0"/>
          <w:numId w:val="11"/>
        </w:numPr>
        <w:spacing w:after="80"/>
      </w:pPr>
      <w:r>
        <w:rPr>
          <w:rFonts w:ascii="Arial" w:cs="Arial" w:eastAsia="Arial" w:hAnsi="Arial"/>
          <w:sz w:val="22"/>
          <w:szCs w:val="22"/>
        </w:rPr>
        <w:t xml:space="preserve">Búsqueda de disponibilidad de marca “MOOVY” en INPI</w:t>
      </w:r>
    </w:p>
    <w:p>
      <w:pPr>
        <w:pStyle w:val="ListParagraph"/>
        <w:numPr>
          <w:ilvl w:val="0"/>
          <w:numId w:val="11"/>
        </w:numPr>
        <w:spacing w:after="80"/>
      </w:pPr>
      <w:r>
        <w:rPr>
          <w:rFonts w:ascii="Arial" w:cs="Arial" w:eastAsia="Arial" w:hAnsi="Arial"/>
          <w:sz w:val="22"/>
          <w:szCs w:val="22"/>
        </w:rPr>
        <w:t xml:space="preserve">Presentar solicitud de registro de marca (clases 35 y 39 mínimo)</w:t>
      </w:r>
    </w:p>
    <w:p>
      <w:pPr>
        <w:pStyle w:val="ListParagraph"/>
        <w:numPr>
          <w:ilvl w:val="0"/>
          <w:numId w:val="11"/>
        </w:numPr>
        <w:spacing w:after="80"/>
      </w:pPr>
      <w:r>
        <w:rPr>
          <w:rFonts w:ascii="Arial" w:cs="Arial" w:eastAsia="Arial" w:hAnsi="Arial"/>
          <w:sz w:val="22"/>
          <w:szCs w:val="22"/>
        </w:rPr>
        <w:t xml:space="preserve">Constituir SAS ante IGJ de Tierra del Fuego</w:t>
      </w:r>
    </w:p>
    <w:p>
      <w:pPr>
        <w:pStyle w:val="ListParagraph"/>
        <w:numPr>
          <w:ilvl w:val="0"/>
          <w:numId w:val="11"/>
        </w:numPr>
        <w:spacing w:after="80"/>
      </w:pPr>
      <w:r>
        <w:rPr>
          <w:rFonts w:ascii="Arial" w:cs="Arial" w:eastAsia="Arial" w:hAnsi="Arial"/>
          <w:sz w:val="22"/>
          <w:szCs w:val="22"/>
        </w:rPr>
        <w:t xml:space="preserve">Obtener CUIT de la SAS en ARCA</w:t>
      </w:r>
    </w:p>
    <w:p>
      <w:pPr>
        <w:pStyle w:val="ListParagraph"/>
        <w:numPr>
          <w:ilvl w:val="0"/>
          <w:numId w:val="11"/>
        </w:numPr>
        <w:spacing w:after="80"/>
      </w:pPr>
      <w:r>
        <w:rPr>
          <w:rFonts w:ascii="Arial" w:cs="Arial" w:eastAsia="Arial" w:hAnsi="Arial"/>
          <w:sz w:val="22"/>
          <w:szCs w:val="22"/>
        </w:rPr>
        <w:t xml:space="preserve">Inscripción en Ingresos Brutos de TDF</w:t>
      </w:r>
    </w:p>
    <w:p>
      <w:pPr>
        <w:pStyle w:val="ListParagraph"/>
        <w:numPr>
          <w:ilvl w:val="0"/>
          <w:numId w:val="11"/>
        </w:numPr>
        <w:spacing w:after="80"/>
      </w:pPr>
      <w:r>
        <w:rPr>
          <w:rFonts w:ascii="Arial" w:cs="Arial" w:eastAsia="Arial" w:hAnsi="Arial"/>
          <w:sz w:val="22"/>
          <w:szCs w:val="22"/>
        </w:rPr>
        <w:t xml:space="preserve">Habilitar facturación electrónica en ARCA</w:t>
      </w:r>
    </w:p>
    <w:p>
      <w:pPr>
        <w:pStyle w:val="ListParagraph"/>
        <w:numPr>
          <w:ilvl w:val="0"/>
          <w:numId w:val="11"/>
        </w:numPr>
        <w:spacing w:after="80"/>
      </w:pPr>
      <w:r>
        <w:rPr>
          <w:rFonts w:ascii="Arial" w:cs="Arial" w:eastAsia="Arial" w:hAnsi="Arial"/>
          <w:sz w:val="22"/>
          <w:szCs w:val="22"/>
        </w:rPr>
        <w:t xml:space="preserve">Redactar Términos y Condiciones definitivos (revisados por abogado)</w:t>
      </w:r>
    </w:p>
    <w:p>
      <w:pPr>
        <w:pStyle w:val="ListParagraph"/>
        <w:numPr>
          <w:ilvl w:val="0"/>
          <w:numId w:val="11"/>
        </w:numPr>
        <w:spacing w:after="80"/>
      </w:pPr>
      <w:r>
        <w:rPr>
          <w:rFonts w:ascii="Arial" w:cs="Arial" w:eastAsia="Arial" w:hAnsi="Arial"/>
          <w:sz w:val="22"/>
          <w:szCs w:val="22"/>
        </w:rPr>
        <w:t xml:space="preserve">Redactar Política de Privacidad (revisada por abogado)</w:t>
      </w:r>
    </w:p>
    <w:p>
      <w:pPr>
        <w:pStyle w:val="ListParagraph"/>
        <w:numPr>
          <w:ilvl w:val="0"/>
          <w:numId w:val="11"/>
        </w:numPr>
        <w:spacing w:after="80"/>
      </w:pPr>
      <w:r>
        <w:rPr>
          <w:rFonts w:ascii="Arial" w:cs="Arial" w:eastAsia="Arial" w:hAnsi="Arial"/>
          <w:sz w:val="22"/>
          <w:szCs w:val="22"/>
        </w:rPr>
        <w:t xml:space="preserve">Implementar botón de arrepentimiento en la plataforma</w:t>
      </w:r>
    </w:p>
    <w:p>
      <w:pPr>
        <w:pStyle w:val="ListParagraph"/>
        <w:numPr>
          <w:ilvl w:val="0"/>
          <w:numId w:val="11"/>
        </w:numPr>
        <w:spacing w:after="120"/>
      </w:pPr>
      <w:r>
        <w:rPr>
          <w:rFonts w:ascii="Arial" w:cs="Arial" w:eastAsia="Arial" w:hAnsi="Arial"/>
          <w:sz w:val="22"/>
          <w:szCs w:val="22"/>
        </w:rPr>
        <w:t xml:space="preserve">Contrato de servicio para repartidores (revisado por abogado laboralista)</w:t>
      </w:r>
    </w:p>
    <w:p>
      <w:pPr>
        <w:pStyle w:val="Heading2"/>
        <w:spacing w:after="160" w:before="280"/>
      </w:pPr>
      <w:r>
        <w:rPr>
          <w:rFonts w:ascii="Arial" w:cs="Arial" w:eastAsia="Arial" w:hAnsi="Arial"/>
          <w:b/>
          <w:bCs/>
          <w:color w:val="1A1A1A"/>
          <w:sz w:val="26"/>
          <w:szCs w:val="26"/>
        </w:rPr>
        <w:t xml:space="preserve">Etapa 2: Primeros 30 días post-lanzamiento</w:t>
      </w:r>
    </w:p>
    <w:p>
      <w:pPr>
        <w:pStyle w:val="ListParagraph"/>
        <w:numPr>
          <w:ilvl w:val="0"/>
          <w:numId w:val="11"/>
        </w:numPr>
        <w:spacing w:after="80"/>
      </w:pPr>
      <w:r>
        <w:rPr>
          <w:rFonts w:ascii="Arial" w:cs="Arial" w:eastAsia="Arial" w:hAnsi="Arial"/>
          <w:sz w:val="22"/>
          <w:szCs w:val="22"/>
        </w:rPr>
        <w:t xml:space="preserve">Registrar base de datos ante la AAIP (Ley 25.326)</w:t>
      </w:r>
    </w:p>
    <w:p>
      <w:pPr>
        <w:pStyle w:val="ListParagraph"/>
        <w:numPr>
          <w:ilvl w:val="0"/>
          <w:numId w:val="11"/>
        </w:numPr>
        <w:spacing w:after="80"/>
      </w:pPr>
      <w:r>
        <w:rPr>
          <w:rFonts w:ascii="Arial" w:cs="Arial" w:eastAsia="Arial" w:hAnsi="Arial"/>
          <w:sz w:val="22"/>
          <w:szCs w:val="22"/>
        </w:rPr>
        <w:t xml:space="preserve">Abrir cuenta bancaria comercial de la SAS</w:t>
      </w:r>
    </w:p>
    <w:p>
      <w:pPr>
        <w:pStyle w:val="ListParagraph"/>
        <w:numPr>
          <w:ilvl w:val="0"/>
          <w:numId w:val="11"/>
        </w:numPr>
        <w:spacing w:after="80"/>
      </w:pPr>
      <w:r>
        <w:rPr>
          <w:rFonts w:ascii="Arial" w:cs="Arial" w:eastAsia="Arial" w:hAnsi="Arial"/>
          <w:sz w:val="22"/>
          <w:szCs w:val="22"/>
        </w:rPr>
        <w:t xml:space="preserve">Activar cuenta de MercadoPago a nombre de la SAS</w:t>
      </w:r>
    </w:p>
    <w:p>
      <w:pPr>
        <w:pStyle w:val="ListParagraph"/>
        <w:numPr>
          <w:ilvl w:val="0"/>
          <w:numId w:val="11"/>
        </w:numPr>
        <w:spacing w:after="80"/>
      </w:pPr>
      <w:r>
        <w:rPr>
          <w:rFonts w:ascii="Arial" w:cs="Arial" w:eastAsia="Arial" w:hAnsi="Arial"/>
          <w:sz w:val="22"/>
          <w:szCs w:val="22"/>
        </w:rPr>
        <w:t xml:space="preserve">Habilitación comercial municipal (si hay sede física)</w:t>
      </w:r>
    </w:p>
    <w:p>
      <w:pPr>
        <w:pStyle w:val="ListParagraph"/>
        <w:numPr>
          <w:ilvl w:val="0"/>
          <w:numId w:val="11"/>
        </w:numPr>
        <w:spacing w:after="80"/>
      </w:pPr>
      <w:r>
        <w:rPr>
          <w:rFonts w:ascii="Arial" w:cs="Arial" w:eastAsia="Arial" w:hAnsi="Arial"/>
          <w:sz w:val="22"/>
          <w:szCs w:val="22"/>
        </w:rPr>
        <w:t xml:space="preserve">Contratar seguro de responsabilidad civil</w:t>
      </w:r>
    </w:p>
    <w:p>
      <w:pPr>
        <w:pStyle w:val="ListParagraph"/>
        <w:numPr>
          <w:ilvl w:val="0"/>
          <w:numId w:val="11"/>
        </w:numPr>
        <w:spacing w:after="120"/>
      </w:pPr>
      <w:r>
        <w:rPr>
          <w:rFonts w:ascii="Arial" w:cs="Arial" w:eastAsia="Arial" w:hAnsi="Arial"/>
          <w:sz w:val="22"/>
          <w:szCs w:val="22"/>
        </w:rPr>
        <w:t xml:space="preserve">Registrar marca en clase 42 (software/plataforma)</w:t>
      </w:r>
    </w:p>
    <w:p>
      <w:pPr>
        <w:pStyle w:val="Heading2"/>
        <w:spacing w:after="160" w:before="280"/>
      </w:pPr>
      <w:r>
        <w:rPr>
          <w:rFonts w:ascii="Arial" w:cs="Arial" w:eastAsia="Arial" w:hAnsi="Arial"/>
          <w:b/>
          <w:bCs/>
          <w:color w:val="1A1A1A"/>
          <w:sz w:val="26"/>
          <w:szCs w:val="26"/>
        </w:rPr>
        <w:t xml:space="preserve">Etapa 3: Consolidación (3-6 meses)</w:t>
      </w:r>
    </w:p>
    <w:p>
      <w:pPr>
        <w:pStyle w:val="ListParagraph"/>
        <w:numPr>
          <w:ilvl w:val="0"/>
          <w:numId w:val="11"/>
        </w:numPr>
        <w:spacing w:after="80"/>
      </w:pPr>
      <w:r>
        <w:rPr>
          <w:rFonts w:ascii="Arial" w:cs="Arial" w:eastAsia="Arial" w:hAnsi="Arial"/>
          <w:sz w:val="22"/>
          <w:szCs w:val="22"/>
        </w:rPr>
        <w:t xml:space="preserve">Registrar marca en clase 9 (app descargable) cuando se lance app nativa</w:t>
      </w:r>
    </w:p>
    <w:p>
      <w:pPr>
        <w:pStyle w:val="ListParagraph"/>
        <w:numPr>
          <w:ilvl w:val="0"/>
          <w:numId w:val="11"/>
        </w:numPr>
        <w:spacing w:after="80"/>
      </w:pPr>
      <w:r>
        <w:rPr>
          <w:rFonts w:ascii="Arial" w:cs="Arial" w:eastAsia="Arial" w:hAnsi="Arial"/>
          <w:sz w:val="22"/>
          <w:szCs w:val="22"/>
        </w:rPr>
        <w:t xml:space="preserve">Evaluar seguro de cyber/protección de datos</w:t>
      </w:r>
    </w:p>
    <w:p>
      <w:pPr>
        <w:pStyle w:val="ListParagraph"/>
        <w:numPr>
          <w:ilvl w:val="0"/>
          <w:numId w:val="11"/>
        </w:numPr>
        <w:spacing w:after="80"/>
      </w:pPr>
      <w:r>
        <w:rPr>
          <w:rFonts w:ascii="Arial" w:cs="Arial" w:eastAsia="Arial" w:hAnsi="Arial"/>
          <w:sz w:val="22"/>
          <w:szCs w:val="22"/>
        </w:rPr>
        <w:t xml:space="preserve">Registrar marca mixta (logo + nombre) una vez definido el diseño final</w:t>
      </w:r>
    </w:p>
    <w:p>
      <w:pPr>
        <w:pStyle w:val="ListParagraph"/>
        <w:numPr>
          <w:ilvl w:val="0"/>
          <w:numId w:val="11"/>
        </w:numPr>
        <w:spacing w:after="80"/>
      </w:pPr>
      <w:r>
        <w:rPr>
          <w:rFonts w:ascii="Arial" w:cs="Arial" w:eastAsia="Arial" w:hAnsi="Arial"/>
          <w:sz w:val="22"/>
          <w:szCs w:val="22"/>
        </w:rPr>
        <w:t xml:space="preserve">Verificar cumplimiento del régimen de información a ARCA (RG 4838)</w:t>
      </w:r>
    </w:p>
    <w:p>
      <w:pPr>
        <w:pStyle w:val="ListParagraph"/>
        <w:numPr>
          <w:ilvl w:val="0"/>
          <w:numId w:val="11"/>
        </w:numPr>
        <w:spacing w:after="120"/>
      </w:pPr>
      <w:r>
        <w:rPr>
          <w:rFonts w:ascii="Arial" w:cs="Arial" w:eastAsia="Arial" w:hAnsi="Arial"/>
          <w:sz w:val="22"/>
          <w:szCs w:val="22"/>
        </w:rPr>
        <w:t xml:space="preserve">Reservar nombres en redes sociales y tiendas de apps</w:t>
      </w:r>
    </w:p>
    <w:p>
      <w:pPr>
        <w:spacing w:after="80"/>
      </w:pPr>
    </w:p>
    <w:p>
      <w:pPr>
        <w:pStyle w:val="Heading1"/>
        <w:spacing w:after="200" w:before="360"/>
      </w:pPr>
      <w:r>
        <w:rPr>
          <w:rFonts w:ascii="Arial" w:cs="Arial" w:eastAsia="Arial" w:hAnsi="Arial"/>
          <w:b/>
          <w:bCs/>
          <w:color w:val="E60012"/>
          <w:sz w:val="32"/>
          <w:szCs w:val="32"/>
        </w:rPr>
        <w:t xml:space="preserve">5. PROFESIONALES QUE NECESITÁS</w:t>
      </w:r>
    </w:p>
    <w:p>
      <w:pPr>
        <w:spacing w:after="120"/>
        <w:jc w:val="left"/>
      </w:pPr>
      <w:r>
        <w:rPr>
          <w:rFonts w:ascii="Arial" w:cs="Arial" w:eastAsia="Arial" w:hAnsi="Arial"/>
          <w:b w:val="false"/>
          <w:bCs w:val="false"/>
          <w:i w:val="false"/>
          <w:iCs w:val="false"/>
          <w:color w:val="1A1A1A"/>
          <w:sz w:val="22"/>
          <w:szCs w:val="22"/>
        </w:rPr>
        <w:t xml:space="preserve">Para ejecutar todo esto, vas a necesitar armar un equipo mínimo de profesionales. No intentes hacer todo solo; el costo de un error legal es mucho mayor que el honorario de un profesional.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E60012" w:val="clear"/>
            <w:tcMar>
              <w:top w:type="dxa" w:w="80"/>
              <w:left w:type="dxa" w:w="120"/>
              <w:bottom w:type="dxa" w:w="80"/>
              <w:right w:type="dxa" w:w="120"/>
            </w:tcMar>
          </w:tcPr>
          <w:p>
            <w:r>
              <w:rPr>
                <w:rFonts w:ascii="Arial" w:cs="Arial" w:eastAsia="Arial" w:hAnsi="Arial"/>
                <w:b/>
                <w:bCs/>
                <w:color w:val="FFFFFF"/>
                <w:sz w:val="20"/>
                <w:szCs w:val="20"/>
              </w:rPr>
              <w:t xml:space="preserve">Profesional</w:t>
            </w:r>
          </w:p>
        </w:tc>
        <w:tc>
          <w:tcPr>
            <w:tcW w:type="dxa" w:w="3280"/>
            <w:tcBorders>
              <w:top w:val="single" w:color="CCCCCC" w:sz="1"/>
              <w:left w:val="single" w:color="CCCCCC" w:sz="1"/>
              <w:bottom w:val="single" w:color="CCCCCC" w:sz="1"/>
              <w:right w:val="single" w:color="CCCCCC" w:sz="1"/>
            </w:tcBorders>
            <w:shd w:fill="E60012" w:val="clear"/>
            <w:tcMar>
              <w:top w:type="dxa" w:w="80"/>
              <w:left w:type="dxa" w:w="120"/>
              <w:bottom w:type="dxa" w:w="80"/>
              <w:right w:type="dxa" w:w="120"/>
            </w:tcMar>
          </w:tcPr>
          <w:p>
            <w:r>
              <w:rPr>
                <w:rFonts w:ascii="Arial" w:cs="Arial" w:eastAsia="Arial" w:hAnsi="Arial"/>
                <w:b/>
                <w:bCs/>
                <w:color w:val="FFFFFF"/>
                <w:sz w:val="20"/>
                <w:szCs w:val="20"/>
              </w:rPr>
              <w:t xml:space="preserve">Para qué lo necesitás</w:t>
            </w:r>
          </w:p>
        </w:tc>
        <w:tc>
          <w:tcPr>
            <w:tcW w:type="dxa" w:w="3280"/>
            <w:tcBorders>
              <w:top w:val="single" w:color="CCCCCC" w:sz="1"/>
              <w:left w:val="single" w:color="CCCCCC" w:sz="1"/>
              <w:bottom w:val="single" w:color="CCCCCC" w:sz="1"/>
              <w:right w:val="single" w:color="CCCCCC" w:sz="1"/>
            </w:tcBorders>
            <w:shd w:fill="E60012" w:val="clear"/>
            <w:tcMar>
              <w:top w:type="dxa" w:w="80"/>
              <w:left w:type="dxa" w:w="120"/>
              <w:bottom w:type="dxa" w:w="80"/>
              <w:right w:type="dxa" w:w="120"/>
            </w:tcMar>
          </w:tcPr>
          <w:p>
            <w:r>
              <w:rPr>
                <w:rFonts w:ascii="Arial" w:cs="Arial" w:eastAsia="Arial" w:hAnsi="Arial"/>
                <w:b/>
                <w:bCs/>
                <w:color w:val="FFFFFF"/>
                <w:sz w:val="20"/>
                <w:szCs w:val="20"/>
              </w:rPr>
              <w:t xml:space="preserve">Urgencia</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Abogado comercial (TDF)</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Constitución SAS, Términos y Condiciones, Política de Privacidad, contratos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ALTA — antes de lanzar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Agente de Prop. Industrial</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Registro de marca ante INPI, búsqueda de antecedentes, seguimiento de oposiciones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ALTA — iniciar cuanto antes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Contador Público (TDF)</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Inscripciones impositivas, beneficios Ley 19.640, facturación, IIBB, retenciones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ALTA — antes de lanzar</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Abogado laboralista</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Contrato de repartidores, análisis de riesgo laboral</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MEDIA — antes de sumar repartidores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Productor de seguros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RC, cyber, cobertura repartidores</w:t>
            </w:r>
          </w:p>
        </w:tc>
        <w:tc>
          <w:tcPr>
            <w:tcW w:type="dxa" w:w="32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20"/>
                <w:szCs w:val="20"/>
              </w:rPr>
              <w:t xml:space="preserve">MEDIA — primera semana operando</w:t>
            </w:r>
          </w:p>
        </w:tc>
      </w:tr>
    </w:tbl>
    <w:p>
      <w:pPr>
        <w:spacing w:after="80"/>
      </w:pPr>
    </w:p>
    <w:p>
      <w:pPr>
        <w:spacing w:after="80"/>
      </w:pPr>
    </w:p>
    <w:p>
      <w:pPr>
        <w:pBdr>
          <w:top w:val="single" w:color="E60012" w:sz="2" w:space="12"/>
          <w:bottom w:val="single" w:color="E60012" w:sz="2" w:space="12"/>
        </w:pBdr>
        <w:spacing w:after="200" w:before="200"/>
        <w:jc w:val="center"/>
      </w:pPr>
      <w:r>
        <w:rPr>
          <w:rFonts w:ascii="Arial" w:cs="Arial" w:eastAsia="Arial" w:hAnsi="Arial"/>
          <w:color w:val="1A1A1A"/>
          <w:sz w:val="22"/>
          <w:szCs w:val="22"/>
        </w:rPr>
        <w:t xml:space="preserve">Este documento es el punto de partida. Cada sección requiere validación profesional.
</w:t>
      </w:r>
      <w:r>
        <w:rPr>
          <w:rFonts w:ascii="Arial" w:cs="Arial" w:eastAsia="Arial" w:hAnsi="Arial"/>
          <w:b/>
          <w:bCs/>
          <w:color w:val="E60012"/>
          <w:sz w:val="22"/>
          <w:szCs w:val="22"/>
        </w:rPr>
        <w:t xml:space="preserve">Lo importante es EMPEZAR: la marca y la sociedad se tramitan en paralelo.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MOOVY — Guía Legal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E6001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2026-03-31T23:00:25.419Z</dcterms:created>
  <dcterms:modified xsi:type="dcterms:W3CDTF">2026-03-31T23:00:25.419Z</dcterms:modified>
</cp:coreProperties>
</file>

<file path=docProps/custom.xml><?xml version="1.0" encoding="utf-8"?>
<Properties xmlns="http://schemas.openxmlformats.org/officeDocument/2006/custom-properties" xmlns:vt="http://schemas.openxmlformats.org/officeDocument/2006/docPropsVTypes"/>
</file>