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jc w:val="center"/>
      </w:pPr>
      <w:r>
        <w:rPr>
          <w:rFonts w:ascii="Arial" w:cs="Arial" w:eastAsia="Arial" w:hAnsi="Arial"/>
          <w:b/>
          <w:bCs/>
          <w:color w:val="6C3FA0"/>
          <w:sz w:val="72"/>
          <w:szCs w:val="72"/>
        </w:rPr>
        <w:t xml:space="preserve">MOOVY</w:t>
      </w:r>
    </w:p>
    <w:p>
      <w:pPr>
        <w:spacing w:before="80"/>
        <w:jc w:val="center"/>
      </w:pPr>
      <w:r>
        <w:rPr>
          <w:rFonts w:ascii="Arial" w:cs="Arial" w:eastAsia="Arial" w:hAnsi="Arial"/>
          <w:color w:val="888888"/>
          <w:sz w:val="28"/>
          <w:szCs w:val="28"/>
        </w:rPr>
        <w:t xml:space="preserve">Delivery &amp; Marketplace</w:t>
      </w:r>
    </w:p>
    <w:p>
      <w:pPr>
        <w:spacing w:after="80"/>
      </w:pPr>
    </w:p>
    <w:p>
      <w:pPr>
        <w:spacing w:after="80"/>
      </w:pPr>
    </w:p>
    <w:p>
      <w:pPr>
        <w:pBdr>
          <w:bottom w:val="single" w:color="6C3FA0" w:sz="6" w:space="1"/>
        </w:pBdr>
        <w:jc w:val="center"/>
      </w:pPr>
    </w:p>
    <w:p>
      <w:pPr>
        <w:spacing w:after="80"/>
      </w:pPr>
    </w:p>
    <w:p>
      <w:pPr>
        <w:jc w:val="center"/>
      </w:pPr>
      <w:r>
        <w:rPr>
          <w:rFonts w:ascii="Arial" w:cs="Arial" w:eastAsia="Arial" w:hAnsi="Arial"/>
          <w:b/>
          <w:bCs/>
          <w:color w:val="2D2D3F"/>
          <w:sz w:val="44"/>
          <w:szCs w:val="44"/>
        </w:rPr>
        <w:t xml:space="preserve">AUDITORÍA FINANCIERA</w:t>
      </w:r>
    </w:p>
    <w:p>
      <w:pPr>
        <w:spacing w:before="60"/>
        <w:jc w:val="center"/>
      </w:pPr>
      <w:r>
        <w:rPr>
          <w:rFonts w:ascii="Arial" w:cs="Arial" w:eastAsia="Arial" w:hAnsi="Arial"/>
          <w:color w:val="666666"/>
          <w:sz w:val="24"/>
          <w:szCs w:val="24"/>
        </w:rPr>
        <w:t xml:space="preserve">Diagnóstico del Flujo de Dinero, Estrategia de Lanzamiento</w:t>
      </w:r>
    </w:p>
    <w:p>
      <w:pPr>
        <w:jc w:val="center"/>
      </w:pPr>
      <w:r>
        <w:rPr>
          <w:rFonts w:ascii="Arial" w:cs="Arial" w:eastAsia="Arial" w:hAnsi="Arial"/>
          <w:color w:val="666666"/>
          <w:sz w:val="24"/>
          <w:szCs w:val="24"/>
        </w:rPr>
        <w:t xml:space="preserve">y Plan de Acción para el Panel de Administración</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999999"/>
          <w:sz w:val="20"/>
          <w:szCs w:val="20"/>
        </w:rPr>
        <w:t xml:space="preserve">Documento confidencial</w:t>
      </w:r>
    </w:p>
    <w:p>
      <w:pPr>
        <w:spacing w:before="80"/>
        <w:jc w:val="center"/>
      </w:pPr>
      <w:r>
        <w:rPr>
          <w:rFonts w:ascii="Arial" w:cs="Arial" w:eastAsia="Arial" w:hAnsi="Arial"/>
          <w:color w:val="666666"/>
          <w:sz w:val="20"/>
          <w:szCs w:val="20"/>
        </w:rPr>
        <w:t xml:space="preserve">Preparado para: Mauro D. — CEO &amp; Founder</w:t>
      </w:r>
    </w:p>
    <w:p>
      <w:pPr>
        <w:spacing w:before="80"/>
        <w:jc w:val="center"/>
      </w:pPr>
      <w:r>
        <w:rPr>
          <w:rFonts w:ascii="Arial" w:cs="Arial" w:eastAsia="Arial" w:hAnsi="Arial"/>
          <w:color w:val="666666"/>
          <w:sz w:val="20"/>
          <w:szCs w:val="20"/>
        </w:rPr>
        <w:t xml:space="preserve">Fecha: 18 de Marzo de 2026</w:t>
      </w:r>
    </w:p>
    <w:p>
      <w:pPr>
        <w:spacing w:before="80"/>
        <w:jc w:val="center"/>
      </w:pPr>
      <w:r>
        <w:rPr>
          <w:rFonts w:ascii="Arial" w:cs="Arial" w:eastAsia="Arial" w:hAnsi="Arial"/>
          <w:color w:val="666666"/>
          <w:sz w:val="20"/>
          <w:szCs w:val="20"/>
        </w:rPr>
        <w:t xml:space="preserve">Versión: 1.0</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6C3FA0"/>
          <w:sz w:val="32"/>
          <w:szCs w:val="32"/>
        </w:rPr>
        <w:t xml:space="preserve">1. Resumen Ejecutivo</w:t>
      </w:r>
    </w:p>
    <w:p>
      <w:pPr>
        <w:spacing w:after="120"/>
      </w:pPr>
      <w:r>
        <w:rPr>
          <w:rFonts w:ascii="Arial" w:cs="Arial" w:eastAsia="Arial" w:hAnsi="Arial"/>
          <w:color w:val="2D2D3F"/>
          <w:sz w:val="20"/>
          <w:szCs w:val="20"/>
        </w:rPr>
        <w:t xml:space="preserve">Este documento presenta una auditoría completa del sistema financiero de MOOVY, analizando el código fuente, la arquitectura de pagos, las comisiones, y la infraestructura de cobros y liquidaciones. El objetivo es identificar exactamente dónde está la plataforma hoy, qué le falta para lanzar con seguridad financiera, y qué debe automatizarse en el panel de administración para gestionar el dinero sin fricción ni pérdidas.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74C3C" w:sz="3"/>
              <w:left w:val="none" w:sz="0"/>
              <w:bottom w:val="none" w:sz="0"/>
              <w:right w:val="none" w:sz="0"/>
            </w:tcBorders>
            <w:shd w:fill="F5F5F5" w:val="clear"/>
            <w:tcMar>
              <w:top w:type="dxa" w:w="120"/>
              <w:left w:type="dxa" w:w="140"/>
              <w:bottom w:type="dxa" w:w="120"/>
              <w:right w:type="dxa" w:w="140"/>
            </w:tcMar>
          </w:tcPr>
          <w:p>
            <w:pPr>
              <w:jc w:val="center"/>
            </w:pPr>
            <w:r>
              <w:rPr>
                <w:rFonts w:ascii="Arial" w:cs="Arial" w:eastAsia="Arial" w:hAnsi="Arial"/>
                <w:b/>
                <w:bCs/>
                <w:color w:val="E74C3C"/>
                <w:sz w:val="32"/>
                <w:szCs w:val="32"/>
              </w:rPr>
              <w:t xml:space="preserve">4</w:t>
            </w:r>
          </w:p>
          <w:p>
            <w:pPr>
              <w:spacing w:before="40"/>
              <w:jc w:val="center"/>
            </w:pPr>
            <w:r>
              <w:rPr>
                <w:rFonts w:ascii="Arial" w:cs="Arial" w:eastAsia="Arial" w:hAnsi="Arial"/>
                <w:color w:val="666666"/>
                <w:sz w:val="18"/>
                <w:szCs w:val="18"/>
              </w:rPr>
              <w:t xml:space="preserve">Bloqueantes Críticos</w:t>
            </w:r>
          </w:p>
        </w:tc>
        <w:tc>
          <w:tcPr>
            <w:tcW w:type="dxa" w:w="2340"/>
            <w:tcBorders>
              <w:top w:val="single" w:color="6C3FA0" w:sz="3"/>
              <w:left w:val="none" w:sz="0"/>
              <w:bottom w:val="none" w:sz="0"/>
              <w:right w:val="none" w:sz="0"/>
            </w:tcBorders>
            <w:shd w:fill="F5F5F5" w:val="clear"/>
            <w:tcMar>
              <w:top w:type="dxa" w:w="120"/>
              <w:left w:type="dxa" w:w="140"/>
              <w:bottom w:type="dxa" w:w="120"/>
              <w:right w:type="dxa" w:w="140"/>
            </w:tcMar>
          </w:tcPr>
          <w:p>
            <w:pPr>
              <w:jc w:val="center"/>
            </w:pPr>
            <w:r>
              <w:rPr>
                <w:rFonts w:ascii="Arial" w:cs="Arial" w:eastAsia="Arial" w:hAnsi="Arial"/>
                <w:b/>
                <w:bCs/>
                <w:color w:val="6C3FA0"/>
                <w:sz w:val="32"/>
                <w:szCs w:val="32"/>
              </w:rPr>
              <w:t xml:space="preserve">8%–10%</w:t>
            </w:r>
          </w:p>
          <w:p>
            <w:pPr>
              <w:spacing w:before="40"/>
              <w:jc w:val="center"/>
            </w:pPr>
            <w:r>
              <w:rPr>
                <w:rFonts w:ascii="Arial" w:cs="Arial" w:eastAsia="Arial" w:hAnsi="Arial"/>
                <w:color w:val="666666"/>
                <w:sz w:val="18"/>
                <w:szCs w:val="18"/>
              </w:rPr>
              <w:t xml:space="preserve">Comisiones Actuales</w:t>
            </w:r>
          </w:p>
        </w:tc>
        <w:tc>
          <w:tcPr>
            <w:tcW w:type="dxa" w:w="2340"/>
            <w:tcBorders>
              <w:top w:val="single" w:color="F39C12" w:sz="3"/>
              <w:left w:val="none" w:sz="0"/>
              <w:bottom w:val="none" w:sz="0"/>
              <w:right w:val="none" w:sz="0"/>
            </w:tcBorders>
            <w:shd w:fill="F5F5F5" w:val="clear"/>
            <w:tcMar>
              <w:top w:type="dxa" w:w="120"/>
              <w:left w:type="dxa" w:w="140"/>
              <w:bottom w:type="dxa" w:w="120"/>
              <w:right w:type="dxa" w:w="140"/>
            </w:tcMar>
          </w:tcPr>
          <w:p>
            <w:pPr>
              <w:jc w:val="center"/>
            </w:pPr>
            <w:r>
              <w:rPr>
                <w:rFonts w:ascii="Arial" w:cs="Arial" w:eastAsia="Arial" w:hAnsi="Arial"/>
                <w:b/>
                <w:bCs/>
                <w:color w:val="F39C12"/>
                <w:sz w:val="32"/>
                <w:szCs w:val="32"/>
              </w:rPr>
              <w:t xml:space="preserve">0</w:t>
            </w:r>
          </w:p>
          <w:p>
            <w:pPr>
              <w:spacing w:before="40"/>
              <w:jc w:val="center"/>
            </w:pPr>
            <w:r>
              <w:rPr>
                <w:rFonts w:ascii="Arial" w:cs="Arial" w:eastAsia="Arial" w:hAnsi="Arial"/>
                <w:color w:val="666666"/>
                <w:sz w:val="18"/>
                <w:szCs w:val="18"/>
              </w:rPr>
              <w:t xml:space="preserve">Pagos Automáticos</w:t>
            </w:r>
          </w:p>
        </w:tc>
        <w:tc>
          <w:tcPr>
            <w:tcW w:type="dxa" w:w="2340"/>
            <w:tcBorders>
              <w:top w:val="single" w:color="27AE60" w:sz="3"/>
              <w:left w:val="none" w:sz="0"/>
              <w:bottom w:val="none" w:sz="0"/>
              <w:right w:val="none" w:sz="0"/>
            </w:tcBorders>
            <w:shd w:fill="F5F5F5" w:val="clear"/>
            <w:tcMar>
              <w:top w:type="dxa" w:w="120"/>
              <w:left w:type="dxa" w:w="140"/>
              <w:bottom w:type="dxa" w:w="120"/>
              <w:right w:type="dxa" w:w="140"/>
            </w:tcMar>
          </w:tcPr>
          <w:p>
            <w:pPr>
              <w:jc w:val="center"/>
            </w:pPr>
            <w:r>
              <w:rPr>
                <w:rFonts w:ascii="Arial" w:cs="Arial" w:eastAsia="Arial" w:hAnsi="Arial"/>
                <w:b/>
                <w:bCs/>
                <w:color w:val="27AE60"/>
                <w:sz w:val="32"/>
                <w:szCs w:val="32"/>
              </w:rPr>
              <w:t xml:space="preserve">80%</w:t>
            </w:r>
          </w:p>
          <w:p>
            <w:pPr>
              <w:spacing w:before="40"/>
              <w:jc w:val="center"/>
            </w:pPr>
            <w:r>
              <w:rPr>
                <w:rFonts w:ascii="Arial" w:cs="Arial" w:eastAsia="Arial" w:hAnsi="Arial"/>
                <w:color w:val="666666"/>
                <w:sz w:val="18"/>
                <w:szCs w:val="18"/>
              </w:rPr>
              <w:t xml:space="preserve">Fee Driver (del envío)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74C3C" w:sz="12"/>
              <w:bottom w:val="none" w:sz="0"/>
              <w:right w:val="none" w:sz="0"/>
            </w:tcBorders>
            <w:shd w:fill="FFEBEE" w:val="clear"/>
            <w:tcMar>
              <w:top w:type="dxa" w:w="100"/>
              <w:left w:type="dxa" w:w="160"/>
              <w:bottom w:type="dxa" w:w="100"/>
              <w:right w:type="dxa" w:w="160"/>
            </w:tcMar>
          </w:tcPr>
          <w:p>
            <w:r>
              <w:rPr>
                <w:rFonts w:ascii="Arial" w:cs="Arial" w:eastAsia="Arial" w:hAnsi="Arial"/>
                <w:b/>
                <w:bCs/>
                <w:color w:val="E74C3C"/>
                <w:sz w:val="20"/>
                <w:szCs w:val="20"/>
              </w:rPr>
              <w:t xml:space="preserve">HALLAZGO CRÍTICO</w:t>
            </w:r>
          </w:p>
          <w:p>
            <w:pPr>
              <w:spacing w:before="60"/>
            </w:pPr>
            <w:r>
              <w:rPr>
                <w:rFonts w:ascii="Arial" w:cs="Arial" w:eastAsia="Arial" w:hAnsi="Arial"/>
                <w:color w:val="2D2D3F"/>
                <w:sz w:val="19"/>
                <w:szCs w:val="19"/>
              </w:rPr>
              <w:t xml:space="preserve">MOOVY calcula correctamente las comisiones y registra los pagos via MercadoPago, pero NO ejecuta ningún pago real a comercios, vendedores ni repartidores. El sistema solo marca flags manuales. Esto significa que antes de lanzar, se necesita construir toda la capa de liquidaciones.</w:t>
            </w:r>
          </w:p>
        </w:tc>
      </w:tr>
    </w:tbl>
    <w:p>
      <w:pPr>
        <w:spacing w:after="80"/>
      </w:pPr>
    </w:p>
    <w:p>
      <w:pPr>
        <w:pStyle w:val="Heading1"/>
        <w:spacing w:after="200" w:before="360"/>
      </w:pPr>
      <w:r>
        <w:rPr>
          <w:rFonts w:ascii="Arial" w:cs="Arial" w:eastAsia="Arial" w:hAnsi="Arial"/>
          <w:b/>
          <w:bCs/>
          <w:color w:val="6C3FA0"/>
          <w:sz w:val="32"/>
          <w:szCs w:val="32"/>
        </w:rPr>
        <w:t xml:space="preserve">2. Flujo de Dinero Actual — Cómo Funciona Hoy</w:t>
      </w:r>
    </w:p>
    <w:p>
      <w:pPr>
        <w:pStyle w:val="Heading2"/>
        <w:spacing w:after="160" w:before="280"/>
      </w:pPr>
      <w:r>
        <w:rPr>
          <w:rFonts w:ascii="Arial" w:cs="Arial" w:eastAsia="Arial" w:hAnsi="Arial"/>
          <w:b/>
          <w:bCs/>
          <w:color w:val="2D2D3F"/>
          <w:sz w:val="26"/>
          <w:szCs w:val="26"/>
        </w:rPr>
        <w:t xml:space="preserve">2.1 Ciclo de Vida de una Orden</w:t>
      </w:r>
    </w:p>
    <w:p>
      <w:pPr>
        <w:spacing w:after="120"/>
      </w:pPr>
      <w:r>
        <w:rPr>
          <w:rFonts w:ascii="Arial" w:cs="Arial" w:eastAsia="Arial" w:hAnsi="Arial"/>
          <w:color w:val="2D2D3F"/>
          <w:sz w:val="20"/>
          <w:szCs w:val="20"/>
        </w:rPr>
        <w:t xml:space="preserve">El flujo financiero de MOOVY se activa cuando el comprador crea una orden. El sistema calcula automáticamente las comisiones en el momento de la creación y las almacena estáticamente en la base de datos. Esto es correcto: si cambian las tasas, los pedidos históricos no se ven afectados.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sz="0"/>
              <w:left w:val="none" w:sz="0"/>
              <w:bottom w:val="none" w:sz="0"/>
              <w:right w:val="none" w:sz="0"/>
            </w:tcBorders>
            <w:shd w:fill="E8E0F0" w:val="clear"/>
            <w:tcMar>
              <w:top w:type="dxa" w:w="80"/>
              <w:left w:type="dxa" w:w="60"/>
              <w:bottom w:type="dxa" w:w="80"/>
              <w:right w:type="dxa" w:w="60"/>
            </w:tcMar>
          </w:tcPr>
          <w:p>
            <w:pPr>
              <w:jc w:val="center"/>
            </w:pPr>
            <w:r>
              <w:rPr>
                <w:rFonts w:ascii="Arial" w:cs="Arial" w:eastAsia="Arial" w:hAnsi="Arial"/>
                <w:b/>
                <w:bCs/>
                <w:color w:val="6C3FA0"/>
                <w:sz w:val="17"/>
                <w:szCs w:val="17"/>
              </w:rPr>
              <w:t xml:space="preserve">Comprador crea orden</w:t>
            </w:r>
          </w:p>
        </w:tc>
        <w:tc>
          <w:tcPr>
            <w:tcW w:type="dxa" w:w="1872"/>
            <w:tcBorders>
              <w:top w:val="none" w:sz="0"/>
              <w:left w:val="none" w:sz="0"/>
              <w:bottom w:val="none" w:sz="0"/>
              <w:right w:val="none" w:sz="0"/>
            </w:tcBorders>
            <w:shd w:fill="E0ECF5" w:val="clear"/>
            <w:tcMar>
              <w:top w:type="dxa" w:w="80"/>
              <w:left w:type="dxa" w:w="60"/>
              <w:bottom w:type="dxa" w:w="80"/>
              <w:right w:type="dxa" w:w="60"/>
            </w:tcMar>
          </w:tcPr>
          <w:p>
            <w:pPr>
              <w:jc w:val="center"/>
            </w:pPr>
            <w:r>
              <w:rPr>
                <w:rFonts w:ascii="Arial" w:cs="Arial" w:eastAsia="Arial" w:hAnsi="Arial"/>
                <w:b/>
                <w:bCs/>
                <w:color w:val="2E75B6"/>
                <w:sz w:val="17"/>
                <w:szCs w:val="17"/>
              </w:rPr>
              <w:t xml:space="preserve">Sistema calcula comisiones</w:t>
            </w:r>
          </w:p>
        </w:tc>
        <w:tc>
          <w:tcPr>
            <w:tcW w:type="dxa" w:w="1872"/>
            <w:tcBorders>
              <w:top w:val="none" w:sz="0"/>
              <w:left w:val="none" w:sz="0"/>
              <w:bottom w:val="none" w:sz="0"/>
              <w:right w:val="none" w:sz="0"/>
            </w:tcBorders>
            <w:shd w:fill="FFF3E0" w:val="clear"/>
            <w:tcMar>
              <w:top w:type="dxa" w:w="80"/>
              <w:left w:type="dxa" w:w="60"/>
              <w:bottom w:type="dxa" w:w="80"/>
              <w:right w:type="dxa" w:w="60"/>
            </w:tcMar>
          </w:tcPr>
          <w:p>
            <w:pPr>
              <w:jc w:val="center"/>
            </w:pPr>
            <w:r>
              <w:rPr>
                <w:rFonts w:ascii="Arial" w:cs="Arial" w:eastAsia="Arial" w:hAnsi="Arial"/>
                <w:b/>
                <w:bCs/>
                <w:color w:val="F39C12"/>
                <w:sz w:val="17"/>
                <w:szCs w:val="17"/>
              </w:rPr>
              <w:t xml:space="preserve">Pago (Cash o MP)</w:t>
            </w:r>
          </w:p>
        </w:tc>
        <w:tc>
          <w:tcPr>
            <w:tcW w:type="dxa" w:w="1872"/>
            <w:tcBorders>
              <w:top w:val="none" w:sz="0"/>
              <w:left w:val="none" w:sz="0"/>
              <w:bottom w:val="none" w:sz="0"/>
              <w:right w:val="none" w:sz="0"/>
            </w:tcBorders>
            <w:shd w:fill="E8F5E9" w:val="clear"/>
            <w:tcMar>
              <w:top w:type="dxa" w:w="80"/>
              <w:left w:type="dxa" w:w="60"/>
              <w:bottom w:type="dxa" w:w="80"/>
              <w:right w:type="dxa" w:w="60"/>
            </w:tcMar>
          </w:tcPr>
          <w:p>
            <w:pPr>
              <w:jc w:val="center"/>
            </w:pPr>
            <w:r>
              <w:rPr>
                <w:rFonts w:ascii="Arial" w:cs="Arial" w:eastAsia="Arial" w:hAnsi="Arial"/>
                <w:b/>
                <w:bCs/>
                <w:color w:val="27AE60"/>
                <w:sz w:val="17"/>
                <w:szCs w:val="17"/>
              </w:rPr>
              <w:t xml:space="preserve">Entrega completada</w:t>
            </w:r>
          </w:p>
        </w:tc>
        <w:tc>
          <w:tcPr>
            <w:tcW w:type="dxa" w:w="1872"/>
            <w:tcBorders>
              <w:top w:val="none" w:sz="0"/>
              <w:left w:val="none" w:sz="0"/>
              <w:bottom w:val="none" w:sz="0"/>
              <w:right w:val="none" w:sz="0"/>
            </w:tcBorders>
            <w:shd w:fill="FFEBEE" w:val="clear"/>
            <w:tcMar>
              <w:top w:type="dxa" w:w="80"/>
              <w:left w:type="dxa" w:w="60"/>
              <w:bottom w:type="dxa" w:w="80"/>
              <w:right w:type="dxa" w:w="60"/>
            </w:tcMar>
          </w:tcPr>
          <w:p>
            <w:pPr>
              <w:jc w:val="center"/>
            </w:pPr>
            <w:r>
              <w:rPr>
                <w:rFonts w:ascii="Arial" w:cs="Arial" w:eastAsia="Arial" w:hAnsi="Arial"/>
                <w:b/>
                <w:bCs/>
                <w:color w:val="E74C3C"/>
                <w:sz w:val="17"/>
                <w:szCs w:val="17"/>
              </w:rPr>
              <w:t xml:space="preserve">Liquidación (NO EXISTE)</w:t>
            </w:r>
          </w:p>
        </w:tc>
      </w:tr>
    </w:tbl>
    <w:p>
      <w:pPr>
        <w:spacing w:after="80"/>
      </w:pPr>
    </w:p>
    <w:p>
      <w:pPr>
        <w:pStyle w:val="Heading2"/>
        <w:spacing w:after="160" w:before="280"/>
      </w:pPr>
      <w:r>
        <w:rPr>
          <w:rFonts w:ascii="Arial" w:cs="Arial" w:eastAsia="Arial" w:hAnsi="Arial"/>
          <w:b/>
          <w:bCs/>
          <w:color w:val="2D2D3F"/>
          <w:sz w:val="26"/>
          <w:szCs w:val="26"/>
        </w:rPr>
        <w:t xml:space="preserve">2.2 Estructura de Comisiones</w:t>
      </w:r>
    </w:p>
    <w:p>
      <w:pPr>
        <w:spacing w:after="120"/>
      </w:pPr>
      <w:r>
        <w:rPr>
          <w:rFonts w:ascii="Arial" w:cs="Arial" w:eastAsia="Arial" w:hAnsi="Arial"/>
          <w:color w:val="2D2D3F"/>
          <w:sz w:val="20"/>
          <w:szCs w:val="20"/>
        </w:rPr>
        <w:t xml:space="preserve">Las comisiones se calculan como porcentaje del subtotal de la orden y se almacenan en campos dedicados de la base de datos. El sistema soporta tasas diferenciadas por tipo de actor: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Actor</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Tasa Default</w:t>
            </w:r>
          </w:p>
        </w:tc>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Fuente</w:t>
            </w:r>
          </w:p>
        </w:tc>
        <w:tc>
          <w:tcPr>
            <w:tcW w:type="dxa" w:w="312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Cómo se Aplica</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Comercio (Merchant)</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Merchant.commissionRate</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Se resta del subtotal al crear la orden. Comercio recibe: subtotal - comisión</w:t>
            </w:r>
          </w:p>
        </w:tc>
      </w:tr>
      <w:tr>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Vendedor Marketplace</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MoovyConfig (default_seller_commission_pct)</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Igual que comercio pero leido de config global. Cada vendedor crea un SubOrder</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Repartidor (Driver)</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80% del envío</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StoreSettings.riderCommissionPercent</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Recibe 80% del fee de delivery. MOOVY retiene el 20% restante</w:t>
            </w:r>
          </w:p>
        </w:tc>
      </w:tr>
      <w:tr>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MercadoPago</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~2.99% + fijo</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Fee de procesador de pago</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Se descuenta automáticamente del monto cobrado antes de llegar a MOOVY</w:t>
            </w:r>
          </w:p>
        </w:tc>
      </w:tr>
    </w:tbl>
    <w:p>
      <w:pPr>
        <w:spacing w:after="80"/>
      </w:pPr>
    </w:p>
    <w:p>
      <w:pPr>
        <w:pStyle w:val="Heading2"/>
        <w:spacing w:after="160" w:before="280"/>
      </w:pPr>
      <w:r>
        <w:rPr>
          <w:rFonts w:ascii="Arial" w:cs="Arial" w:eastAsia="Arial" w:hAnsi="Arial"/>
          <w:b/>
          <w:bCs/>
          <w:color w:val="2D2D3F"/>
          <w:sz w:val="26"/>
          <w:szCs w:val="26"/>
        </w:rPr>
        <w:t xml:space="preserve">2.3 Cálculo Real de Ganancias MOOVY por Orden</w:t>
      </w:r>
    </w:p>
    <w:p>
      <w:pPr>
        <w:spacing w:after="120"/>
      </w:pPr>
      <w:r>
        <w:rPr>
          <w:rFonts w:ascii="Arial" w:cs="Arial" w:eastAsia="Arial" w:hAnsi="Arial"/>
          <w:color w:val="2D2D3F"/>
          <w:sz w:val="20"/>
          <w:szCs w:val="20"/>
        </w:rPr>
        <w:t xml:space="preserve">Para una orden típica de $10,000 ARS con envío de $500 ARS pagada con MercadoPago, el desglose real sería: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Concepto</w:t>
            </w:r>
          </w:p>
        </w:tc>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Monto</w:t>
            </w:r>
          </w:p>
        </w:tc>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Destino</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Subtotal del pedido</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$10,000</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Base de cálculo</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Fee delivery</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2D2D3F"/>
                <w:sz w:val="19"/>
                <w:szCs w:val="19"/>
              </w:rPr>
              <w:t xml:space="preserve">$500</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Driver + MOOVY</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Total cobrado al comprador</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bCs/>
                <w:color w:val="2D2D3F"/>
                <w:sz w:val="19"/>
                <w:szCs w:val="19"/>
              </w:rPr>
              <w:t xml:space="preserve">$10,500</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Fee MercadoPago (~2.99%+IVA)</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-$314</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MercadoPago</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Pago al comercio (92% del subtotal)</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-$9,200</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Comercio</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 Pago al repartidor (80% delivery)</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E74C3C"/>
                <w:sz w:val="19"/>
                <w:szCs w:val="19"/>
              </w:rPr>
              <w:t xml:space="preserve">-$400</w:t>
            </w:r>
          </w:p>
        </w:tc>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Repartidor</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 GANANCIA NETA MOOVY</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right"/>
            </w:pPr>
            <w:r>
              <w:rPr>
                <w:rFonts w:ascii="Arial" w:cs="Arial" w:eastAsia="Arial" w:hAnsi="Arial"/>
                <w:b/>
                <w:bCs/>
                <w:color w:val="27AE60"/>
                <w:sz w:val="19"/>
                <w:szCs w:val="19"/>
              </w:rPr>
              <w:t xml:space="preserve">$586</w:t>
            </w:r>
          </w:p>
        </w:tc>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MOOVY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FF8E1" w:val="clear"/>
            <w:tcMar>
              <w:top w:type="dxa" w:w="100"/>
              <w:left w:type="dxa" w:w="160"/>
              <w:bottom w:type="dxa" w:w="100"/>
              <w:right w:type="dxa" w:w="160"/>
            </w:tcMar>
          </w:tcPr>
          <w:p>
            <w:r>
              <w:rPr>
                <w:rFonts w:ascii="Arial" w:cs="Arial" w:eastAsia="Arial" w:hAnsi="Arial"/>
                <w:b/>
                <w:bCs/>
                <w:color w:val="F39C12"/>
                <w:sz w:val="20"/>
                <w:szCs w:val="20"/>
              </w:rPr>
              <w:t xml:space="preserve">MARGEN REAL: ~5.6% sobre el total cobrado</w:t>
            </w:r>
          </w:p>
          <w:p>
            <w:pPr>
              <w:spacing w:before="60"/>
            </w:pPr>
            <w:r>
              <w:rPr>
                <w:rFonts w:ascii="Arial" w:cs="Arial" w:eastAsia="Arial" w:hAnsi="Arial"/>
                <w:color w:val="2D2D3F"/>
                <w:sz w:val="19"/>
                <w:szCs w:val="19"/>
              </w:rPr>
              <w:t xml:space="preserve">Con comisión del 8% al comercio, después de pagar al repartidor y a MercadoPago, MOOVY retiene aproximadamente $586 de cada $10,500 facturados. Para mejorar el margen se necesita: (1) subir comisiones gradualmente al 15-20%, (2) agregar servicios premium, (3) optimizar el fee de delivery.</w:t>
            </w:r>
          </w:p>
        </w:tc>
      </w:tr>
    </w:tbl>
    <w:p>
      <w:pPr>
        <w:spacing w:after="80"/>
      </w:pPr>
    </w:p>
    <w:p>
      <w:pPr>
        <w:pStyle w:val="Heading2"/>
        <w:spacing w:after="160" w:before="280"/>
      </w:pPr>
      <w:r>
        <w:rPr>
          <w:rFonts w:ascii="Arial" w:cs="Arial" w:eastAsia="Arial" w:hAnsi="Arial"/>
          <w:b/>
          <w:bCs/>
          <w:color w:val="2D2D3F"/>
          <w:sz w:val="26"/>
          <w:szCs w:val="26"/>
        </w:rPr>
        <w:t xml:space="preserve">2.4 Métodos de Pago</w:t>
      </w:r>
    </w:p>
    <w:p>
      <w:pPr>
        <w:spacing w:after="120"/>
      </w:pPr>
      <w:r>
        <w:rPr>
          <w:rFonts w:ascii="Arial" w:cs="Arial" w:eastAsia="Arial" w:hAnsi="Arial"/>
          <w:color w:val="2D2D3F"/>
          <w:sz w:val="20"/>
          <w:szCs w:val="20"/>
        </w:rPr>
        <w:t xml:space="preserve">El sistema soporta dos métodos de pago con flujos diferenciados: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Método</w:t>
            </w:r>
          </w:p>
        </w:tc>
        <w:tc>
          <w:tcPr>
            <w:tcW w:type="dxa" w:w="351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Flujo</w:t>
            </w:r>
          </w:p>
        </w:tc>
        <w:tc>
          <w:tcPr>
            <w:tcW w:type="dxa" w:w="351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Riesgo</w:t>
            </w:r>
          </w:p>
        </w:tc>
      </w:tr>
      <w:tr>
        <w:tc>
          <w:tcPr>
            <w:tcW w:type="dxa" w:w="23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Efectivo (Cash)</w:t>
            </w:r>
          </w:p>
        </w:tc>
        <w:tc>
          <w:tcPr>
            <w:tcW w:type="dxa" w:w="351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PENDING → CONFIRMED (manual por comercio). Repartidor cobra al entregar.</w:t>
            </w:r>
          </w:p>
        </w:tc>
        <w:tc>
          <w:tcPr>
            <w:tcW w:type="dxa" w:w="351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E74C3C"/>
                <w:sz w:val="19"/>
                <w:szCs w:val="19"/>
              </w:rPr>
              <w:t xml:space="preserve">MOOVY nunca toca el dinero. Debe cobrar comisión por separado (cuenta corriente o facturación).</w:t>
            </w:r>
          </w:p>
        </w:tc>
      </w:tr>
      <w:tr>
        <w:tc>
          <w:tcPr>
            <w:tcW w:type="dxa" w:w="2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MercadoPago</w:t>
            </w:r>
          </w:p>
        </w:tc>
        <w:tc>
          <w:tcPr>
            <w:tcW w:type="dxa" w:w="351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AWAITING_PAYMENT → Webhook PAID → CONFIRMED. Dinero entra a cuenta MOOVY en MP.</w:t>
            </w:r>
          </w:p>
        </w:tc>
        <w:tc>
          <w:tcPr>
            <w:tcW w:type="dxa" w:w="351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E74C3C"/>
                <w:sz w:val="19"/>
                <w:szCs w:val="19"/>
              </w:rPr>
              <w:t xml:space="preserve">MOOVY recibe todo y debe distribuir. Hoy NO hay distribución automática.</w:t>
            </w:r>
          </w:p>
        </w:tc>
      </w:tr>
    </w:tbl>
    <w:p>
      <w:pPr>
        <w:spacing w:after="80"/>
      </w:pPr>
    </w:p>
    <w:p>
      <w:pPr>
        <w:pStyle w:val="Heading1"/>
        <w:spacing w:after="200" w:before="360"/>
      </w:pPr>
      <w:r>
        <w:rPr>
          <w:rFonts w:ascii="Arial" w:cs="Arial" w:eastAsia="Arial" w:hAnsi="Arial"/>
          <w:b/>
          <w:bCs/>
          <w:color w:val="6C3FA0"/>
          <w:sz w:val="32"/>
          <w:szCs w:val="32"/>
        </w:rPr>
        <w:t xml:space="preserve">3. Estado de Cada Componente Financiero</w:t>
      </w:r>
    </w:p>
    <w:p>
      <w:pPr>
        <w:spacing w:after="120"/>
      </w:pPr>
      <w:r>
        <w:rPr>
          <w:rFonts w:ascii="Arial" w:cs="Arial" w:eastAsia="Arial" w:hAnsi="Arial"/>
          <w:color w:val="2D2D3F"/>
          <w:sz w:val="20"/>
          <w:szCs w:val="20"/>
        </w:rPr>
        <w:t xml:space="preserve">Evaluación detallada de cada funcionalidad financiera presente en el sistema: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c>
          <w:tcPr>
            <w:tcW w:type="dxa" w:w="2808"/>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Funcionalidad</w:t>
            </w:r>
          </w:p>
        </w:tc>
        <w:tc>
          <w:tcPr>
            <w:tcW w:type="dxa" w:w="140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Estado</w:t>
            </w:r>
          </w:p>
        </w:tc>
        <w:tc>
          <w:tcPr>
            <w:tcW w:type="dxa" w:w="5148"/>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Detalle</w:t>
            </w:r>
          </w:p>
        </w:tc>
      </w:tr>
      <w:tr>
        <w:tc>
          <w:tcPr>
            <w:tcW w:type="dxa" w:w="280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Cálculo de comisiones</w:t>
            </w:r>
          </w:p>
        </w:tc>
        <w:tc>
          <w:tcPr>
            <w:tcW w:type="dxa" w:w="1404"/>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Completo</w:t>
            </w:r>
          </w:p>
        </w:tc>
        <w:tc>
          <w:tcPr>
            <w:tcW w:type="dxa" w:w="51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Porcentaje configurable por comercio y global para sellers. Se almacena al crear orden.</w:t>
            </w:r>
          </w:p>
        </w:tc>
      </w:tr>
      <w:tr>
        <w:tc>
          <w:tcPr>
            <w:tcW w:type="dxa" w:w="280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Tracking de pagos MP</w:t>
            </w:r>
          </w:p>
        </w:tc>
        <w:tc>
          <w:tcPr>
            <w:tcW w:type="dxa" w:w="1404"/>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Completo</w:t>
            </w:r>
          </w:p>
        </w:tc>
        <w:tc>
          <w:tcPr>
            <w:tcW w:type="dxa" w:w="51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Webhook con HMAC, idempotencia, tabla Payment. Registra estado, monto, ID externo.</w:t>
            </w:r>
          </w:p>
        </w:tc>
      </w:tr>
      <w:tr>
        <w:tc>
          <w:tcPr>
            <w:tcW w:type="dxa" w:w="280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Dashboard revenue OPS</w:t>
            </w:r>
          </w:p>
        </w:tc>
        <w:tc>
          <w:tcPr>
            <w:tcW w:type="dxa" w:w="1404"/>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Completo</w:t>
            </w:r>
          </w:p>
        </w:tc>
        <w:tc>
          <w:tcPr>
            <w:tcW w:type="dxa" w:w="51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Agrega ventas, comisiones, fees por período. Export CSV. Filtros por fecha.</w:t>
            </w:r>
          </w:p>
        </w:tc>
      </w:tr>
      <w:tr>
        <w:tc>
          <w:tcPr>
            <w:tcW w:type="dxa" w:w="280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Ganancias comercio</w:t>
            </w:r>
          </w:p>
        </w:tc>
        <w:tc>
          <w:tcPr>
            <w:tcW w:type="dxa" w:w="1404"/>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Completo</w:t>
            </w:r>
          </w:p>
        </w:tc>
        <w:tc>
          <w:tcPr>
            <w:tcW w:type="dxa" w:w="51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API de earnings con comparación mensual, KPIs, últimas transacciones.</w:t>
            </w:r>
          </w:p>
        </w:tc>
      </w:tr>
      <w:tr>
        <w:tc>
          <w:tcPr>
            <w:tcW w:type="dxa" w:w="280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Ganancias repartidor</w:t>
            </w:r>
          </w:p>
        </w:tc>
        <w:tc>
          <w:tcPr>
            <w:tcW w:type="dxa" w:w="1404"/>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Completo</w:t>
            </w:r>
          </w:p>
        </w:tc>
        <w:tc>
          <w:tcPr>
            <w:tcW w:type="dxa" w:w="51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Cálculo automático basado en deliveryFee x riderCommissionPercent.</w:t>
            </w:r>
          </w:p>
        </w:tc>
      </w:tr>
      <w:tr>
        <w:tc>
          <w:tcPr>
            <w:tcW w:type="dxa" w:w="280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Multi-vendor (SubOrder)</w:t>
            </w:r>
          </w:p>
        </w:tc>
        <w:tc>
          <w:tcPr>
            <w:tcW w:type="dxa" w:w="140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Parcial</w:t>
            </w:r>
          </w:p>
        </w:tc>
        <w:tc>
          <w:tcPr>
            <w:tcW w:type="dxa" w:w="51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SubOrders se crean correctamente pero payoutStatus NUNCA se actualiza. mpTransferId siempre vacío.</w:t>
            </w:r>
          </w:p>
        </w:tc>
      </w:tr>
      <w:tr>
        <w:tc>
          <w:tcPr>
            <w:tcW w:type="dxa" w:w="280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Split Payment MP</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 Falta</w:t>
            </w:r>
          </w:p>
        </w:tc>
        <w:tc>
          <w:tcPr>
            <w:tcW w:type="dxa" w:w="51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OAuth implementado en código pero NO conectado a UI. Vendors no pueden vincular cuenta MP.</w:t>
            </w:r>
          </w:p>
        </w:tc>
      </w:tr>
      <w:tr>
        <w:tc>
          <w:tcPr>
            <w:tcW w:type="dxa" w:w="280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Liquidación a comercios</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 Falta</w:t>
            </w:r>
          </w:p>
        </w:tc>
        <w:tc>
          <w:tcPr>
            <w:tcW w:type="dxa" w:w="51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Solo existe flag manual commissionPaid. No hay transferencia real ni proceso automático.</w:t>
            </w:r>
          </w:p>
        </w:tc>
      </w:tr>
      <w:tr>
        <w:tc>
          <w:tcPr>
            <w:tcW w:type="dxa" w:w="280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Liquidación a vendedores</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 Falta</w:t>
            </w:r>
          </w:p>
        </w:tc>
        <w:tc>
          <w:tcPr>
            <w:tcW w:type="dxa" w:w="51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CBU/Alias almacenados en SellerProfile pero jamás utilizados para transferir.</w:t>
            </w:r>
          </w:p>
        </w:tc>
      </w:tr>
      <w:tr>
        <w:tc>
          <w:tcPr>
            <w:tcW w:type="dxa" w:w="280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Pago a repartidores</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 Falta</w:t>
            </w:r>
          </w:p>
        </w:tc>
        <w:tc>
          <w:tcPr>
            <w:tcW w:type="dxa" w:w="51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No se recopila info bancaria del repartidor. No hay sistema de retiro.</w:t>
            </w:r>
          </w:p>
        </w:tc>
      </w:tr>
      <w:tr>
        <w:tc>
          <w:tcPr>
            <w:tcW w:type="dxa" w:w="280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Reembolsos</w:t>
            </w:r>
          </w:p>
        </w:tc>
        <w:tc>
          <w:tcPr>
            <w:tcW w:type="dxa" w:w="140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Parcial</w:t>
            </w:r>
          </w:p>
        </w:tc>
        <w:tc>
          <w:tcPr>
            <w:tcW w:type="dxa" w:w="51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Admin marca REFUNDED + motivo, pero NO ejecuta devolución real en MP.</w:t>
            </w:r>
          </w:p>
        </w:tc>
      </w:tr>
      <w:tr>
        <w:tc>
          <w:tcPr>
            <w:tcW w:type="dxa" w:w="280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Facturación / IVA</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 Falta</w:t>
            </w:r>
          </w:p>
        </w:tc>
        <w:tc>
          <w:tcPr>
            <w:tcW w:type="dxa" w:w="51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No hay cálculo de IVA (21%), ni generación de facturas, ni integración AFIP.</w:t>
            </w:r>
          </w:p>
        </w:tc>
      </w:tr>
      <w:tr>
        <w:tc>
          <w:tcPr>
            <w:tcW w:type="dxa" w:w="280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Reconciliación</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 Falta</w:t>
            </w:r>
          </w:p>
        </w:tc>
        <w:tc>
          <w:tcPr>
            <w:tcW w:type="dxa" w:w="51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No se compara Order.total vs Payment.amount. Discrepancias pasan inadvertidas.</w:t>
            </w:r>
          </w:p>
        </w:tc>
      </w:tr>
      <w:tr>
        <w:tc>
          <w:tcPr>
            <w:tcW w:type="dxa" w:w="280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Auditoría financiera</w:t>
            </w:r>
          </w:p>
        </w:tc>
        <w:tc>
          <w:tcPr>
            <w:tcW w:type="dxa" w:w="140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Parcial</w:t>
            </w:r>
          </w:p>
        </w:tc>
        <w:tc>
          <w:tcPr>
            <w:tcW w:type="dxa" w:w="5148"/>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AuditLog existe pero se usa poco. Cambios de comisión NO se registran.</w:t>
            </w:r>
          </w:p>
        </w:tc>
      </w:tr>
      <w:tr>
        <w:tc>
          <w:tcPr>
            <w:tcW w:type="dxa" w:w="280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Detección de fraude</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 Falta</w:t>
            </w:r>
          </w:p>
        </w:tc>
        <w:tc>
          <w:tcPr>
            <w:tcW w:type="dxa" w:w="5148"/>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No hay monitoreo de órdenes duplicadas, velocidad anormal, chargebacks.</w:t>
            </w:r>
          </w:p>
        </w:tc>
      </w:tr>
    </w:tbl>
    <w:p>
      <w:pPr>
        <w:spacing w:after="80"/>
      </w:pPr>
    </w:p>
    <w:p>
      <w:pPr>
        <w:pStyle w:val="Heading1"/>
        <w:spacing w:after="200" w:before="360"/>
      </w:pPr>
      <w:r>
        <w:rPr>
          <w:rFonts w:ascii="Arial" w:cs="Arial" w:eastAsia="Arial" w:hAnsi="Arial"/>
          <w:b/>
          <w:bCs/>
          <w:color w:val="6C3FA0"/>
          <w:sz w:val="32"/>
          <w:szCs w:val="32"/>
        </w:rPr>
        <w:t xml:space="preserve">4. El Problema del Efectivo — El Mayor Riesgo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74C3C" w:sz="12"/>
              <w:bottom w:val="none" w:sz="0"/>
              <w:right w:val="none" w:sz="0"/>
            </w:tcBorders>
            <w:shd w:fill="FFEBEE" w:val="clear"/>
            <w:tcMar>
              <w:top w:type="dxa" w:w="100"/>
              <w:left w:type="dxa" w:w="160"/>
              <w:bottom w:type="dxa" w:w="100"/>
              <w:right w:type="dxa" w:w="160"/>
            </w:tcMar>
          </w:tcPr>
          <w:p>
            <w:r>
              <w:rPr>
                <w:rFonts w:ascii="Arial" w:cs="Arial" w:eastAsia="Arial" w:hAnsi="Arial"/>
                <w:b/>
                <w:bCs/>
                <w:color w:val="E74C3C"/>
                <w:sz w:val="20"/>
                <w:szCs w:val="20"/>
              </w:rPr>
              <w:t xml:space="preserve">RIESGO FINANCIERO #1: PEDIDOS EN EFECTIVO</w:t>
            </w:r>
          </w:p>
          <w:p>
            <w:pPr>
              <w:spacing w:before="60"/>
            </w:pPr>
            <w:r>
              <w:rPr>
                <w:rFonts w:ascii="Arial" w:cs="Arial" w:eastAsia="Arial" w:hAnsi="Arial"/>
                <w:color w:val="2D2D3F"/>
                <w:sz w:val="19"/>
                <w:szCs w:val="19"/>
              </w:rPr>
              <w:t xml:space="preserve">Cuando un comprador paga en efectivo, el dinero va directamente del comprador al repartidor y del repartidor al comercio. MOOVY NUNCA toca ese dinero. Esto significa que la comisión del 8% que MOOVY calcula es un número en la base de datos, pero no hay mecanismo para cobrarla. Cada pedido en efectivo donde MOOVY no cobra su comisión es una pérdida directa.</w:t>
            </w:r>
          </w:p>
        </w:tc>
      </w:tr>
    </w:tbl>
    <w:p>
      <w:pPr>
        <w:spacing w:after="80"/>
      </w:pPr>
    </w:p>
    <w:p>
      <w:pPr>
        <w:spacing w:after="120"/>
      </w:pPr>
      <w:r>
        <w:rPr>
          <w:rFonts w:ascii="Arial" w:cs="Arial" w:eastAsia="Arial" w:hAnsi="Arial"/>
          <w:color w:val="2D2D3F"/>
          <w:sz w:val="20"/>
          <w:szCs w:val="20"/>
        </w:rPr>
        <w:t xml:space="preserve">Soluciones aplicadas por otras plataformas en Latinoamérica para el problema del efectivo:</w:t>
      </w:r>
    </w:p>
    <w:p>
      <w:pPr>
        <w:spacing w:after="80"/>
      </w:pPr>
    </w:p>
    <w:p>
      <w:pPr>
        <w:pStyle w:val="ListParagraph"/>
        <w:numPr>
          <w:ilvl w:val="0"/>
          <w:numId w:val="2"/>
        </w:numPr>
        <w:spacing w:after="60"/>
      </w:pPr>
      <w:r>
        <w:rPr>
          <w:rFonts w:ascii="Arial" w:cs="Arial" w:eastAsia="Arial" w:hAnsi="Arial"/>
          <w:b/>
          <w:bCs/>
          <w:color w:val="2D2D3F"/>
          <w:sz w:val="20"/>
          <w:szCs w:val="20"/>
        </w:rPr>
        <w:t xml:space="preserve">Cuenta corriente: </w:t>
      </w:r>
      <w:r>
        <w:rPr>
          <w:rFonts w:ascii="Arial" w:cs="Arial" w:eastAsia="Arial" w:hAnsi="Arial"/>
          <w:color w:val="2D2D3F"/>
          <w:sz w:val="20"/>
          <w:szCs w:val="20"/>
        </w:rPr>
        <w:t xml:space="preserve">El comercio acumula deuda con MOOVY por las comisiones de pedidos en efectivo. Se liquida semanalmente por transferencia o se descuenta de los pagos MP.</w:t>
      </w:r>
    </w:p>
    <w:p>
      <w:pPr>
        <w:pStyle w:val="ListParagraph"/>
        <w:numPr>
          <w:ilvl w:val="0"/>
          <w:numId w:val="2"/>
        </w:numPr>
        <w:spacing w:after="60"/>
      </w:pPr>
      <w:r>
        <w:rPr>
          <w:rFonts w:ascii="Arial" w:cs="Arial" w:eastAsia="Arial" w:hAnsi="Arial"/>
          <w:b/>
          <w:bCs/>
          <w:color w:val="2D2D3F"/>
          <w:sz w:val="20"/>
          <w:szCs w:val="20"/>
        </w:rPr>
        <w:t xml:space="preserve">Facturación periódica: </w:t>
      </w:r>
      <w:r>
        <w:rPr>
          <w:rFonts w:ascii="Arial" w:cs="Arial" w:eastAsia="Arial" w:hAnsi="Arial"/>
          <w:color w:val="2D2D3F"/>
          <w:sz w:val="20"/>
          <w:szCs w:val="20"/>
        </w:rPr>
        <w:t xml:space="preserve">MOOVY emite factura semanal/mensual al comercio por comisiones adeudadas.</w:t>
      </w:r>
    </w:p>
    <w:p>
      <w:pPr>
        <w:pStyle w:val="ListParagraph"/>
        <w:numPr>
          <w:ilvl w:val="0"/>
          <w:numId w:val="2"/>
        </w:numPr>
        <w:spacing w:after="60"/>
      </w:pPr>
      <w:r>
        <w:rPr>
          <w:rFonts w:ascii="Arial" w:cs="Arial" w:eastAsia="Arial" w:hAnsi="Arial"/>
          <w:b/>
          <w:bCs/>
          <w:color w:val="2D2D3F"/>
          <w:sz w:val="20"/>
          <w:szCs w:val="20"/>
        </w:rPr>
        <w:t xml:space="preserve">Cobro por adelantado: </w:t>
      </w:r>
      <w:r>
        <w:rPr>
          <w:rFonts w:ascii="Arial" w:cs="Arial" w:eastAsia="Arial" w:hAnsi="Arial"/>
          <w:color w:val="2D2D3F"/>
          <w:sz w:val="20"/>
          <w:szCs w:val="20"/>
        </w:rPr>
        <w:t xml:space="preserve">El comercio deposita un fondo de garantía que se va consumiendo con cada pedido en efectivo.</w:t>
      </w:r>
    </w:p>
    <w:p>
      <w:pPr>
        <w:pStyle w:val="ListParagraph"/>
        <w:numPr>
          <w:ilvl w:val="0"/>
          <w:numId w:val="2"/>
        </w:numPr>
        <w:spacing w:after="60"/>
      </w:pPr>
      <w:r>
        <w:rPr>
          <w:rFonts w:ascii="Arial" w:cs="Arial" w:eastAsia="Arial" w:hAnsi="Arial"/>
          <w:b/>
          <w:bCs/>
          <w:color w:val="2D2D3F"/>
          <w:sz w:val="20"/>
          <w:szCs w:val="20"/>
        </w:rPr>
        <w:t xml:space="preserve">Desincentivar efectivo: </w:t>
      </w:r>
      <w:r>
        <w:rPr>
          <w:rFonts w:ascii="Arial" w:cs="Arial" w:eastAsia="Arial" w:hAnsi="Arial"/>
          <w:color w:val="2D2D3F"/>
          <w:sz w:val="20"/>
          <w:szCs w:val="20"/>
        </w:rPr>
        <w:t xml:space="preserve">Menor comisión para pedidos con MP, mayor para efectivo (ej: 8% MP vs 12% cash).</w:t>
      </w:r>
    </w:p>
    <w:p>
      <w:pPr>
        <w:spacing w:after="80"/>
      </w:pPr>
    </w:p>
    <w:p>
      <w:pPr>
        <w:pStyle w:val="Heading1"/>
        <w:spacing w:after="200" w:before="360"/>
      </w:pPr>
      <w:r>
        <w:rPr>
          <w:rFonts w:ascii="Arial" w:cs="Arial" w:eastAsia="Arial" w:hAnsi="Arial"/>
          <w:b/>
          <w:bCs/>
          <w:color w:val="6C3FA0"/>
          <w:sz w:val="32"/>
          <w:szCs w:val="32"/>
        </w:rPr>
        <w:t xml:space="preserve">5. Estrategia Financiera para el Lanzamiento</w:t>
      </w:r>
    </w:p>
    <w:p>
      <w:pPr>
        <w:pStyle w:val="Heading2"/>
        <w:spacing w:after="160" w:before="280"/>
      </w:pPr>
      <w:r>
        <w:rPr>
          <w:rFonts w:ascii="Arial" w:cs="Arial" w:eastAsia="Arial" w:hAnsi="Arial"/>
          <w:b/>
          <w:bCs/>
          <w:color w:val="2D2D3F"/>
          <w:sz w:val="26"/>
          <w:szCs w:val="26"/>
        </w:rPr>
        <w:t xml:space="preserve">5.1 Estructura de Comisiones Recomendada</w:t>
      </w:r>
    </w:p>
    <w:p>
      <w:pPr>
        <w:spacing w:after="120"/>
      </w:pPr>
      <w:r>
        <w:rPr>
          <w:rFonts w:ascii="Arial" w:cs="Arial" w:eastAsia="Arial" w:hAnsi="Arial"/>
          <w:color w:val="2D2D3F"/>
          <w:sz w:val="20"/>
          <w:szCs w:val="20"/>
        </w:rPr>
        <w:t xml:space="preserve">Basado en benchmarks de Rappi, PedidosYa y Uber Eats en Argentina, las comisiones actuales del 8% son extremadamente bajas. Sin embargo, para un lanzamiento en Ushuaia es estratégico empezar competitivo e ir subiendo. Propuesta de estructura escalonada: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Fase</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Comercio</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Seller</w:t>
            </w:r>
          </w:p>
        </w:tc>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Driver</w:t>
            </w:r>
          </w:p>
        </w:tc>
        <w:tc>
          <w:tcPr>
            <w:tcW w:type="dxa" w:w="312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Estrategia</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Lanzamiento (0-3 meses)</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85% envío</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Atraer comercios y repartidores con tasas bajas. Subsidiar crecimiento.</w:t>
            </w:r>
          </w:p>
        </w:tc>
      </w:tr>
      <w:tr>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Crecimiento (3-6 meses)</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18%</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15%</w:t>
            </w:r>
          </w:p>
        </w:tc>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80% envío</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Subir tasas gradualmente. Introducir tiers y beneficios premium.</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Estabilidad (6-12 meses)</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22-25%</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18%</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75% envío</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2D3F"/>
                <w:sz w:val="19"/>
                <w:szCs w:val="19"/>
              </w:rPr>
              <w:t xml:space="preserve">Tasas alineadas al mercado. Revenue estable. Servicios premium activos.</w:t>
            </w:r>
          </w:p>
        </w:tc>
      </w:tr>
    </w:tbl>
    <w:p>
      <w:pPr>
        <w:spacing w:after="80"/>
      </w:pPr>
    </w:p>
    <w:p>
      <w:pPr>
        <w:pStyle w:val="Heading2"/>
        <w:spacing w:after="160" w:before="280"/>
      </w:pPr>
      <w:r>
        <w:rPr>
          <w:rFonts w:ascii="Arial" w:cs="Arial" w:eastAsia="Arial" w:hAnsi="Arial"/>
          <w:b/>
          <w:bCs/>
          <w:color w:val="2D2D3F"/>
          <w:sz w:val="26"/>
          <w:szCs w:val="26"/>
        </w:rPr>
        <w:t xml:space="preserve">5.2 Revenue Streams Adicionales</w:t>
      </w:r>
    </w:p>
    <w:p>
      <w:pPr>
        <w:spacing w:after="120"/>
      </w:pPr>
      <w:r>
        <w:rPr>
          <w:rFonts w:ascii="Arial" w:cs="Arial" w:eastAsia="Arial" w:hAnsi="Arial"/>
          <w:color w:val="2D2D3F"/>
          <w:sz w:val="20"/>
          <w:szCs w:val="20"/>
        </w:rPr>
        <w:t xml:space="preserve">Para no depender solo de comisiones y mejorar el unit economics, MOOVY debe implementar fuentes de ingreso adicionales:</w:t>
      </w:r>
    </w:p>
    <w:p>
      <w:pPr>
        <w:spacing w:after="80"/>
      </w:pPr>
    </w:p>
    <w:p>
      <w:pPr>
        <w:pStyle w:val="ListParagraph"/>
        <w:numPr>
          <w:ilvl w:val="0"/>
          <w:numId w:val="3"/>
        </w:numPr>
        <w:spacing w:after="80"/>
      </w:pPr>
      <w:r>
        <w:rPr>
          <w:rFonts w:ascii="Arial" w:cs="Arial" w:eastAsia="Arial" w:hAnsi="Arial"/>
          <w:color w:val="2D2D3F"/>
          <w:sz w:val="20"/>
          <w:szCs w:val="20"/>
        </w:rPr>
        <w:t xml:space="preserve">Posicionamiento destacado: Comercios pagan por aparecer primero en la home ($X/semana).</w:t>
      </w:r>
    </w:p>
    <w:p>
      <w:pPr>
        <w:pStyle w:val="ListParagraph"/>
        <w:numPr>
          <w:ilvl w:val="0"/>
          <w:numId w:val="3"/>
        </w:numPr>
        <w:spacing w:after="80"/>
      </w:pPr>
      <w:r>
        <w:rPr>
          <w:rFonts w:ascii="Arial" w:cs="Arial" w:eastAsia="Arial" w:hAnsi="Arial"/>
          <w:color w:val="2D2D3F"/>
          <w:sz w:val="20"/>
          <w:szCs w:val="20"/>
        </w:rPr>
        <w:t xml:space="preserve">Publicidad in-app: Banners patrocinados en la tienda y marketplace.</w:t>
      </w:r>
    </w:p>
    <w:p>
      <w:pPr>
        <w:pStyle w:val="ListParagraph"/>
        <w:numPr>
          <w:ilvl w:val="0"/>
          <w:numId w:val="3"/>
        </w:numPr>
        <w:spacing w:after="80"/>
      </w:pPr>
      <w:r>
        <w:rPr>
          <w:rFonts w:ascii="Arial" w:cs="Arial" w:eastAsia="Arial" w:hAnsi="Arial"/>
          <w:color w:val="2D2D3F"/>
          <w:sz w:val="20"/>
          <w:szCs w:val="20"/>
        </w:rPr>
        <w:t xml:space="preserve">Pago acelerado: Vendedores que quieran cobrar al instante en vez de esperar al ciclo semanal pagan un fee (ej: 2%).</w:t>
      </w:r>
    </w:p>
    <w:p>
      <w:pPr>
        <w:pStyle w:val="ListParagraph"/>
        <w:numPr>
          <w:ilvl w:val="0"/>
          <w:numId w:val="3"/>
        </w:numPr>
        <w:spacing w:after="80"/>
      </w:pPr>
      <w:r>
        <w:rPr>
          <w:rFonts w:ascii="Arial" w:cs="Arial" w:eastAsia="Arial" w:hAnsi="Arial"/>
          <w:color w:val="2D2D3F"/>
          <w:sz w:val="20"/>
          <w:szCs w:val="20"/>
        </w:rPr>
        <w:t xml:space="preserve">Suscripción MOOVY+: Compradores pagan $X/mes para envio gratis y descuentos exclusivos.</w:t>
      </w:r>
    </w:p>
    <w:p>
      <w:pPr>
        <w:pStyle w:val="ListParagraph"/>
        <w:numPr>
          <w:ilvl w:val="0"/>
          <w:numId w:val="3"/>
        </w:numPr>
        <w:spacing w:after="80"/>
      </w:pPr>
      <w:r>
        <w:rPr>
          <w:rFonts w:ascii="Arial" w:cs="Arial" w:eastAsia="Arial" w:hAnsi="Arial"/>
          <w:color w:val="2D2D3F"/>
          <w:sz w:val="20"/>
          <w:szCs w:val="20"/>
        </w:rPr>
        <w:t xml:space="preserve">Datos y analytics premium: Dashboard avanzado para comercios grandes (tracción, demografía, horarios pico).</w:t>
      </w:r>
    </w:p>
    <w:p>
      <w:pPr>
        <w:spacing w:after="80"/>
      </w:pPr>
    </w:p>
    <w:p>
      <w:pPr>
        <w:pStyle w:val="Heading2"/>
        <w:spacing w:after="160" w:before="280"/>
      </w:pPr>
      <w:r>
        <w:rPr>
          <w:rFonts w:ascii="Arial" w:cs="Arial" w:eastAsia="Arial" w:hAnsi="Arial"/>
          <w:b/>
          <w:bCs/>
          <w:color w:val="2D2D3F"/>
          <w:sz w:val="26"/>
          <w:szCs w:val="26"/>
        </w:rPr>
        <w:t xml:space="preserve">5.3 Política de Precios del Delivery</w:t>
      </w:r>
    </w:p>
    <w:p>
      <w:pPr>
        <w:spacing w:after="120"/>
      </w:pPr>
      <w:r>
        <w:rPr>
          <w:rFonts w:ascii="Arial" w:cs="Arial" w:eastAsia="Arial" w:hAnsi="Arial"/>
          <w:color w:val="2D2D3F"/>
          <w:sz w:val="20"/>
          <w:szCs w:val="20"/>
        </w:rPr>
        <w:t xml:space="preserve">El fee de envío es una fuente crítica de ingresos. La estructura actual usa un baseDeliveryFee configurable. Para el lanzamiento se recomienda:</w:t>
      </w:r>
    </w:p>
    <w:p>
      <w:pPr>
        <w:spacing w:after="80"/>
      </w:pPr>
    </w:p>
    <w:p>
      <w:pPr>
        <w:pStyle w:val="ListParagraph"/>
        <w:numPr>
          <w:ilvl w:val="0"/>
          <w:numId w:val="2"/>
        </w:numPr>
        <w:spacing w:after="60"/>
      </w:pPr>
      <w:r>
        <w:rPr>
          <w:rFonts w:ascii="Arial" w:cs="Arial" w:eastAsia="Arial" w:hAnsi="Arial"/>
          <w:b/>
          <w:bCs/>
          <w:color w:val="2D2D3F"/>
          <w:sz w:val="20"/>
          <w:szCs w:val="20"/>
        </w:rPr>
        <w:t xml:space="preserve">Base fija: </w:t>
      </w:r>
      <w:r>
        <w:rPr>
          <w:rFonts w:ascii="Arial" w:cs="Arial" w:eastAsia="Arial" w:hAnsi="Arial"/>
          <w:color w:val="2D2D3F"/>
          <w:sz w:val="20"/>
          <w:szCs w:val="20"/>
        </w:rPr>
        <w:t xml:space="preserve">$800 ARS (zona céntrica de Ushuaia, hasta 3km).</w:t>
      </w:r>
    </w:p>
    <w:p>
      <w:pPr>
        <w:pStyle w:val="ListParagraph"/>
        <w:numPr>
          <w:ilvl w:val="0"/>
          <w:numId w:val="2"/>
        </w:numPr>
        <w:spacing w:after="60"/>
      </w:pPr>
      <w:r>
        <w:rPr>
          <w:rFonts w:ascii="Arial" w:cs="Arial" w:eastAsia="Arial" w:hAnsi="Arial"/>
          <w:b/>
          <w:bCs/>
          <w:color w:val="2D2D3F"/>
          <w:sz w:val="20"/>
          <w:szCs w:val="20"/>
        </w:rPr>
        <w:t xml:space="preserve">Incremental por distancia: </w:t>
      </w:r>
      <w:r>
        <w:rPr>
          <w:rFonts w:ascii="Arial" w:cs="Arial" w:eastAsia="Arial" w:hAnsi="Arial"/>
          <w:color w:val="2D2D3F"/>
          <w:sz w:val="20"/>
          <w:szCs w:val="20"/>
        </w:rPr>
        <w:t xml:space="preserve">+$150 por km adicional después de 3km.</w:t>
      </w:r>
    </w:p>
    <w:p>
      <w:pPr>
        <w:pStyle w:val="ListParagraph"/>
        <w:numPr>
          <w:ilvl w:val="0"/>
          <w:numId w:val="2"/>
        </w:numPr>
        <w:spacing w:after="60"/>
      </w:pPr>
      <w:r>
        <w:rPr>
          <w:rFonts w:ascii="Arial" w:cs="Arial" w:eastAsia="Arial" w:hAnsi="Arial"/>
          <w:b/>
          <w:bCs/>
          <w:color w:val="2D2D3F"/>
          <w:sz w:val="20"/>
          <w:szCs w:val="20"/>
        </w:rPr>
        <w:t xml:space="preserve">Surge pricing: </w:t>
      </w:r>
      <w:r>
        <w:rPr>
          <w:rFonts w:ascii="Arial" w:cs="Arial" w:eastAsia="Arial" w:hAnsi="Arial"/>
          <w:color w:val="2D2D3F"/>
          <w:sz w:val="20"/>
          <w:szCs w:val="20"/>
        </w:rPr>
        <w:t xml:space="preserve">Multiplicador 1.3x-1.8x en horarios pico (12-14h, 20-22h) y días de lluvia/nieve.</w:t>
      </w:r>
    </w:p>
    <w:p>
      <w:pPr>
        <w:pStyle w:val="ListParagraph"/>
        <w:numPr>
          <w:ilvl w:val="0"/>
          <w:numId w:val="2"/>
        </w:numPr>
        <w:spacing w:after="60"/>
      </w:pPr>
      <w:r>
        <w:rPr>
          <w:rFonts w:ascii="Arial" w:cs="Arial" w:eastAsia="Arial" w:hAnsi="Arial"/>
          <w:b/>
          <w:bCs/>
          <w:color w:val="2D2D3F"/>
          <w:sz w:val="20"/>
          <w:szCs w:val="20"/>
        </w:rPr>
        <w:t xml:space="preserve">Envío gratis condicional: </w:t>
      </w:r>
      <w:r>
        <w:rPr>
          <w:rFonts w:ascii="Arial" w:cs="Arial" w:eastAsia="Arial" w:hAnsi="Arial"/>
          <w:color w:val="2D2D3F"/>
          <w:sz w:val="20"/>
          <w:szCs w:val="20"/>
        </w:rPr>
        <w:t xml:space="preserve">Gratis en pedidos mayores a $15,000 (absorbe MOOVY, no el comercio).</w:t>
      </w:r>
    </w:p>
    <w:p>
      <w:pPr>
        <w:spacing w:after="80"/>
      </w:pPr>
    </w:p>
    <w:p>
      <w:pPr>
        <w:pStyle w:val="Heading1"/>
        <w:spacing w:after="200" w:before="360"/>
      </w:pPr>
      <w:r>
        <w:rPr>
          <w:rFonts w:ascii="Arial" w:cs="Arial" w:eastAsia="Arial" w:hAnsi="Arial"/>
          <w:b/>
          <w:bCs/>
          <w:color w:val="6C3FA0"/>
          <w:sz w:val="32"/>
          <w:szCs w:val="32"/>
        </w:rPr>
        <w:t xml:space="preserve">6. Lo Que Falta en el Panel de Administración (OPS)</w:t>
      </w:r>
    </w:p>
    <w:p>
      <w:pPr>
        <w:spacing w:after="120"/>
      </w:pPr>
      <w:r>
        <w:rPr>
          <w:rFonts w:ascii="Arial" w:cs="Arial" w:eastAsia="Arial" w:hAnsi="Arial"/>
          <w:color w:val="2D2D3F"/>
          <w:sz w:val="20"/>
          <w:szCs w:val="20"/>
        </w:rPr>
        <w:t xml:space="preserve">El panel OPS actual cubre lo básico de operaciones pero carece de herramientas financieras críticas. A continuación se detalla cada módulo que debe agregarse:</w:t>
      </w:r>
    </w:p>
    <w:p>
      <w:pPr>
        <w:spacing w:after="80"/>
      </w:pPr>
    </w:p>
    <w:p>
      <w:pPr>
        <w:pStyle w:val="Heading2"/>
        <w:spacing w:after="160" w:before="280"/>
      </w:pPr>
      <w:r>
        <w:rPr>
          <w:rFonts w:ascii="Arial" w:cs="Arial" w:eastAsia="Arial" w:hAnsi="Arial"/>
          <w:b/>
          <w:bCs/>
          <w:color w:val="2D2D3F"/>
          <w:sz w:val="26"/>
          <w:szCs w:val="26"/>
        </w:rPr>
        <w:t xml:space="preserve">6.1 Módulo de Liquidaciones (PRIORIDAD MÁXIMA)</w:t>
      </w:r>
    </w:p>
    <w:p>
      <w:pPr>
        <w:spacing w:after="120"/>
      </w:pPr>
      <w:r>
        <w:rPr>
          <w:rFonts w:ascii="Arial" w:cs="Arial" w:eastAsia="Arial" w:hAnsi="Arial"/>
          <w:color w:val="2D2D3F"/>
          <w:sz w:val="20"/>
          <w:szCs w:val="20"/>
        </w:rPr>
        <w:t xml:space="preserve">Este es el módulo más crítico que falta. Debe gestionar el pago real a comercios, vendedores y repartidores.</w:t>
      </w:r>
    </w:p>
    <w:p>
      <w:pPr>
        <w:spacing w:after="80"/>
      </w:pPr>
    </w:p>
    <w:p>
      <w:pPr>
        <w:pStyle w:val="ListParagraph"/>
        <w:numPr>
          <w:ilvl w:val="0"/>
          <w:numId w:val="2"/>
        </w:numPr>
        <w:spacing w:after="60"/>
      </w:pPr>
      <w:r>
        <w:rPr>
          <w:rFonts w:ascii="Arial" w:cs="Arial" w:eastAsia="Arial" w:hAnsi="Arial"/>
          <w:b/>
          <w:bCs/>
          <w:color w:val="2D2D3F"/>
          <w:sz w:val="20"/>
          <w:szCs w:val="20"/>
        </w:rPr>
        <w:t xml:space="preserve">Ciclos de liquidación: </w:t>
      </w:r>
      <w:r>
        <w:rPr>
          <w:rFonts w:ascii="Arial" w:cs="Arial" w:eastAsia="Arial" w:hAnsi="Arial"/>
          <w:color w:val="2D2D3F"/>
          <w:sz w:val="20"/>
          <w:szCs w:val="20"/>
        </w:rPr>
        <w:t xml:space="preserve">Configurar frecuencia por actor (semanal para comercios, quincenal para sellers, semanal para drivers).</w:t>
      </w:r>
    </w:p>
    <w:p>
      <w:pPr>
        <w:pStyle w:val="ListParagraph"/>
        <w:numPr>
          <w:ilvl w:val="0"/>
          <w:numId w:val="2"/>
        </w:numPr>
        <w:spacing w:after="60"/>
      </w:pPr>
      <w:r>
        <w:rPr>
          <w:rFonts w:ascii="Arial" w:cs="Arial" w:eastAsia="Arial" w:hAnsi="Arial"/>
          <w:b/>
          <w:bCs/>
          <w:color w:val="2D2D3F"/>
          <w:sz w:val="20"/>
          <w:szCs w:val="20"/>
        </w:rPr>
        <w:t xml:space="preserve">Generador de liquidaciones: </w:t>
      </w:r>
      <w:r>
        <w:rPr>
          <w:rFonts w:ascii="Arial" w:cs="Arial" w:eastAsia="Arial" w:hAnsi="Arial"/>
          <w:color w:val="2D2D3F"/>
          <w:sz w:val="20"/>
          <w:szCs w:val="20"/>
        </w:rPr>
        <w:t xml:space="preserve">Cron automático que agrupa pedidos DELIVERED del período, calcula montos netos, genera lote de pago.</w:t>
      </w:r>
    </w:p>
    <w:p>
      <w:pPr>
        <w:pStyle w:val="ListParagraph"/>
        <w:numPr>
          <w:ilvl w:val="0"/>
          <w:numId w:val="2"/>
        </w:numPr>
        <w:spacing w:after="60"/>
      </w:pPr>
      <w:r>
        <w:rPr>
          <w:rFonts w:ascii="Arial" w:cs="Arial" w:eastAsia="Arial" w:hAnsi="Arial"/>
          <w:b/>
          <w:bCs/>
          <w:color w:val="2D2D3F"/>
          <w:sz w:val="20"/>
          <w:szCs w:val="20"/>
        </w:rPr>
        <w:t xml:space="preserve">Aprobación de lotes: </w:t>
      </w:r>
      <w:r>
        <w:rPr>
          <w:rFonts w:ascii="Arial" w:cs="Arial" w:eastAsia="Arial" w:hAnsi="Arial"/>
          <w:color w:val="2D2D3F"/>
          <w:sz w:val="20"/>
          <w:szCs w:val="20"/>
        </w:rPr>
        <w:t xml:space="preserve">Admin revisa el lote, aprueba o rechaza pagos individuales.</w:t>
      </w:r>
    </w:p>
    <w:p>
      <w:pPr>
        <w:pStyle w:val="ListParagraph"/>
        <w:numPr>
          <w:ilvl w:val="0"/>
          <w:numId w:val="2"/>
        </w:numPr>
        <w:spacing w:after="60"/>
      </w:pPr>
      <w:r>
        <w:rPr>
          <w:rFonts w:ascii="Arial" w:cs="Arial" w:eastAsia="Arial" w:hAnsi="Arial"/>
          <w:b/>
          <w:bCs/>
          <w:color w:val="2D2D3F"/>
          <w:sz w:val="20"/>
          <w:szCs w:val="20"/>
        </w:rPr>
        <w:t xml:space="preserve">Ejecución: </w:t>
      </w:r>
      <w:r>
        <w:rPr>
          <w:rFonts w:ascii="Arial" w:cs="Arial" w:eastAsia="Arial" w:hAnsi="Arial"/>
          <w:color w:val="2D2D3F"/>
          <w:sz w:val="20"/>
          <w:szCs w:val="20"/>
        </w:rPr>
        <w:t xml:space="preserve">Transferencia vía MP split payment (para quienes tienen cuenta MP) o marcado para transferencia bancaria manual.</w:t>
      </w:r>
    </w:p>
    <w:p>
      <w:pPr>
        <w:pStyle w:val="ListParagraph"/>
        <w:numPr>
          <w:ilvl w:val="0"/>
          <w:numId w:val="2"/>
        </w:numPr>
        <w:spacing w:after="60"/>
      </w:pPr>
      <w:r>
        <w:rPr>
          <w:rFonts w:ascii="Arial" w:cs="Arial" w:eastAsia="Arial" w:hAnsi="Arial"/>
          <w:b/>
          <w:bCs/>
          <w:color w:val="2D2D3F"/>
          <w:sz w:val="20"/>
          <w:szCs w:val="20"/>
        </w:rPr>
        <w:t xml:space="preserve">Retenciones: </w:t>
      </w:r>
      <w:r>
        <w:rPr>
          <w:rFonts w:ascii="Arial" w:cs="Arial" w:eastAsia="Arial" w:hAnsi="Arial"/>
          <w:color w:val="2D2D3F"/>
          <w:sz w:val="20"/>
          <w:szCs w:val="20"/>
        </w:rPr>
        <w:t xml:space="preserve">Retener 5% como garantía contra chargebacks/devoluciones (liberado después de 30 días).</w:t>
      </w:r>
    </w:p>
    <w:p>
      <w:pPr>
        <w:pStyle w:val="ListParagraph"/>
        <w:numPr>
          <w:ilvl w:val="0"/>
          <w:numId w:val="2"/>
        </w:numPr>
        <w:spacing w:after="60"/>
      </w:pPr>
      <w:r>
        <w:rPr>
          <w:rFonts w:ascii="Arial" w:cs="Arial" w:eastAsia="Arial" w:hAnsi="Arial"/>
          <w:b/>
          <w:bCs/>
          <w:color w:val="2D2D3F"/>
          <w:sz w:val="20"/>
          <w:szCs w:val="20"/>
        </w:rPr>
        <w:t xml:space="preserve">Estado de pago: </w:t>
      </w:r>
      <w:r>
        <w:rPr>
          <w:rFonts w:ascii="Arial" w:cs="Arial" w:eastAsia="Arial" w:hAnsi="Arial"/>
          <w:color w:val="2D2D3F"/>
          <w:sz w:val="20"/>
          <w:szCs w:val="20"/>
        </w:rPr>
        <w:t xml:space="preserve">Pipeline visual: PENDIENTE → EN PROCESO → TRANSFERIDO → CONFIRMADO.</w:t>
      </w:r>
    </w:p>
    <w:p>
      <w:pPr>
        <w:spacing w:after="80"/>
      </w:pPr>
    </w:p>
    <w:p>
      <w:pPr>
        <w:pStyle w:val="Heading2"/>
        <w:spacing w:after="160" w:before="280"/>
      </w:pPr>
      <w:r>
        <w:rPr>
          <w:rFonts w:ascii="Arial" w:cs="Arial" w:eastAsia="Arial" w:hAnsi="Arial"/>
          <w:b/>
          <w:bCs/>
          <w:color w:val="2D2D3F"/>
          <w:sz w:val="26"/>
          <w:szCs w:val="26"/>
        </w:rPr>
        <w:t xml:space="preserve">6.2 Módulo de Reconciliación</w:t>
      </w:r>
    </w:p>
    <w:p>
      <w:pPr>
        <w:pStyle w:val="ListParagraph"/>
        <w:numPr>
          <w:ilvl w:val="0"/>
          <w:numId w:val="2"/>
        </w:numPr>
        <w:spacing w:after="60"/>
      </w:pPr>
      <w:r>
        <w:rPr>
          <w:rFonts w:ascii="Arial" w:cs="Arial" w:eastAsia="Arial" w:hAnsi="Arial"/>
          <w:b/>
          <w:bCs/>
          <w:color w:val="2D2D3F"/>
          <w:sz w:val="20"/>
          <w:szCs w:val="20"/>
        </w:rPr>
        <w:t xml:space="preserve">Cruce automático: </w:t>
      </w:r>
      <w:r>
        <w:rPr>
          <w:rFonts w:ascii="Arial" w:cs="Arial" w:eastAsia="Arial" w:hAnsi="Arial"/>
          <w:color w:val="2D2D3F"/>
          <w:sz w:val="20"/>
          <w:szCs w:val="20"/>
        </w:rPr>
        <w:t xml:space="preserve">Comparar Order.total vs Payment.amount para cada transacción MP.</w:t>
      </w:r>
    </w:p>
    <w:p>
      <w:pPr>
        <w:pStyle w:val="ListParagraph"/>
        <w:numPr>
          <w:ilvl w:val="0"/>
          <w:numId w:val="2"/>
        </w:numPr>
        <w:spacing w:after="60"/>
      </w:pPr>
      <w:r>
        <w:rPr>
          <w:rFonts w:ascii="Arial" w:cs="Arial" w:eastAsia="Arial" w:hAnsi="Arial"/>
          <w:b/>
          <w:bCs/>
          <w:color w:val="2D2D3F"/>
          <w:sz w:val="20"/>
          <w:szCs w:val="20"/>
        </w:rPr>
        <w:t xml:space="preserve">Alertas de discrepancia: </w:t>
      </w:r>
      <w:r>
        <w:rPr>
          <w:rFonts w:ascii="Arial" w:cs="Arial" w:eastAsia="Arial" w:hAnsi="Arial"/>
          <w:color w:val="2D2D3F"/>
          <w:sz w:val="20"/>
          <w:szCs w:val="20"/>
        </w:rPr>
        <w:t xml:space="preserve">Notificación cuando un pago no coincide con la orden (diferencia &gt; 1%).</w:t>
      </w:r>
    </w:p>
    <w:p>
      <w:pPr>
        <w:pStyle w:val="ListParagraph"/>
        <w:numPr>
          <w:ilvl w:val="0"/>
          <w:numId w:val="2"/>
        </w:numPr>
        <w:spacing w:after="60"/>
      </w:pPr>
      <w:r>
        <w:rPr>
          <w:rFonts w:ascii="Arial" w:cs="Arial" w:eastAsia="Arial" w:hAnsi="Arial"/>
          <w:b/>
          <w:bCs/>
          <w:color w:val="2D2D3F"/>
          <w:sz w:val="20"/>
          <w:szCs w:val="20"/>
        </w:rPr>
        <w:t xml:space="preserve">Reporte mensual: </w:t>
      </w:r>
      <w:r>
        <w:rPr>
          <w:rFonts w:ascii="Arial" w:cs="Arial" w:eastAsia="Arial" w:hAnsi="Arial"/>
          <w:color w:val="2D2D3F"/>
          <w:sz w:val="20"/>
          <w:szCs w:val="20"/>
        </w:rPr>
        <w:t xml:space="preserve">Cierre contable con totales de ventas, comisiones cobradas, pagos realizados, diferencias.</w:t>
      </w:r>
    </w:p>
    <w:p>
      <w:pPr>
        <w:pStyle w:val="ListParagraph"/>
        <w:numPr>
          <w:ilvl w:val="0"/>
          <w:numId w:val="2"/>
        </w:numPr>
        <w:spacing w:after="60"/>
      </w:pPr>
      <w:r>
        <w:rPr>
          <w:rFonts w:ascii="Arial" w:cs="Arial" w:eastAsia="Arial" w:hAnsi="Arial"/>
          <w:b/>
          <w:bCs/>
          <w:color w:val="2D2D3F"/>
          <w:sz w:val="20"/>
          <w:szCs w:val="20"/>
        </w:rPr>
        <w:t xml:space="preserve">Balance de cuentas: </w:t>
      </w:r>
      <w:r>
        <w:rPr>
          <w:rFonts w:ascii="Arial" w:cs="Arial" w:eastAsia="Arial" w:hAnsi="Arial"/>
          <w:color w:val="2D2D3F"/>
          <w:sz w:val="20"/>
          <w:szCs w:val="20"/>
        </w:rPr>
        <w:t xml:space="preserve">Saldo actual en cuenta MP de MOOVY vs obligaciones pendientes de pago.</w:t>
      </w:r>
    </w:p>
    <w:p>
      <w:pPr>
        <w:spacing w:after="80"/>
      </w:pPr>
    </w:p>
    <w:p>
      <w:pPr>
        <w:pStyle w:val="Heading2"/>
        <w:spacing w:after="160" w:before="280"/>
      </w:pPr>
      <w:r>
        <w:rPr>
          <w:rFonts w:ascii="Arial" w:cs="Arial" w:eastAsia="Arial" w:hAnsi="Arial"/>
          <w:b/>
          <w:bCs/>
          <w:color w:val="2D2D3F"/>
          <w:sz w:val="26"/>
          <w:szCs w:val="26"/>
        </w:rPr>
        <w:t xml:space="preserve">6.3 Módulo de Cuentas Corrientes (Cash)</w:t>
      </w:r>
    </w:p>
    <w:p>
      <w:pPr>
        <w:pStyle w:val="ListParagraph"/>
        <w:numPr>
          <w:ilvl w:val="0"/>
          <w:numId w:val="2"/>
        </w:numPr>
        <w:spacing w:after="60"/>
      </w:pPr>
      <w:r>
        <w:rPr>
          <w:rFonts w:ascii="Arial" w:cs="Arial" w:eastAsia="Arial" w:hAnsi="Arial"/>
          <w:b/>
          <w:bCs/>
          <w:color w:val="2D2D3F"/>
          <w:sz w:val="20"/>
          <w:szCs w:val="20"/>
        </w:rPr>
        <w:t xml:space="preserve">Saldo por comercio: </w:t>
      </w:r>
      <w:r>
        <w:rPr>
          <w:rFonts w:ascii="Arial" w:cs="Arial" w:eastAsia="Arial" w:hAnsi="Arial"/>
          <w:color w:val="2D2D3F"/>
          <w:sz w:val="20"/>
          <w:szCs w:val="20"/>
        </w:rPr>
        <w:t xml:space="preserve">Cuanto debe cada comercio en comisiones de pedidos cash.</w:t>
      </w:r>
    </w:p>
    <w:p>
      <w:pPr>
        <w:pStyle w:val="ListParagraph"/>
        <w:numPr>
          <w:ilvl w:val="0"/>
          <w:numId w:val="2"/>
        </w:numPr>
        <w:spacing w:after="60"/>
      </w:pPr>
      <w:r>
        <w:rPr>
          <w:rFonts w:ascii="Arial" w:cs="Arial" w:eastAsia="Arial" w:hAnsi="Arial"/>
          <w:b/>
          <w:bCs/>
          <w:color w:val="2D2D3F"/>
          <w:sz w:val="20"/>
          <w:szCs w:val="20"/>
        </w:rPr>
        <w:t xml:space="preserve">Registro de cobros: </w:t>
      </w:r>
      <w:r>
        <w:rPr>
          <w:rFonts w:ascii="Arial" w:cs="Arial" w:eastAsia="Arial" w:hAnsi="Arial"/>
          <w:color w:val="2D2D3F"/>
          <w:sz w:val="20"/>
          <w:szCs w:val="20"/>
        </w:rPr>
        <w:t xml:space="preserve">Cuando el comercio paga su deuda, se registra el cobro y se baja el saldo.</w:t>
      </w:r>
    </w:p>
    <w:p>
      <w:pPr>
        <w:pStyle w:val="ListParagraph"/>
        <w:numPr>
          <w:ilvl w:val="0"/>
          <w:numId w:val="2"/>
        </w:numPr>
        <w:spacing w:after="60"/>
      </w:pPr>
      <w:r>
        <w:rPr>
          <w:rFonts w:ascii="Arial" w:cs="Arial" w:eastAsia="Arial" w:hAnsi="Arial"/>
          <w:b/>
          <w:bCs/>
          <w:color w:val="2D2D3F"/>
          <w:sz w:val="20"/>
          <w:szCs w:val="20"/>
        </w:rPr>
        <w:t xml:space="preserve">Alertas de deuda: </w:t>
      </w:r>
      <w:r>
        <w:rPr>
          <w:rFonts w:ascii="Arial" w:cs="Arial" w:eastAsia="Arial" w:hAnsi="Arial"/>
          <w:color w:val="2D2D3F"/>
          <w:sz w:val="20"/>
          <w:szCs w:val="20"/>
        </w:rPr>
        <w:t xml:space="preserve">Notificación automática cuando un comercio supera X monto o X días sin pagar.</w:t>
      </w:r>
    </w:p>
    <w:p>
      <w:pPr>
        <w:pStyle w:val="ListParagraph"/>
        <w:numPr>
          <w:ilvl w:val="0"/>
          <w:numId w:val="2"/>
        </w:numPr>
        <w:spacing w:after="60"/>
      </w:pPr>
      <w:r>
        <w:rPr>
          <w:rFonts w:ascii="Arial" w:cs="Arial" w:eastAsia="Arial" w:hAnsi="Arial"/>
          <w:b/>
          <w:bCs/>
          <w:color w:val="2D2D3F"/>
          <w:sz w:val="20"/>
          <w:szCs w:val="20"/>
        </w:rPr>
        <w:t xml:space="preserve">Compensación cruzada: </w:t>
      </w:r>
      <w:r>
        <w:rPr>
          <w:rFonts w:ascii="Arial" w:cs="Arial" w:eastAsia="Arial" w:hAnsi="Arial"/>
          <w:color w:val="2D2D3F"/>
          <w:sz w:val="20"/>
          <w:szCs w:val="20"/>
        </w:rPr>
        <w:t xml:space="preserve">Descontar deuda cash de los pagos MP que MOOVY debe al comercio.</w:t>
      </w:r>
    </w:p>
    <w:p>
      <w:pPr>
        <w:spacing w:after="80"/>
      </w:pPr>
    </w:p>
    <w:p>
      <w:pPr>
        <w:pStyle w:val="Heading2"/>
        <w:spacing w:after="160" w:before="280"/>
      </w:pPr>
      <w:r>
        <w:rPr>
          <w:rFonts w:ascii="Arial" w:cs="Arial" w:eastAsia="Arial" w:hAnsi="Arial"/>
          <w:b/>
          <w:bCs/>
          <w:color w:val="2D2D3F"/>
          <w:sz w:val="26"/>
          <w:szCs w:val="26"/>
        </w:rPr>
        <w:t xml:space="preserve">6.4 Módulo de Control de Comisiones</w:t>
      </w:r>
    </w:p>
    <w:p>
      <w:pPr>
        <w:pStyle w:val="ListParagraph"/>
        <w:numPr>
          <w:ilvl w:val="0"/>
          <w:numId w:val="2"/>
        </w:numPr>
        <w:spacing w:after="60"/>
      </w:pPr>
      <w:r>
        <w:rPr>
          <w:rFonts w:ascii="Arial" w:cs="Arial" w:eastAsia="Arial" w:hAnsi="Arial"/>
          <w:b/>
          <w:bCs/>
          <w:color w:val="2D2D3F"/>
          <w:sz w:val="20"/>
          <w:szCs w:val="20"/>
        </w:rPr>
        <w:t xml:space="preserve">Editor por actor: </w:t>
      </w:r>
      <w:r>
        <w:rPr>
          <w:rFonts w:ascii="Arial" w:cs="Arial" w:eastAsia="Arial" w:hAnsi="Arial"/>
          <w:color w:val="2D2D3F"/>
          <w:sz w:val="20"/>
          <w:szCs w:val="20"/>
        </w:rPr>
        <w:t xml:space="preserve">Cambiar comisión por comercio individual, por categoría, o masivamente.</w:t>
      </w:r>
    </w:p>
    <w:p>
      <w:pPr>
        <w:pStyle w:val="ListParagraph"/>
        <w:numPr>
          <w:ilvl w:val="0"/>
          <w:numId w:val="2"/>
        </w:numPr>
        <w:spacing w:after="60"/>
      </w:pPr>
      <w:r>
        <w:rPr>
          <w:rFonts w:ascii="Arial" w:cs="Arial" w:eastAsia="Arial" w:hAnsi="Arial"/>
          <w:b/>
          <w:bCs/>
          <w:color w:val="2D2D3F"/>
          <w:sz w:val="20"/>
          <w:szCs w:val="20"/>
        </w:rPr>
        <w:t xml:space="preserve">Historial de cambios: </w:t>
      </w:r>
      <w:r>
        <w:rPr>
          <w:rFonts w:ascii="Arial" w:cs="Arial" w:eastAsia="Arial" w:hAnsi="Arial"/>
          <w:color w:val="2D2D3F"/>
          <w:sz w:val="20"/>
          <w:szCs w:val="20"/>
        </w:rPr>
        <w:t xml:space="preserve">Audit log de cada cambio de comisión (quién, cuándo, de cuánto a cuánto).</w:t>
      </w:r>
    </w:p>
    <w:p>
      <w:pPr>
        <w:pStyle w:val="ListParagraph"/>
        <w:numPr>
          <w:ilvl w:val="0"/>
          <w:numId w:val="2"/>
        </w:numPr>
        <w:spacing w:after="60"/>
      </w:pPr>
      <w:r>
        <w:rPr>
          <w:rFonts w:ascii="Arial" w:cs="Arial" w:eastAsia="Arial" w:hAnsi="Arial"/>
          <w:b/>
          <w:bCs/>
          <w:color w:val="2D2D3F"/>
          <w:sz w:val="20"/>
          <w:szCs w:val="20"/>
        </w:rPr>
        <w:t xml:space="preserve">Simulador de impacto: </w:t>
      </w:r>
      <w:r>
        <w:rPr>
          <w:rFonts w:ascii="Arial" w:cs="Arial" w:eastAsia="Arial" w:hAnsi="Arial"/>
          <w:color w:val="2D2D3F"/>
          <w:sz w:val="20"/>
          <w:szCs w:val="20"/>
        </w:rPr>
        <w:t xml:space="preserve">Antes de cambiar una tasa, ver cómo habría afectado los últimos 30 días.</w:t>
      </w:r>
    </w:p>
    <w:p>
      <w:pPr>
        <w:pStyle w:val="ListParagraph"/>
        <w:numPr>
          <w:ilvl w:val="0"/>
          <w:numId w:val="2"/>
        </w:numPr>
        <w:spacing w:after="60"/>
      </w:pPr>
      <w:r>
        <w:rPr>
          <w:rFonts w:ascii="Arial" w:cs="Arial" w:eastAsia="Arial" w:hAnsi="Arial"/>
          <w:b/>
          <w:bCs/>
          <w:color w:val="2D2D3F"/>
          <w:sz w:val="20"/>
          <w:szCs w:val="20"/>
        </w:rPr>
        <w:t xml:space="preserve">Comisiones escalonadas: </w:t>
      </w:r>
      <w:r>
        <w:rPr>
          <w:rFonts w:ascii="Arial" w:cs="Arial" w:eastAsia="Arial" w:hAnsi="Arial"/>
          <w:color w:val="2D2D3F"/>
          <w:sz w:val="20"/>
          <w:szCs w:val="20"/>
        </w:rPr>
        <w:t xml:space="preserve">Tasas que bajan automáticamente a mayor volumen (ej: 20% hasta 100 pedidos, 18% hasta 500).</w:t>
      </w:r>
    </w:p>
    <w:p>
      <w:pPr>
        <w:spacing w:after="80"/>
      </w:pPr>
    </w:p>
    <w:p>
      <w:pPr>
        <w:pStyle w:val="Heading2"/>
        <w:spacing w:after="160" w:before="280"/>
      </w:pPr>
      <w:r>
        <w:rPr>
          <w:rFonts w:ascii="Arial" w:cs="Arial" w:eastAsia="Arial" w:hAnsi="Arial"/>
          <w:b/>
          <w:bCs/>
          <w:color w:val="2D2D3F"/>
          <w:sz w:val="26"/>
          <w:szCs w:val="26"/>
        </w:rPr>
        <w:t xml:space="preserve">6.5 Módulo de Reembolsos Completo</w:t>
      </w:r>
    </w:p>
    <w:p>
      <w:pPr>
        <w:pStyle w:val="ListParagraph"/>
        <w:numPr>
          <w:ilvl w:val="0"/>
          <w:numId w:val="2"/>
        </w:numPr>
        <w:spacing w:after="60"/>
      </w:pPr>
      <w:r>
        <w:rPr>
          <w:rFonts w:ascii="Arial" w:cs="Arial" w:eastAsia="Arial" w:hAnsi="Arial"/>
          <w:b/>
          <w:bCs/>
          <w:color w:val="2D2D3F"/>
          <w:sz w:val="20"/>
          <w:szCs w:val="20"/>
        </w:rPr>
        <w:t xml:space="preserve">Ejecución real: </w:t>
      </w:r>
      <w:r>
        <w:rPr>
          <w:rFonts w:ascii="Arial" w:cs="Arial" w:eastAsia="Arial" w:hAnsi="Arial"/>
          <w:color w:val="2D2D3F"/>
          <w:sz w:val="20"/>
          <w:szCs w:val="20"/>
        </w:rPr>
        <w:t xml:space="preserve">Integrar API de reembolso de MercadoPago para devolver dinero al comprador.</w:t>
      </w:r>
    </w:p>
    <w:p>
      <w:pPr>
        <w:pStyle w:val="ListParagraph"/>
        <w:numPr>
          <w:ilvl w:val="0"/>
          <w:numId w:val="2"/>
        </w:numPr>
        <w:spacing w:after="60"/>
      </w:pPr>
      <w:r>
        <w:rPr>
          <w:rFonts w:ascii="Arial" w:cs="Arial" w:eastAsia="Arial" w:hAnsi="Arial"/>
          <w:b/>
          <w:bCs/>
          <w:color w:val="2D2D3F"/>
          <w:sz w:val="20"/>
          <w:szCs w:val="20"/>
        </w:rPr>
        <w:t xml:space="preserve">Reversión de comisiones: </w:t>
      </w:r>
      <w:r>
        <w:rPr>
          <w:rFonts w:ascii="Arial" w:cs="Arial" w:eastAsia="Arial" w:hAnsi="Arial"/>
          <w:color w:val="2D2D3F"/>
          <w:sz w:val="20"/>
          <w:szCs w:val="20"/>
        </w:rPr>
        <w:t xml:space="preserve">Al reembolsar, recalcular qué se le debe al comercio (menos la comisión sobre el reembolso).</w:t>
      </w:r>
    </w:p>
    <w:p>
      <w:pPr>
        <w:pStyle w:val="ListParagraph"/>
        <w:numPr>
          <w:ilvl w:val="0"/>
          <w:numId w:val="2"/>
        </w:numPr>
        <w:spacing w:after="60"/>
      </w:pPr>
      <w:r>
        <w:rPr>
          <w:rFonts w:ascii="Arial" w:cs="Arial" w:eastAsia="Arial" w:hAnsi="Arial"/>
          <w:b/>
          <w:bCs/>
          <w:color w:val="2D2D3F"/>
          <w:sz w:val="20"/>
          <w:szCs w:val="20"/>
        </w:rPr>
        <w:t xml:space="preserve">Restaurar puntos: </w:t>
      </w:r>
      <w:r>
        <w:rPr>
          <w:rFonts w:ascii="Arial" w:cs="Arial" w:eastAsia="Arial" w:hAnsi="Arial"/>
          <w:color w:val="2D2D3F"/>
          <w:sz w:val="20"/>
          <w:szCs w:val="20"/>
        </w:rPr>
        <w:t xml:space="preserve">Si el comprador usó puntos, devolverlos a su saldo.</w:t>
      </w:r>
    </w:p>
    <w:p>
      <w:pPr>
        <w:pStyle w:val="ListParagraph"/>
        <w:numPr>
          <w:ilvl w:val="0"/>
          <w:numId w:val="2"/>
        </w:numPr>
        <w:spacing w:after="60"/>
      </w:pPr>
      <w:r>
        <w:rPr>
          <w:rFonts w:ascii="Arial" w:cs="Arial" w:eastAsia="Arial" w:hAnsi="Arial"/>
          <w:b/>
          <w:bCs/>
          <w:color w:val="2D2D3F"/>
          <w:sz w:val="20"/>
          <w:szCs w:val="20"/>
        </w:rPr>
        <w:t xml:space="preserve">Tipos de reembolso: </w:t>
      </w:r>
      <w:r>
        <w:rPr>
          <w:rFonts w:ascii="Arial" w:cs="Arial" w:eastAsia="Arial" w:hAnsi="Arial"/>
          <w:color w:val="2D2D3F"/>
          <w:sz w:val="20"/>
          <w:szCs w:val="20"/>
        </w:rPr>
        <w:t xml:space="preserve">Total, parcial (items específicos), crédito en puntos MOOVY.</w:t>
      </w:r>
    </w:p>
    <w:p>
      <w:pPr>
        <w:spacing w:after="80"/>
      </w:pPr>
    </w:p>
    <w:p>
      <w:pPr>
        <w:pStyle w:val="Heading2"/>
        <w:spacing w:after="160" w:before="280"/>
      </w:pPr>
      <w:r>
        <w:rPr>
          <w:rFonts w:ascii="Arial" w:cs="Arial" w:eastAsia="Arial" w:hAnsi="Arial"/>
          <w:b/>
          <w:bCs/>
          <w:color w:val="2D2D3F"/>
          <w:sz w:val="26"/>
          <w:szCs w:val="26"/>
        </w:rPr>
        <w:t xml:space="preserve">6.6 Módulo de Reportes Financieros</w:t>
      </w:r>
    </w:p>
    <w:p>
      <w:pPr>
        <w:pStyle w:val="ListParagraph"/>
        <w:numPr>
          <w:ilvl w:val="0"/>
          <w:numId w:val="2"/>
        </w:numPr>
        <w:spacing w:after="60"/>
      </w:pPr>
      <w:r>
        <w:rPr>
          <w:rFonts w:ascii="Arial" w:cs="Arial" w:eastAsia="Arial" w:hAnsi="Arial"/>
          <w:b/>
          <w:bCs/>
          <w:color w:val="2D2D3F"/>
          <w:sz w:val="20"/>
          <w:szCs w:val="20"/>
        </w:rPr>
        <w:t xml:space="preserve">P&amp;L automático: </w:t>
      </w:r>
      <w:r>
        <w:rPr>
          <w:rFonts w:ascii="Arial" w:cs="Arial" w:eastAsia="Arial" w:hAnsi="Arial"/>
          <w:color w:val="2D2D3F"/>
          <w:sz w:val="20"/>
          <w:szCs w:val="20"/>
        </w:rPr>
        <w:t xml:space="preserve">Ingresos (comisiones + delivery fee retenido) menos costos (fees MP + payouts) = ganancia neta.</w:t>
      </w:r>
    </w:p>
    <w:p>
      <w:pPr>
        <w:pStyle w:val="ListParagraph"/>
        <w:numPr>
          <w:ilvl w:val="0"/>
          <w:numId w:val="2"/>
        </w:numPr>
        <w:spacing w:after="60"/>
      </w:pPr>
      <w:r>
        <w:rPr>
          <w:rFonts w:ascii="Arial" w:cs="Arial" w:eastAsia="Arial" w:hAnsi="Arial"/>
          <w:b/>
          <w:bCs/>
          <w:color w:val="2D2D3F"/>
          <w:sz w:val="20"/>
          <w:szCs w:val="20"/>
        </w:rPr>
        <w:t xml:space="preserve">Proyecciones: </w:t>
      </w:r>
      <w:r>
        <w:rPr>
          <w:rFonts w:ascii="Arial" w:cs="Arial" w:eastAsia="Arial" w:hAnsi="Arial"/>
          <w:color w:val="2D2D3F"/>
          <w:sz w:val="20"/>
          <w:szCs w:val="20"/>
        </w:rPr>
        <w:t xml:space="preserve">Basado en tendencia de últimos 30/60/90 días, proyectar revenue del mes siguiente.</w:t>
      </w:r>
    </w:p>
    <w:p>
      <w:pPr>
        <w:pStyle w:val="ListParagraph"/>
        <w:numPr>
          <w:ilvl w:val="0"/>
          <w:numId w:val="2"/>
        </w:numPr>
        <w:spacing w:after="60"/>
      </w:pPr>
      <w:r>
        <w:rPr>
          <w:rFonts w:ascii="Arial" w:cs="Arial" w:eastAsia="Arial" w:hAnsi="Arial"/>
          <w:b/>
          <w:bCs/>
          <w:color w:val="2D2D3F"/>
          <w:sz w:val="20"/>
          <w:szCs w:val="20"/>
        </w:rPr>
        <w:t xml:space="preserve">Desglose por actor: </w:t>
      </w:r>
      <w:r>
        <w:rPr>
          <w:rFonts w:ascii="Arial" w:cs="Arial" w:eastAsia="Arial" w:hAnsi="Arial"/>
          <w:color w:val="2D2D3F"/>
          <w:sz w:val="20"/>
          <w:szCs w:val="20"/>
        </w:rPr>
        <w:t xml:space="preserve">Cuánto genera cada comercio/vendedor/repartidor para MOOVY.</w:t>
      </w:r>
    </w:p>
    <w:p>
      <w:pPr>
        <w:pStyle w:val="ListParagraph"/>
        <w:numPr>
          <w:ilvl w:val="0"/>
          <w:numId w:val="2"/>
        </w:numPr>
        <w:spacing w:after="60"/>
      </w:pPr>
      <w:r>
        <w:rPr>
          <w:rFonts w:ascii="Arial" w:cs="Arial" w:eastAsia="Arial" w:hAnsi="Arial"/>
          <w:b/>
          <w:bCs/>
          <w:color w:val="2D2D3F"/>
          <w:sz w:val="20"/>
          <w:szCs w:val="20"/>
        </w:rPr>
        <w:t xml:space="preserve">KPIs financieros: </w:t>
      </w:r>
      <w:r>
        <w:rPr>
          <w:rFonts w:ascii="Arial" w:cs="Arial" w:eastAsia="Arial" w:hAnsi="Arial"/>
          <w:color w:val="2D2D3F"/>
          <w:sz w:val="20"/>
          <w:szCs w:val="20"/>
        </w:rPr>
        <w:t xml:space="preserve">Ticket promedio, margen por orden, comisión efectiva, CAC (costo de adquisición).</w:t>
      </w:r>
    </w:p>
    <w:p>
      <w:pPr>
        <w:pStyle w:val="ListParagraph"/>
        <w:numPr>
          <w:ilvl w:val="0"/>
          <w:numId w:val="2"/>
        </w:numPr>
        <w:spacing w:after="60"/>
      </w:pPr>
      <w:r>
        <w:rPr>
          <w:rFonts w:ascii="Arial" w:cs="Arial" w:eastAsia="Arial" w:hAnsi="Arial"/>
          <w:b/>
          <w:bCs/>
          <w:color w:val="2D2D3F"/>
          <w:sz w:val="20"/>
          <w:szCs w:val="20"/>
        </w:rPr>
        <w:t xml:space="preserve">Export contable: </w:t>
      </w:r>
      <w:r>
        <w:rPr>
          <w:rFonts w:ascii="Arial" w:cs="Arial" w:eastAsia="Arial" w:hAnsi="Arial"/>
          <w:color w:val="2D2D3F"/>
          <w:sz w:val="20"/>
          <w:szCs w:val="20"/>
        </w:rPr>
        <w:t xml:space="preserve">Generación de archivos compatibles con software contable (CSV con formato para importar a sistemas argentinos).</w:t>
      </w:r>
    </w:p>
    <w:p>
      <w:pPr>
        <w:spacing w:after="80"/>
      </w:pPr>
    </w:p>
    <w:p>
      <w:pPr>
        <w:pStyle w:val="Heading2"/>
        <w:spacing w:after="160" w:before="280"/>
      </w:pPr>
      <w:r>
        <w:rPr>
          <w:rFonts w:ascii="Arial" w:cs="Arial" w:eastAsia="Arial" w:hAnsi="Arial"/>
          <w:b/>
          <w:bCs/>
          <w:color w:val="2D2D3F"/>
          <w:sz w:val="26"/>
          <w:szCs w:val="26"/>
        </w:rPr>
        <w:t xml:space="preserve">6.7 Módulo de Prevención de Fraude</w:t>
      </w:r>
    </w:p>
    <w:p>
      <w:pPr>
        <w:pStyle w:val="ListParagraph"/>
        <w:numPr>
          <w:ilvl w:val="0"/>
          <w:numId w:val="2"/>
        </w:numPr>
        <w:spacing w:after="60"/>
      </w:pPr>
      <w:r>
        <w:rPr>
          <w:rFonts w:ascii="Arial" w:cs="Arial" w:eastAsia="Arial" w:hAnsi="Arial"/>
          <w:b/>
          <w:bCs/>
          <w:color w:val="2D2D3F"/>
          <w:sz w:val="20"/>
          <w:szCs w:val="20"/>
        </w:rPr>
        <w:t xml:space="preserve">Detección de duplicados: </w:t>
      </w:r>
      <w:r>
        <w:rPr>
          <w:rFonts w:ascii="Arial" w:cs="Arial" w:eastAsia="Arial" w:hAnsi="Arial"/>
          <w:color w:val="2D2D3F"/>
          <w:sz w:val="20"/>
          <w:szCs w:val="20"/>
        </w:rPr>
        <w:t xml:space="preserve">Misma dirección + mismo comercio + menos de 5 min = alerta.</w:t>
      </w:r>
    </w:p>
    <w:p>
      <w:pPr>
        <w:pStyle w:val="ListParagraph"/>
        <w:numPr>
          <w:ilvl w:val="0"/>
          <w:numId w:val="2"/>
        </w:numPr>
        <w:spacing w:after="60"/>
      </w:pPr>
      <w:r>
        <w:rPr>
          <w:rFonts w:ascii="Arial" w:cs="Arial" w:eastAsia="Arial" w:hAnsi="Arial"/>
          <w:b/>
          <w:bCs/>
          <w:color w:val="2D2D3F"/>
          <w:sz w:val="20"/>
          <w:szCs w:val="20"/>
        </w:rPr>
        <w:t xml:space="preserve">Velocidad anormal: </w:t>
      </w:r>
      <w:r>
        <w:rPr>
          <w:rFonts w:ascii="Arial" w:cs="Arial" w:eastAsia="Arial" w:hAnsi="Arial"/>
          <w:color w:val="2D2D3F"/>
          <w:sz w:val="20"/>
          <w:szCs w:val="20"/>
        </w:rPr>
        <w:t xml:space="preserve">Más de X pedidos por hora del mismo usuario = bloqueo temporal.</w:t>
      </w:r>
    </w:p>
    <w:p>
      <w:pPr>
        <w:pStyle w:val="ListParagraph"/>
        <w:numPr>
          <w:ilvl w:val="0"/>
          <w:numId w:val="2"/>
        </w:numPr>
        <w:spacing w:after="60"/>
      </w:pPr>
      <w:r>
        <w:rPr>
          <w:rFonts w:ascii="Arial" w:cs="Arial" w:eastAsia="Arial" w:hAnsi="Arial"/>
          <w:b/>
          <w:bCs/>
          <w:color w:val="2D2D3F"/>
          <w:sz w:val="20"/>
          <w:szCs w:val="20"/>
        </w:rPr>
        <w:t xml:space="preserve">Chargebacks: </w:t>
      </w:r>
      <w:r>
        <w:rPr>
          <w:rFonts w:ascii="Arial" w:cs="Arial" w:eastAsia="Arial" w:hAnsi="Arial"/>
          <w:color w:val="2D2D3F"/>
          <w:sz w:val="20"/>
          <w:szCs w:val="20"/>
        </w:rPr>
        <w:t xml:space="preserve">Dashboard de contracargos MP con acción automática (suspender usuario, retener pago a comercio).</w:t>
      </w:r>
    </w:p>
    <w:p>
      <w:pPr>
        <w:pStyle w:val="ListParagraph"/>
        <w:numPr>
          <w:ilvl w:val="0"/>
          <w:numId w:val="2"/>
        </w:numPr>
        <w:spacing w:after="60"/>
      </w:pPr>
      <w:r>
        <w:rPr>
          <w:rFonts w:ascii="Arial" w:cs="Arial" w:eastAsia="Arial" w:hAnsi="Arial"/>
          <w:b/>
          <w:bCs/>
          <w:color w:val="2D2D3F"/>
          <w:sz w:val="20"/>
          <w:szCs w:val="20"/>
        </w:rPr>
        <w:t xml:space="preserve">Autorefund abuse: </w:t>
      </w:r>
      <w:r>
        <w:rPr>
          <w:rFonts w:ascii="Arial" w:cs="Arial" w:eastAsia="Arial" w:hAnsi="Arial"/>
          <w:color w:val="2D2D3F"/>
          <w:sz w:val="20"/>
          <w:szCs w:val="20"/>
        </w:rPr>
        <w:t xml:space="preserve">Detectar usuarios que piden reembolso en más del X% de sus pedidos.</w:t>
      </w:r>
    </w:p>
    <w:p>
      <w:pPr>
        <w:spacing w:after="80"/>
      </w:pPr>
    </w:p>
    <w:p>
      <w:pPr>
        <w:pStyle w:val="Heading1"/>
        <w:spacing w:after="200" w:before="360"/>
      </w:pPr>
      <w:r>
        <w:rPr>
          <w:rFonts w:ascii="Arial" w:cs="Arial" w:eastAsia="Arial" w:hAnsi="Arial"/>
          <w:b/>
          <w:bCs/>
          <w:color w:val="6C3FA0"/>
          <w:sz w:val="32"/>
          <w:szCs w:val="32"/>
        </w:rPr>
        <w:t xml:space="preserve">7. Plan de Implementación Priorizado</w:t>
      </w:r>
    </w:p>
    <w:p>
      <w:pPr>
        <w:spacing w:after="120"/>
      </w:pPr>
      <w:r>
        <w:rPr>
          <w:rFonts w:ascii="Arial" w:cs="Arial" w:eastAsia="Arial" w:hAnsi="Arial"/>
          <w:color w:val="2D2D3F"/>
          <w:sz w:val="20"/>
          <w:szCs w:val="20"/>
        </w:rPr>
        <w:t xml:space="preserve">Basado en el análisis anterior, este es el roadmap sugerido de implementación ordenado por criticidad para el lanzamiento: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1404"/>
        <w:gridCol w:w="1404"/>
        <w:gridCol w:w="780"/>
        <w:gridCol w:w="1872"/>
      </w:tblGrid>
      <w:tr>
        <w:tc>
          <w:tcPr>
            <w:tcW w:type="dxa" w:w="7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12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w:t>
            </w:r>
          </w:p>
        </w:tc>
        <w:tc>
          <w:tcPr>
            <w:tcW w:type="dxa" w:w="140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Prioridad</w:t>
            </w:r>
          </w:p>
        </w:tc>
        <w:tc>
          <w:tcPr>
            <w:tcW w:type="dxa" w:w="1404"/>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Esfuerzo</w:t>
            </w:r>
          </w:p>
        </w:tc>
        <w:tc>
          <w:tcPr>
            <w:tcW w:type="dxa" w:w="78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Fase</w:t>
            </w:r>
          </w:p>
        </w:tc>
        <w:tc>
          <w:tcPr>
            <w:tcW w:type="dxa" w:w="1872"/>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Bloqueante?</w:t>
            </w:r>
          </w:p>
        </w:tc>
      </w:tr>
      <w:tr>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Sistema de liquidaciones (payout a comercios)</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 semanas</w:t>
            </w:r>
          </w:p>
        </w:tc>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Sí - Lanzamiento</w:t>
            </w:r>
          </w:p>
        </w:tc>
      </w:tr>
      <w:tr>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Cuentas corrientes (deuda por pedidos cash)</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w:t>
            </w:r>
          </w:p>
        </w:tc>
        <w:tc>
          <w:tcPr>
            <w:tcW w:type="dxa" w:w="14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 semana</w:t>
            </w:r>
          </w:p>
        </w:tc>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Sí - Lanzamiento</w:t>
            </w:r>
          </w:p>
        </w:tc>
      </w:tr>
      <w:tr>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Reconciliación automática MP vs Orders</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3-5 días</w:t>
            </w:r>
          </w:p>
        </w:tc>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Sí - Lanzamiento</w:t>
            </w:r>
          </w:p>
        </w:tc>
      </w:tr>
      <w:tr>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OAuth MP para comercios (vincular cuenta)</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w:t>
            </w:r>
          </w:p>
        </w:tc>
        <w:tc>
          <w:tcPr>
            <w:tcW w:type="dxa" w:w="14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3-5 días</w:t>
            </w:r>
          </w:p>
        </w:tc>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Sí - Split Payment</w:t>
            </w:r>
          </w:p>
        </w:tc>
      </w:tr>
      <w:tr>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Reembolsos reales (API MP + reversión)</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Crítico</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3-5 días</w:t>
            </w:r>
          </w:p>
        </w:tc>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Sí - Lanzamiento</w:t>
            </w:r>
          </w:p>
        </w:tc>
      </w:tr>
      <w:tr>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6</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Ajuste comisiones a 12% + audit log</w:t>
            </w:r>
          </w:p>
        </w:tc>
        <w:tc>
          <w:tcPr>
            <w:tcW w:type="dxa" w:w="140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Parcial</w:t>
            </w:r>
          </w:p>
        </w:tc>
        <w:tc>
          <w:tcPr>
            <w:tcW w:type="dxa" w:w="14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2-3 días</w:t>
            </w:r>
          </w:p>
        </w:tc>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Recomendado</w:t>
            </w:r>
          </w:p>
        </w:tc>
      </w:tr>
      <w:tr>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7</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Info bancaria drivers + payout semanal</w:t>
            </w:r>
          </w:p>
        </w:tc>
        <w:tc>
          <w:tcPr>
            <w:tcW w:type="dxa" w:w="140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Parcial</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 semana</w:t>
            </w:r>
          </w:p>
        </w:tc>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Pre-primer pago</w:t>
            </w:r>
          </w:p>
        </w:tc>
      </w:tr>
      <w:tr>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Dashboard P&amp;L automático en OPS</w:t>
            </w:r>
          </w:p>
        </w:tc>
        <w:tc>
          <w:tcPr>
            <w:tcW w:type="dxa" w:w="140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Parcial</w:t>
            </w:r>
          </w:p>
        </w:tc>
        <w:tc>
          <w:tcPr>
            <w:tcW w:type="dxa" w:w="14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 semana</w:t>
            </w:r>
          </w:p>
        </w:tc>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Gestión interna</w:t>
            </w:r>
          </w:p>
        </w:tc>
      </w:tr>
      <w:tr>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9</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Prevención de fraude básica</w:t>
            </w:r>
          </w:p>
        </w:tc>
        <w:tc>
          <w:tcPr>
            <w:tcW w:type="dxa" w:w="140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Parcial</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 semana</w:t>
            </w:r>
          </w:p>
        </w:tc>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Protección revenue</w:t>
            </w:r>
          </w:p>
        </w:tc>
      </w:tr>
      <w:tr>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Surge pricing + delivery dinámico</w:t>
            </w:r>
          </w:p>
        </w:tc>
        <w:tc>
          <w:tcPr>
            <w:tcW w:type="dxa" w:w="1404"/>
            <w:tcBorders>
              <w:top w:val="single" w:color="E0E0E0" w:sz="1"/>
              <w:left w:val="single" w:color="E0E0E0" w:sz="1"/>
              <w:bottom w:val="single" w:color="E0E0E0" w:sz="1"/>
              <w:right w:val="single" w:color="E0E0E0" w:sz="1"/>
            </w:tcBorders>
            <w:shd w:fill="FFF8E1" w:val="clear"/>
            <w:tcMar>
              <w:top w:type="dxa" w:w="60"/>
              <w:left w:type="dxa" w:w="100"/>
              <w:bottom w:type="dxa" w:w="60"/>
              <w:right w:type="dxa" w:w="100"/>
            </w:tcMar>
            <w:vAlign w:val="center"/>
          </w:tcPr>
          <w:p>
            <w:pPr>
              <w:jc w:val="left"/>
            </w:pPr>
            <w:r>
              <w:rPr>
                <w:rFonts w:ascii="Arial" w:cs="Arial" w:eastAsia="Arial" w:hAnsi="Arial"/>
                <w:b/>
                <w:bCs/>
                <w:color w:val="F39C12"/>
                <w:sz w:val="19"/>
                <w:szCs w:val="19"/>
              </w:rPr>
              <w:t xml:space="preserve">Parcial</w:t>
            </w:r>
          </w:p>
        </w:tc>
        <w:tc>
          <w:tcPr>
            <w:tcW w:type="dxa" w:w="14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3-5 días</w:t>
            </w:r>
          </w:p>
        </w:tc>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Optimiza ingresos</w:t>
            </w:r>
          </w:p>
        </w:tc>
      </w:tr>
      <w:tr>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11</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Facturación AFIP / IVA</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Falta</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2-3 semanas</w:t>
            </w:r>
          </w:p>
        </w:tc>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Compliance legal</w:t>
            </w:r>
          </w:p>
        </w:tc>
      </w:tr>
      <w:tr>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w:t>
            </w:r>
          </w:p>
        </w:tc>
        <w:tc>
          <w:tcPr>
            <w:tcW w:type="dxa" w:w="31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Comisiones escalonadas por volumen</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Falta</w:t>
            </w:r>
          </w:p>
        </w:tc>
        <w:tc>
          <w:tcPr>
            <w:tcW w:type="dxa" w:w="1404"/>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 semana</w:t>
            </w:r>
          </w:p>
        </w:tc>
        <w:tc>
          <w:tcPr>
            <w:tcW w:type="dxa" w:w="7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w:t>
            </w:r>
          </w:p>
        </w:tc>
        <w:tc>
          <w:tcPr>
            <w:tcW w:type="dxa" w:w="1872"/>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Retención partners</w:t>
            </w:r>
          </w:p>
        </w:tc>
      </w:tr>
      <w:tr>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13</w:t>
            </w:r>
          </w:p>
        </w:tc>
        <w:tc>
          <w:tcPr>
            <w:tcW w:type="dxa" w:w="31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Servicios premium (MOOVY+, ads, pago acelerado)</w:t>
            </w:r>
          </w:p>
        </w:tc>
        <w:tc>
          <w:tcPr>
            <w:tcW w:type="dxa" w:w="1404"/>
            <w:tcBorders>
              <w:top w:val="single" w:color="E0E0E0" w:sz="1"/>
              <w:left w:val="single" w:color="E0E0E0" w:sz="1"/>
              <w:bottom w:val="single" w:color="E0E0E0" w:sz="1"/>
              <w:right w:val="single" w:color="E0E0E0" w:sz="1"/>
            </w:tcBorders>
            <w:shd w:fill="FFEBEE" w:val="clear"/>
            <w:tcMar>
              <w:top w:type="dxa" w:w="60"/>
              <w:left w:type="dxa" w:w="100"/>
              <w:bottom w:type="dxa" w:w="60"/>
              <w:right w:type="dxa" w:w="100"/>
            </w:tcMar>
            <w:vAlign w:val="center"/>
          </w:tcPr>
          <w:p>
            <w:pPr>
              <w:jc w:val="left"/>
            </w:pPr>
            <w:r>
              <w:rPr>
                <w:rFonts w:ascii="Arial" w:cs="Arial" w:eastAsia="Arial" w:hAnsi="Arial"/>
                <w:b/>
                <w:bCs/>
                <w:color w:val="E74C3C"/>
                <w:sz w:val="19"/>
                <w:szCs w:val="19"/>
              </w:rPr>
              <w:t xml:space="preserve">Falta</w:t>
            </w:r>
          </w:p>
        </w:tc>
        <w:tc>
          <w:tcPr>
            <w:tcW w:type="dxa" w:w="140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2-3 semanas</w:t>
            </w:r>
          </w:p>
        </w:tc>
        <w:tc>
          <w:tcPr>
            <w:tcW w:type="dxa" w:w="7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w:t>
            </w:r>
          </w:p>
        </w:tc>
        <w:tc>
          <w:tcPr>
            <w:tcW w:type="dxa" w:w="1872"/>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Diversifica revenue</w:t>
            </w:r>
          </w:p>
        </w:tc>
      </w:tr>
    </w:tbl>
    <w:p>
      <w:pPr>
        <w:spacing w:after="80"/>
      </w:pPr>
    </w:p>
    <w:p>
      <w:pPr>
        <w:pStyle w:val="Heading1"/>
        <w:spacing w:after="200" w:before="360"/>
      </w:pPr>
      <w:r>
        <w:rPr>
          <w:rFonts w:ascii="Arial" w:cs="Arial" w:eastAsia="Arial" w:hAnsi="Arial"/>
          <w:b/>
          <w:bCs/>
          <w:color w:val="6C3FA0"/>
          <w:sz w:val="32"/>
          <w:szCs w:val="32"/>
        </w:rPr>
        <w:t xml:space="preserve">8. Modelo Financiero Proyectado — Primeros 6 Meses</w:t>
      </w:r>
    </w:p>
    <w:p>
      <w:pPr>
        <w:spacing w:after="120"/>
      </w:pPr>
      <w:r>
        <w:rPr>
          <w:rFonts w:ascii="Arial" w:cs="Arial" w:eastAsia="Arial" w:hAnsi="Arial"/>
          <w:color w:val="2D2D3F"/>
          <w:sz w:val="20"/>
          <w:szCs w:val="20"/>
        </w:rPr>
        <w:t xml:space="preserve">Proyección conservadora para el lanzamiento en Ushuaia con 15 comercios iniciales y escalamiento gradual: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200"/>
      </w:tblGrid>
      <w:tr>
        <w:tc>
          <w:tcPr>
            <w:tcW w:type="dxa" w:w="156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Métrica</w:t>
            </w:r>
          </w:p>
        </w:tc>
        <w:tc>
          <w:tcPr>
            <w:tcW w:type="dxa" w:w="130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 1</w:t>
            </w:r>
          </w:p>
        </w:tc>
        <w:tc>
          <w:tcPr>
            <w:tcW w:type="dxa" w:w="130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 2</w:t>
            </w:r>
          </w:p>
        </w:tc>
        <w:tc>
          <w:tcPr>
            <w:tcW w:type="dxa" w:w="130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 3</w:t>
            </w:r>
          </w:p>
        </w:tc>
        <w:tc>
          <w:tcPr>
            <w:tcW w:type="dxa" w:w="130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 4</w:t>
            </w:r>
          </w:p>
        </w:tc>
        <w:tc>
          <w:tcPr>
            <w:tcW w:type="dxa" w:w="130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 5</w:t>
            </w:r>
          </w:p>
        </w:tc>
        <w:tc>
          <w:tcPr>
            <w:tcW w:type="dxa" w:w="1200"/>
            <w:tcBorders>
              <w:top w:val="single" w:color="E0E0E0" w:sz="1"/>
              <w:left w:val="single" w:color="E0E0E0" w:sz="1"/>
              <w:bottom w:val="single" w:color="E0E0E0" w:sz="1"/>
              <w:right w:val="single" w:color="E0E0E0" w:sz="1"/>
            </w:tcBorders>
            <w:shd w:fill="6C3FA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 6</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Comercios activos</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15</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22</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30</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38</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45</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50</w:t>
            </w:r>
          </w:p>
        </w:tc>
      </w:tr>
      <w:tr>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Pedidos/día</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20</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40</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70</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100</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130</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160</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Ticket promedio</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$8,000</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$8,500</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$9,000</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$9,000</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$9,500</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$10,000</w:t>
            </w:r>
          </w:p>
        </w:tc>
      </w:tr>
      <w:tr>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GMV mensual</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$4.8M</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$10.2M</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$18.9M</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$27M</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$37M</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$48M</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Comisión aplicada</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15%</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15%</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18%</w:t>
            </w:r>
          </w:p>
        </w:tc>
      </w:tr>
      <w:tr>
        <w:tc>
          <w:tcPr>
            <w:tcW w:type="dxa" w:w="1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Revenue comisiones</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$576K</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$1.22M</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$2.27M</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$4.05M</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$5.55M</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$8.64M</w:t>
            </w:r>
          </w:p>
        </w:tc>
      </w:tr>
      <w:tr>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rFonts w:ascii="Arial" w:cs="Arial" w:eastAsia="Arial" w:hAnsi="Arial"/>
                <w:b/>
                <w:bCs/>
                <w:color w:val="2D2D3F"/>
                <w:sz w:val="19"/>
                <w:szCs w:val="19"/>
              </w:rPr>
              <w:t xml:space="preserve">Revenue delivery</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$120K</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$240K</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$420K</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$600K</w:t>
            </w:r>
          </w:p>
        </w:tc>
        <w:tc>
          <w:tcPr>
            <w:tcW w:type="dxa" w:w="13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$780K</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D2D3F"/>
                <w:sz w:val="19"/>
                <w:szCs w:val="19"/>
              </w:rPr>
              <w:t xml:space="preserve">$960K</w:t>
            </w:r>
          </w:p>
        </w:tc>
      </w:tr>
      <w:tr>
        <w:tc>
          <w:tcPr>
            <w:tcW w:type="dxa" w:w="15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left"/>
            </w:pPr>
            <w:r>
              <w:rPr>
                <w:rFonts w:ascii="Arial" w:cs="Arial" w:eastAsia="Arial" w:hAnsi="Arial"/>
                <w:b/>
                <w:bCs/>
                <w:color w:val="27AE60"/>
                <w:sz w:val="19"/>
                <w:szCs w:val="19"/>
              </w:rPr>
              <w:t xml:space="preserve">REVENUE TOTAL</w:t>
            </w:r>
          </w:p>
        </w:tc>
        <w:tc>
          <w:tcPr>
            <w:tcW w:type="dxa" w:w="13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$696K</w:t>
            </w:r>
          </w:p>
        </w:tc>
        <w:tc>
          <w:tcPr>
            <w:tcW w:type="dxa" w:w="13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$1.46M</w:t>
            </w:r>
          </w:p>
        </w:tc>
        <w:tc>
          <w:tcPr>
            <w:tcW w:type="dxa" w:w="13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$2.69M</w:t>
            </w:r>
          </w:p>
        </w:tc>
        <w:tc>
          <w:tcPr>
            <w:tcW w:type="dxa" w:w="13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$4.65M</w:t>
            </w:r>
          </w:p>
        </w:tc>
        <w:tc>
          <w:tcPr>
            <w:tcW w:type="dxa" w:w="13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$6.33M</w:t>
            </w:r>
          </w:p>
        </w:tc>
        <w:tc>
          <w:tcPr>
            <w:tcW w:type="dxa" w:w="12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vAlign w:val="center"/>
          </w:tcPr>
          <w:p>
            <w:pPr>
              <w:jc w:val="center"/>
            </w:pPr>
            <w:r>
              <w:rPr>
                <w:rFonts w:ascii="Arial" w:cs="Arial" w:eastAsia="Arial" w:hAnsi="Arial"/>
                <w:b/>
                <w:bCs/>
                <w:color w:val="27AE60"/>
                <w:sz w:val="19"/>
                <w:szCs w:val="19"/>
              </w:rPr>
              <w:t xml:space="preserve">$9.6M</w:t>
            </w:r>
          </w:p>
        </w:tc>
      </w:tr>
    </w:tbl>
    <w:p>
      <w:pPr>
        <w:spacing w:after="80"/>
      </w:pPr>
    </w:p>
    <w:p>
      <w:pPr>
        <w:spacing w:after="120"/>
      </w:pPr>
      <w:r>
        <w:rPr>
          <w:rFonts w:ascii="Arial" w:cs="Arial" w:eastAsia="Arial" w:hAnsi="Arial"/>
          <w:color w:val="2D2D3F"/>
          <w:sz w:val="20"/>
          <w:szCs w:val="20"/>
        </w:rPr>
        <w:t xml:space="preserve">Nota: GMV en pesos argentinos. Revenue delivery = 20% del fee de envío retenido por MOOVY. Proyección no incluye revenue de servicios premium ni MOOVY+. Valores conservadores para mercado pequeño (Ushuaia, ~80K habitantes).</w:t>
      </w:r>
    </w:p>
    <w:p>
      <w:pPr>
        <w:spacing w:after="80"/>
      </w:pPr>
    </w:p>
    <w:p>
      <w:pPr>
        <w:pStyle w:val="Heading1"/>
        <w:spacing w:after="200" w:before="360"/>
      </w:pPr>
      <w:r>
        <w:rPr>
          <w:rFonts w:ascii="Arial" w:cs="Arial" w:eastAsia="Arial" w:hAnsi="Arial"/>
          <w:b/>
          <w:bCs/>
          <w:color w:val="6C3FA0"/>
          <w:sz w:val="32"/>
          <w:szCs w:val="32"/>
        </w:rPr>
        <w:t xml:space="preserve">9. Conclusiones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74C3C" w:sz="12"/>
              <w:bottom w:val="none" w:sz="0"/>
              <w:right w:val="none" w:sz="0"/>
            </w:tcBorders>
            <w:shd w:fill="FFEBEE" w:val="clear"/>
            <w:tcMar>
              <w:top w:type="dxa" w:w="100"/>
              <w:left w:type="dxa" w:w="160"/>
              <w:bottom w:type="dxa" w:w="100"/>
              <w:right w:type="dxa" w:w="160"/>
            </w:tcMar>
          </w:tcPr>
          <w:p>
            <w:r>
              <w:rPr>
                <w:rFonts w:ascii="Arial" w:cs="Arial" w:eastAsia="Arial" w:hAnsi="Arial"/>
                <w:b/>
                <w:bCs/>
                <w:color w:val="E74C3C"/>
                <w:sz w:val="20"/>
                <w:szCs w:val="20"/>
              </w:rPr>
              <w:t xml:space="preserve">VEREDICTO: MOOVY tiene la base, pero NO está listo para manejar dinero real</w:t>
            </w:r>
          </w:p>
          <w:p>
            <w:pPr>
              <w:spacing w:before="60"/>
            </w:pPr>
            <w:r>
              <w:rPr>
                <w:rFonts w:ascii="Arial" w:cs="Arial" w:eastAsia="Arial" w:hAnsi="Arial"/>
                <w:color w:val="2D2D3F"/>
                <w:sz w:val="19"/>
                <w:szCs w:val="19"/>
              </w:rPr>
              <w:t xml:space="preserve">El sistema calcula correctamente, registra correctamente, y muestra correctamente las finanzas. Pero la capa de EJECUCIÓN de pagos (liquidaciones, reembolsos, cobro de comisiones cash) simplemente no existe. Lanzar sin esto significaría que MOOVY genera comisiones en papel que nunca cobra.</w:t>
            </w:r>
          </w:p>
        </w:tc>
      </w:tr>
    </w:tbl>
    <w:p>
      <w:pPr>
        <w:spacing w:after="80"/>
      </w:pPr>
    </w:p>
    <w:p>
      <w:pPr>
        <w:pStyle w:val="Heading2"/>
        <w:spacing w:after="160" w:before="280"/>
      </w:pPr>
      <w:r>
        <w:rPr>
          <w:rFonts w:ascii="Arial" w:cs="Arial" w:eastAsia="Arial" w:hAnsi="Arial"/>
          <w:b/>
          <w:bCs/>
          <w:color w:val="2D2D3F"/>
          <w:sz w:val="26"/>
          <w:szCs w:val="26"/>
        </w:rPr>
        <w:t xml:space="preserve">9.1 Las 5 Acciones Inmediatas</w:t>
      </w:r>
    </w:p>
    <w:p>
      <w:pPr>
        <w:pStyle w:val="ListParagraph"/>
        <w:numPr>
          <w:ilvl w:val="0"/>
          <w:numId w:val="3"/>
        </w:numPr>
        <w:spacing w:after="80"/>
      </w:pPr>
      <w:r>
        <w:rPr>
          <w:rFonts w:ascii="Arial" w:cs="Arial" w:eastAsia="Arial" w:hAnsi="Arial"/>
          <w:color w:val="2D2D3F"/>
          <w:sz w:val="20"/>
          <w:szCs w:val="20"/>
        </w:rPr>
        <w:t xml:space="preserve">Construir el sistema de liquidaciones automáticas (pago a comercios, sellers, drivers).</w:t>
      </w:r>
    </w:p>
    <w:p>
      <w:pPr>
        <w:pStyle w:val="ListParagraph"/>
        <w:numPr>
          <w:ilvl w:val="0"/>
          <w:numId w:val="3"/>
        </w:numPr>
        <w:spacing w:after="80"/>
      </w:pPr>
      <w:r>
        <w:rPr>
          <w:rFonts w:ascii="Arial" w:cs="Arial" w:eastAsia="Arial" w:hAnsi="Arial"/>
          <w:color w:val="2D2D3F"/>
          <w:sz w:val="20"/>
          <w:szCs w:val="20"/>
        </w:rPr>
        <w:t xml:space="preserve">Implementar cuentas corrientes para cobrar comisiones de pedidos en efectivo.</w:t>
      </w:r>
    </w:p>
    <w:p>
      <w:pPr>
        <w:pStyle w:val="ListParagraph"/>
        <w:numPr>
          <w:ilvl w:val="0"/>
          <w:numId w:val="3"/>
        </w:numPr>
        <w:spacing w:after="80"/>
      </w:pPr>
      <w:r>
        <w:rPr>
          <w:rFonts w:ascii="Arial" w:cs="Arial" w:eastAsia="Arial" w:hAnsi="Arial"/>
          <w:color w:val="2D2D3F"/>
          <w:sz w:val="20"/>
          <w:szCs w:val="20"/>
        </w:rPr>
        <w:t xml:space="preserve">Subir las comisiones al 12% y agregar audit log de cambios de tasas.</w:t>
      </w:r>
    </w:p>
    <w:p>
      <w:pPr>
        <w:pStyle w:val="ListParagraph"/>
        <w:numPr>
          <w:ilvl w:val="0"/>
          <w:numId w:val="3"/>
        </w:numPr>
        <w:spacing w:after="80"/>
      </w:pPr>
      <w:r>
        <w:rPr>
          <w:rFonts w:ascii="Arial" w:cs="Arial" w:eastAsia="Arial" w:hAnsi="Arial"/>
          <w:color w:val="2D2D3F"/>
          <w:sz w:val="20"/>
          <w:szCs w:val="20"/>
        </w:rPr>
        <w:t xml:space="preserve">Conectar el OAuth de MercadoPago para que comercios vinculen sus cuentas.</w:t>
      </w:r>
    </w:p>
    <w:p>
      <w:pPr>
        <w:pStyle w:val="ListParagraph"/>
        <w:numPr>
          <w:ilvl w:val="0"/>
          <w:numId w:val="3"/>
        </w:numPr>
        <w:spacing w:after="80"/>
      </w:pPr>
      <w:r>
        <w:rPr>
          <w:rFonts w:ascii="Arial" w:cs="Arial" w:eastAsia="Arial" w:hAnsi="Arial"/>
          <w:color w:val="2D2D3F"/>
          <w:sz w:val="20"/>
          <w:szCs w:val="20"/>
        </w:rPr>
        <w:t xml:space="preserve">Activar reconciliación automática entre Orders y Payments.</w:t>
      </w:r>
    </w:p>
    <w:p>
      <w:pPr>
        <w:spacing w:after="80"/>
      </w:pPr>
    </w:p>
    <w:p>
      <w:pPr>
        <w:pStyle w:val="Heading2"/>
        <w:spacing w:after="160" w:before="280"/>
      </w:pPr>
      <w:r>
        <w:rPr>
          <w:rFonts w:ascii="Arial" w:cs="Arial" w:eastAsia="Arial" w:hAnsi="Arial"/>
          <w:b/>
          <w:bCs/>
          <w:color w:val="2D2D3F"/>
          <w:sz w:val="26"/>
          <w:szCs w:val="26"/>
        </w:rPr>
        <w:t xml:space="preserve">9.2 Timeline Sugerido</w:t>
      </w:r>
    </w:p>
    <w:p>
      <w:pPr>
        <w:spacing w:after="120"/>
      </w:pPr>
      <w:r>
        <w:rPr>
          <w:rFonts w:ascii="Arial" w:cs="Arial" w:eastAsia="Arial" w:hAnsi="Arial"/>
          <w:color w:val="2D2D3F"/>
          <w:sz w:val="20"/>
          <w:szCs w:val="20"/>
        </w:rPr>
        <w:t xml:space="preserve">Fase 1 (Semanas 1-3): Features bloqueantes — liquidaciones, cuentas corrientes, reconciliación, OAuth MP, reembolsos reales. Sin esto, NO se lanza.</w:t>
      </w:r>
    </w:p>
    <w:p>
      <w:pPr>
        <w:spacing w:after="80"/>
      </w:pPr>
    </w:p>
    <w:p>
      <w:pPr>
        <w:spacing w:after="120"/>
      </w:pPr>
      <w:r>
        <w:rPr>
          <w:rFonts w:ascii="Arial" w:cs="Arial" w:eastAsia="Arial" w:hAnsi="Arial"/>
          <w:color w:val="2D2D3F"/>
          <w:sz w:val="20"/>
          <w:szCs w:val="20"/>
        </w:rPr>
        <w:t xml:space="preserve">Fase 2 (Semanas 4-6): Optimización — info bancaria drivers, P&amp;L dashboard, prevención fraude básica, surge pricing. Esto protege el revenue.</w:t>
      </w:r>
    </w:p>
    <w:p>
      <w:pPr>
        <w:spacing w:after="80"/>
      </w:pPr>
    </w:p>
    <w:p>
      <w:pPr>
        <w:spacing w:after="120"/>
      </w:pPr>
      <w:r>
        <w:rPr>
          <w:rFonts w:ascii="Arial" w:cs="Arial" w:eastAsia="Arial" w:hAnsi="Arial"/>
          <w:color w:val="2D2D3F"/>
          <w:sz w:val="20"/>
          <w:szCs w:val="20"/>
        </w:rPr>
        <w:t xml:space="preserve">Fase 3 (Meses 2-3): Crecimiento — facturación AFIP, comisiones escalonadas, servicios premium. Esto diversifica ingresos y asegura compliance.</w:t>
      </w:r>
    </w:p>
    <w:p>
      <w:pPr>
        <w:spacing w:after="80"/>
      </w:pPr>
    </w:p>
    <w:p>
      <w:pPr>
        <w:spacing w:after="120"/>
      </w:pPr>
      <w:r>
        <w:rPr>
          <w:rFonts w:ascii="Arial" w:cs="Arial" w:eastAsia="Arial" w:hAnsi="Arial"/>
          <w:color w:val="2D2D3F"/>
          <w:sz w:val="20"/>
          <w:szCs w:val="20"/>
        </w:rPr>
        <w:t xml:space="preserve">Este documento es la base para tomar decisiones informadas sobre el lanzamiento de MOOVY. Cada feature mencionada puede desglosarse en tareas técnicas concretas y asignarse a ramas de desarrollo siguiendo el workflow establecido del 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Confidencial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FA0" w:sz="2" w:space="1"/>
      </w:pBdr>
      <w:tabs>
        <w:tab w:val="right" w:pos="9026"/>
      </w:tabs>
    </w:pPr>
    <w:r>
      <w:rPr>
        <w:rFonts w:ascii="Arial" w:cs="Arial" w:eastAsia="Arial" w:hAnsi="Arial"/>
        <w:color w:val="999999"/>
        <w:sz w:val="16"/>
        <w:szCs w:val="16"/>
      </w:rPr>
      <w:t xml:space="preserve">MOOVY — Auditoría Financiera Pre-Lanzamiento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3FA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3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2D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2026-03-18T14:15:47.748Z</dcterms:created>
  <dcterms:modified xsi:type="dcterms:W3CDTF">2026-03-18T14:15:47.749Z</dcterms:modified>
</cp:coreProperties>
</file>

<file path=docProps/custom.xml><?xml version="1.0" encoding="utf-8"?>
<Properties xmlns="http://schemas.openxmlformats.org/officeDocument/2006/custom-properties" xmlns:vt="http://schemas.openxmlformats.org/officeDocument/2006/docPropsVTypes"/>
</file>