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06-07-2020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06-07-2020 17:04:12</w:t>
      </w:r>
    </w:p>
    <w:p>
      <w:pPr/>
      <w:r>
        <w:rPr/>
        <w:t xml:space="preserve">Psychologist’s Name: Lizaveta Zeldzina </w:t>
      </w:r>
    </w:p>
    <w:p>
      <w:pPr/>
      <w:r>
        <w:rPr/>
        <w:t xml:space="preserve">Client name: Luke Peter Hassan </w:t>
      </w:r>
    </w:p>
    <w:p>
      <w:pPr/>
      <w:r>
        <w:rPr/>
        <w:t xml:space="preserve">Client DOB: 1990-02-07</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5 or more characteristics of Attention Deficit found in adulthood.</w:t>
      </w:r>
    </w:p>
    <w:p>
      <w:pPr>
        <w:numPr>
          <w:ilvl w:val="1"/>
          <w:numId w:val="3"/>
        </w:numPr>
      </w:pPr>
      <w:r>
        <w:rPr/>
        <w:t xml:space="preserve">There were 5 or more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r>
              <w:rPr/>
              <w:t xml:space="preserve"/>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9/9</w:t>
            </w:r>
          </w:p>
        </w:tc>
        <w:tc>
          <w:tcPr>
            <w:tcW w:w="400" w:type="dxa"/>
            <w:vAlign w:val="center"/>
            <w:shd w:val="clear" w:fill="00B6F0"/>
          </w:tcPr>
          <w:p>
            <w:pPr>
              <w:jc w:val="center"/>
            </w:pPr>
            <w:r>
              <w:rPr>
                <w:sz w:val="20"/>
                <w:szCs w:val="20"/>
                <w:b w:val="1"/>
                <w:bCs w:val="1"/>
              </w:rPr>
              <w:t xml:space="preserve">8/9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9/9</w:t>
            </w:r>
          </w:p>
        </w:tc>
        <w:tc>
          <w:tcPr>
            <w:tcW w:w="400" w:type="dxa"/>
            <w:vAlign w:val="center"/>
            <w:shd w:val="clear" w:fill="00B6F0"/>
          </w:tcPr>
          <w:p>
            <w:pPr>
              <w:jc w:val="center"/>
            </w:pPr>
            <w:r>
              <w:rPr>
                <w:b w:val="1"/>
                <w:bCs w:val="1"/>
              </w:rPr>
              <w:t xml:space="preserve">9/9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Luke Peter Hassan `s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96pt; height:10pt; margin-left:0pt; margin-top:0pt; mso-position-horizontal:left; mso-position-vertical:top; mso-position-horizontal-relative:char; mso-position-vertical-relative:line;">
            <w10:wrap type="inline"/>
            <v:imagedata r:id="rId9" o:title=""/>
          </v:shape>
        </w:pict>
      </w:r>
      <w:r>
        <w:rPr/>
        <w:t xml:space="preserve"> (8)</w:t>
      </w:r>
      <w:br/>
      <w:br/>
      <w:r>
        <w:pict>
          <v:shape type="#_x0000_t75" style="width:108pt; height:10pt; margin-left:0pt; margin-top:0pt; mso-position-horizontal:left; mso-position-vertical:top; mso-position-horizontal-relative:char; mso-position-vertical-relative:line;">
            <w10:wrap type="inline"/>
            <v:imagedata r:id="rId9" o:title=""/>
          </v:shape>
        </w:pict>
      </w:r>
      <w:r>
        <w:rPr/>
        <w:t xml:space="preserve"> (9)</w:t>
      </w:r>
      <w:br/>
      <w:br/>
      <w:r>
        <w:pict>
          <v:shape type="#_x0000_t75" style="width:135pt; height:10pt; margin-left:0pt; margin-top:0pt; mso-position-horizontal:left; mso-position-vertical:top; mso-position-horizontal-relative:char; mso-position-vertical-relative:line;">
            <w10:wrap type="inline"/>
            <v:imagedata r:id="rId10" o:title=""/>
          </v:shape>
        </w:pict>
      </w:r>
      <w:r>
        <w:rPr/>
        <w:t xml:space="preserve"> 8 (Threshold - 5)</w:t>
      </w:r>
      <w:br/>
      <w:br/>
      <w:r>
        <w:pict>
          <v:shape type="#_x0000_t75" style="width:135pt; height:10pt; margin-left:0pt; margin-top:0pt; mso-position-horizontal:left; mso-position-vertical:top; mso-position-horizontal-relative:char; mso-position-vertical-relative:line;">
            <w10:wrap type="inline"/>
            <v:imagedata r:id="rId10"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0" o:title=""/>
          </v:shape>
        </w:pict>
      </w:r>
      <w:r>
        <w:rPr/>
        <w:t xml:space="preserve"> 9 (Threshold - 5)</w:t>
      </w:r>
      <w:br/>
      <w:br/>
      <w:r>
        <w:pict>
          <v:shape type="#_x0000_t75" style="width:50pt; height:10pt; margin-left:0pt; margin-top:0pt; mso-position-horizontal:left; mso-position-vertical:top; mso-position-horizontal-relative:char; mso-position-vertical-relative:line;">
            <w10:wrap type="inline"/>
            <v:imagedata r:id="rId11" o:title=""/>
          </v:shape>
        </w:pict>
      </w:r>
      <w:br/>
      <w:br/>
      <w:r>
        <w:pict>
          <v:shape type="#_x0000_t75" style="width:135pt; height:10pt; margin-left:0pt; margin-top:0pt; mso-position-horizontal:left; mso-position-vertical:top; mso-position-horizontal-relative:char; mso-position-vertical-relative:line;">
            <w10:wrap type="inline"/>
            <v:imagedata r:id="rId12" o:title=""/>
          </v:shape>
        </w:pict>
      </w:r>
      <w:r>
        <w:rPr/>
        <w:t xml:space="preserve"> 2 ( Threshold - 2)</w:t>
      </w:r>
      <w:br/>
      <w:br/>
      <w:r>
        <w:pict>
          <v:shape type="#_x0000_t75" style="width:135pt; height:10pt; margin-left:0pt; margin-top:0pt; mso-position-horizontal:left; mso-position-vertical:top; mso-position-horizontal-relative:char; mso-position-vertical-relative:line;">
            <w10:wrap type="inline"/>
            <v:imagedata r:id="rId13" o:title=""/>
          </v:shape>
        </w:pict>
      </w:r>
      <w:r>
        <w:rPr/>
        <w:t xml:space="preserve"> 4 ( Threshold - 2)</w:t>
      </w:r>
      <w:br/>
      <w:br/>
      <w:r>
        <w:pict>
          <v:shape type="#_x0000_t75" style="width:50pt; height:10pt; margin-left:0pt; margin-top:0pt; mso-position-horizontal:left; mso-position-vertical:top; mso-position-horizontal-relative:char; mso-position-vertical-relative:line;">
            <w10:wrap type="inline"/>
            <v:imagedata r:id="rId11" o:title=""/>
          </v:shape>
        </w:pict>
      </w:r>
      <w:br/>
      <w:br/>
      <w:r>
        <w:pict>
          <v:shape type="#_x0000_t75" style="width:50pt; height:10pt; margin-left:0pt; margin-top:0pt; mso-position-horizontal:left; mso-position-vertical:top; mso-position-horizontal-relative:char; mso-position-vertical-relative:line;">
            <w10:wrap type="inline"/>
            <v:imagedata r:id="rId11"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1"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4"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5"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9"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Luke Peter Hassan 's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Tire quickly of a workplace</w:t>
            </w:r>
          </w:p>
          <w:p>
            <w:pPr/>
            <w:r>
              <w:rPr/>
              <w:t xml:space="preserve">Pattern of many short-lasting jobs</w:t>
            </w:r>
          </w:p>
        </w:tc>
      </w:tr>
      <w:tr>
        <w:trPr>
          <w:trHeight w:val="300" w:hRule="atLeast"/>
        </w:trPr>
        <w:tc>
          <w:tcPr/>
          <w:p>
            <w:pPr/>
            <w:r>
              <w:rPr/>
              <w:t xml:space="preserve">Relationship and/or family</w:t>
            </w:r>
          </w:p>
        </w:tc>
        <w:tc>
          <w:tcPr/>
          <w:p>
            <w:pPr/>
            <w:r>
              <w:rPr/>
              <w:t xml:space="preserve">Impulsively commencing/ending relationships</w:t>
            </w:r>
          </w:p>
          <w:p>
            <w:pPr/>
            <w:r>
              <w:rPr/>
              <w:t xml:space="preserve">Relationship problems, lots of arguments, lack of intimacy</w:t>
            </w:r>
          </w:p>
        </w:tc>
      </w:tr>
      <w:tr>
        <w:trPr>
          <w:trHeight w:val="300" w:hRule="atLeast"/>
        </w:trPr>
        <w:tc>
          <w:tcPr>
            <w:tcW w:type="dxa"/>
          </w:tcPr>
          <w:p>
            <w:pPr/>
            <w:r>
              <w:rPr/>
              <w:t xml:space="preserve">Social contacts</w:t>
            </w:r>
          </w:p>
        </w:tc>
        <w:tc>
          <w:tcPr/>
          <w:p>
            <w:pPr/>
            <w:r>
              <w:rPr/>
              <w:t xml:space="preserve">Difficultly maintaining social contacts</w:t>
            </w:r>
          </w:p>
          <w:p>
            <w:pPr/>
            <w:r>
              <w:rPr/>
              <w:t xml:space="preserve">Difficulty initiating social contacts</w:t>
            </w:r>
          </w:p>
          <w:p>
            <w:pPr/>
            <w:r>
              <w:rPr/>
              <w:t xml:space="preserve">Not being attentive (i.e. forget to send a card/ empathising/phoning, etc)</w:t>
            </w:r>
          </w:p>
        </w:tc>
      </w:tr>
      <w:tr>
        <w:trPr>
          <w:trHeight w:val="300" w:hRule="atLeast"/>
        </w:trPr>
        <w:tc>
          <w:tcPr/>
          <w:p>
            <w:pPr/>
            <w:r>
              <w:rPr/>
              <w:t xml:space="preserve">Free time / hobby</w:t>
            </w:r>
          </w:p>
        </w:tc>
        <w:tc>
          <w:tcPr/>
          <w:p/>
        </w:tc>
      </w:tr>
      <w:tr>
        <w:trPr>
          <w:trHeight w:val="300" w:hRule="atLeast"/>
        </w:trPr>
        <w:tc>
          <w:tcPr/>
          <w:p>
            <w:pPr/>
            <w:r>
              <w:rPr/>
              <w:t xml:space="preserve">Self-confidence / self-image</w:t>
            </w:r>
          </w:p>
        </w:tc>
        <w:tc>
          <w:tcPr/>
          <w:p>
            <w:pPr/>
            <w:r>
              <w:rPr/>
              <w:t xml:space="preserve">Excessive intense reaction to criticism</w:t>
            </w: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Luke Peter Hassan `s presentation, history and diagnostic tools interpretation are indicative of the following diagnosis (DSM-5): </w:t>
      </w:r>
    </w:p>
    <w:p>
      <w:pPr>
        <w:numPr>
          <w:ilvl w:val="0"/>
          <w:numId w:val="2"/>
        </w:numPr>
      </w:pPr>
      <w:r>
        <w:rPr/>
        <w:t xml:space="preserve">314.01 Combined presentation type</w:t>
      </w:r>
    </w:p>
    <w:p/>
    <w:p>
      <w:pPr/>
      <w:r>
        <w:rPr>
          <w:sz w:val="24"/>
          <w:szCs w:val="24"/>
          <w:b w:val="1"/>
          <w:bCs w:val="1"/>
        </w:rPr>
        <w:t xml:space="preserve">Treatment Plan</w:t>
      </w:r>
    </w:p>
    <w:p>
      <w:pPr/>
      <w:r>
        <w:rPr/>
        <w:t xml:space="preserve">In accordance with widely accepted guidelines, and as applicable in Luke Peter Hassan ’s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Lizaveta Zeldzina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5F5A7E2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C3287A95"/>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F437CB1E"/>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jp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image" Target="media/section_image8.jpg"/><Relationship Id="rId15" Type="http://schemas.openxmlformats.org/officeDocument/2006/relationships/image" Target="media/section_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2020-07-06T17:04:12+03:00</dcterms:created>
  <dcterms:modified xsi:type="dcterms:W3CDTF">2020-07-06T17:04:12+03:00</dcterms:modified>
</cp:coreProperties>
</file>

<file path=docProps/custom.xml><?xml version="1.0" encoding="utf-8"?>
<Properties xmlns="http://schemas.openxmlformats.org/officeDocument/2006/custom-properties" xmlns:vt="http://schemas.openxmlformats.org/officeDocument/2006/docPropsVTypes"/>
</file>