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3"/>
        </w:numPr>
      </w:pPr>
      <w:r>
        <w:t xml:space="preserve">Формулы и их отображения</w:t>
      </w:r>
    </w:p>
    <w:p>
      <w:pPr>
        <w:numPr>
          <w:ilvl w:val="0"/>
          <w:numId w:val="1000"/>
        </w:numPr>
      </w:pPr>
      <w:r>
        <w:t xml:space="preserve">Верхние и нижние индексы:</w:t>
      </w:r>
    </w:p>
    <w:p>
      <w:pPr>
        <w:numPr>
          <w:ilvl w:val="0"/>
          <w:numId w:val="1000"/>
        </w:numPr>
      </w:pPr>
      <w:r>
        <w:t xml:space="preserve">Нижний индекс 𝐻2 записываем так: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Верхний индекс 2 в степени 10 записываем так: 2</w:t>
      </w:r>
      <w:r>
        <w:rPr>
          <w:vertAlign w:val="superscript"/>
        </w:rPr>
        <w:t xml:space="preserve">10</w:t>
      </w:r>
    </w:p>
    <w:p>
      <w:pPr>
        <w:numPr>
          <w:ilvl w:val="0"/>
          <w:numId w:val="1000"/>
        </w:numPr>
      </w:pPr>
      <w:r>
        <w:t xml:space="preserve">Внутритекстовые формулы делаются аналогично формулам LaTeX. Например, формула sin2(𝑥) + cos2(𝑥) = 1 запишется как:</w:t>
      </w:r>
    </w:p>
    <w:p>
      <w:pPr>
        <w:numPr>
          <w:ilvl w:val="0"/>
          <w:numId w:val="1000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3733800" cy="609301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2024-02-29T20:05:01Z</dcterms:created>
  <dcterms:modified xsi:type="dcterms:W3CDTF">2024-02-29T20:05:01Z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