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0009" w:rsidRDefault="00000000">
      <w:pPr>
        <w:spacing w:after="60"/>
      </w:pPr>
      <w:r>
        <w:rPr>
          <w:b/>
          <w:bCs/>
          <w:color w:val="1F4E5F"/>
          <w:sz w:val="24"/>
          <w:szCs w:val="24"/>
        </w:rPr>
        <w:t>PROPOSAL</w:t>
      </w:r>
    </w:p>
    <w:p w:rsidR="00BE0009" w:rsidRDefault="00000000">
      <w:pPr>
        <w:spacing w:after="200"/>
      </w:pPr>
      <w:r>
        <w:rPr>
          <w:b/>
          <w:bCs/>
          <w:color w:val="1A1A1A"/>
          <w:sz w:val="44"/>
          <w:szCs w:val="44"/>
        </w:rPr>
        <w:t>GERS Symposium Website Platform &amp; Brand Identity</w:t>
      </w:r>
    </w:p>
    <w:p w:rsidR="00BE0009" w:rsidRDefault="00000000">
      <w:pPr>
        <w:spacing w:after="60"/>
      </w:pPr>
      <w:r>
        <w:rPr>
          <w:color w:val="595959"/>
          <w:sz w:val="22"/>
          <w:szCs w:val="22"/>
        </w:rPr>
        <w:t xml:space="preserve">Prepared for: GERS Team, </w:t>
      </w:r>
      <w:proofErr w:type="spellStart"/>
      <w:r>
        <w:rPr>
          <w:color w:val="595959"/>
          <w:sz w:val="22"/>
          <w:szCs w:val="22"/>
        </w:rPr>
        <w:t>GDEnv</w:t>
      </w:r>
      <w:proofErr w:type="spellEnd"/>
      <w:r>
        <w:rPr>
          <w:color w:val="595959"/>
          <w:sz w:val="22"/>
          <w:szCs w:val="22"/>
        </w:rPr>
        <w:t xml:space="preserve"> / University of Johannesburg</w:t>
      </w:r>
    </w:p>
    <w:p w:rsidR="00BE0009" w:rsidRDefault="00000000">
      <w:pPr>
        <w:spacing w:after="60"/>
      </w:pPr>
      <w:r>
        <w:rPr>
          <w:color w:val="595959"/>
          <w:sz w:val="22"/>
          <w:szCs w:val="22"/>
        </w:rPr>
        <w:t>Prepared by: Innocent Mpeta</w:t>
      </w:r>
    </w:p>
    <w:p w:rsidR="00BE0009" w:rsidRDefault="00000000">
      <w:pPr>
        <w:spacing w:after="300"/>
      </w:pPr>
      <w:r>
        <w:rPr>
          <w:color w:val="595959"/>
          <w:sz w:val="22"/>
          <w:szCs w:val="22"/>
        </w:rPr>
        <w:t>Date: 10 July 2026</w:t>
      </w:r>
    </w:p>
    <w:p w:rsidR="00BE0009" w:rsidRDefault="00BE0009">
      <w:pPr>
        <w:pBdr>
          <w:bottom w:val="single" w:sz="6" w:space="1" w:color="1F4E5F"/>
        </w:pBdr>
        <w:spacing w:after="300"/>
      </w:pPr>
    </w:p>
    <w:p w:rsidR="00BE0009" w:rsidRDefault="00000000">
      <w:pPr>
        <w:pStyle w:val="Heading1"/>
        <w:spacing w:before="320" w:after="160"/>
      </w:pPr>
      <w:r>
        <w:t>1. Understanding of the Brief</w:t>
      </w:r>
    </w:p>
    <w:p w:rsidR="00BE0009" w:rsidRDefault="00000000">
      <w:pPr>
        <w:spacing w:after="160"/>
      </w:pPr>
      <w:r>
        <w:rPr>
          <w:sz w:val="22"/>
          <w:szCs w:val="22"/>
        </w:rPr>
        <w:t>GERS requires a standalone, scalable symposium website that goes beyond a static informational site. Beyond publishing content, the platform needs to manage the participant journey end-to-end: registration, role-based access (attendee, speaker, partner), participation status, and access to event resources, while remaining simple enough for non-technical staff to run year over year.</w:t>
      </w:r>
    </w:p>
    <w:p w:rsidR="00BE0009" w:rsidRDefault="00000000">
      <w:pPr>
        <w:spacing w:after="160"/>
      </w:pPr>
      <w:r>
        <w:rPr>
          <w:sz w:val="22"/>
          <w:szCs w:val="22"/>
        </w:rPr>
        <w:t xml:space="preserve">This proposal is structured around two deliverables: a website and symposium management platform, and a brand and graphic identity for GERS. Copywriting is intentionally excluded, to be handled by the </w:t>
      </w:r>
      <w:proofErr w:type="spellStart"/>
      <w:r>
        <w:rPr>
          <w:sz w:val="22"/>
          <w:szCs w:val="22"/>
        </w:rPr>
        <w:t>GDEnv</w:t>
      </w:r>
      <w:proofErr w:type="spellEnd"/>
      <w:r>
        <w:rPr>
          <w:sz w:val="22"/>
          <w:szCs w:val="22"/>
        </w:rPr>
        <w:t>/PEETS PR officer with content support from our side where useful.</w:t>
      </w:r>
    </w:p>
    <w:p w:rsidR="00BE0009" w:rsidRDefault="00000000">
      <w:pPr>
        <w:pStyle w:val="Heading1"/>
        <w:spacing w:before="320" w:after="160"/>
      </w:pPr>
      <w:r>
        <w:t>2. Scope of Work</w:t>
      </w:r>
    </w:p>
    <w:p w:rsidR="00BE0009" w:rsidRDefault="00000000">
      <w:pPr>
        <w:pStyle w:val="Heading2"/>
        <w:spacing w:before="200" w:after="100"/>
      </w:pPr>
      <w:r>
        <w:t>2.1 Website &amp; Symposium Management Platform — R100 000</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BE0009">
        <w:tblPrEx>
          <w:tblCellMar>
            <w:top w:w="0" w:type="dxa"/>
            <w:bottom w:w="0" w:type="dxa"/>
          </w:tblCellMar>
        </w:tblPrEx>
        <w:trPr>
          <w:tblHeader/>
        </w:trPr>
        <w:tc>
          <w:tcPr>
            <w:tcW w:w="3000" w:type="dxa"/>
            <w:shd w:val="clear" w:color="auto" w:fill="1F4E5F"/>
            <w:tcMar>
              <w:top w:w="100" w:type="dxa"/>
              <w:left w:w="120" w:type="dxa"/>
              <w:bottom w:w="100" w:type="dxa"/>
              <w:right w:w="120" w:type="dxa"/>
            </w:tcMar>
            <w:vAlign w:val="center"/>
          </w:tcPr>
          <w:p w:rsidR="00BE0009" w:rsidRDefault="00000000">
            <w:r>
              <w:rPr>
                <w:b/>
                <w:bCs/>
                <w:color w:val="FFFFFF"/>
                <w:sz w:val="22"/>
                <w:szCs w:val="22"/>
              </w:rPr>
              <w:t>Area</w:t>
            </w:r>
          </w:p>
        </w:tc>
        <w:tc>
          <w:tcPr>
            <w:tcW w:w="6350" w:type="dxa"/>
            <w:shd w:val="clear" w:color="auto" w:fill="1F4E5F"/>
            <w:tcMar>
              <w:top w:w="100" w:type="dxa"/>
              <w:left w:w="120" w:type="dxa"/>
              <w:bottom w:w="100" w:type="dxa"/>
              <w:right w:w="120" w:type="dxa"/>
            </w:tcMar>
            <w:vAlign w:val="center"/>
          </w:tcPr>
          <w:p w:rsidR="00BE0009" w:rsidRDefault="00000000">
            <w:r>
              <w:rPr>
                <w:b/>
                <w:bCs/>
                <w:color w:val="FFFFFF"/>
                <w:sz w:val="22"/>
                <w:szCs w:val="22"/>
              </w:rPr>
              <w:t>What's Included</w:t>
            </w:r>
          </w:p>
        </w:tc>
      </w:tr>
      <w:tr w:rsidR="00BE0009">
        <w:tblPrEx>
          <w:tblCellMar>
            <w:top w:w="0" w:type="dxa"/>
            <w:bottom w:w="0" w:type="dxa"/>
          </w:tblCellMar>
        </w:tblPrEx>
        <w:tc>
          <w:tcPr>
            <w:tcW w:w="3000" w:type="dxa"/>
            <w:tcMar>
              <w:top w:w="100" w:type="dxa"/>
              <w:left w:w="120" w:type="dxa"/>
              <w:bottom w:w="100" w:type="dxa"/>
              <w:right w:w="120" w:type="dxa"/>
            </w:tcMar>
            <w:vAlign w:val="center"/>
          </w:tcPr>
          <w:p w:rsidR="00BE0009" w:rsidRDefault="00000000">
            <w:r>
              <w:rPr>
                <w:b/>
                <w:bCs/>
                <w:sz w:val="22"/>
                <w:szCs w:val="22"/>
              </w:rPr>
              <w:t>Public website</w:t>
            </w:r>
          </w:p>
        </w:tc>
        <w:tc>
          <w:tcPr>
            <w:tcW w:w="6350" w:type="dxa"/>
            <w:tcMar>
              <w:top w:w="100" w:type="dxa"/>
              <w:left w:w="120" w:type="dxa"/>
              <w:bottom w:w="100" w:type="dxa"/>
              <w:right w:w="120" w:type="dxa"/>
            </w:tcMar>
            <w:vAlign w:val="center"/>
          </w:tcPr>
          <w:p w:rsidR="00BE0009" w:rsidRDefault="00000000">
            <w:r>
              <w:rPr>
                <w:sz w:val="22"/>
                <w:szCs w:val="22"/>
              </w:rPr>
              <w:t>About, Event overview, Programme, Speakers, Exhibition, Student Track, FAQ, and a historical archive of past GERS events. Fully responsive, aligned to GERS branding, with add-to-calendar integration.</w:t>
            </w:r>
          </w:p>
        </w:tc>
      </w:tr>
      <w:tr w:rsidR="00BE0009">
        <w:tblPrEx>
          <w:tblCellMar>
            <w:top w:w="0" w:type="dxa"/>
            <w:bottom w:w="0" w:type="dxa"/>
          </w:tblCellMar>
        </w:tblPrEx>
        <w:tc>
          <w:tcPr>
            <w:tcW w:w="3000" w:type="dxa"/>
            <w:shd w:val="clear" w:color="auto" w:fill="EAF2F4"/>
            <w:tcMar>
              <w:top w:w="100" w:type="dxa"/>
              <w:left w:w="120" w:type="dxa"/>
              <w:bottom w:w="100" w:type="dxa"/>
              <w:right w:w="120" w:type="dxa"/>
            </w:tcMar>
            <w:vAlign w:val="center"/>
          </w:tcPr>
          <w:p w:rsidR="00BE0009" w:rsidRDefault="00000000">
            <w:r>
              <w:rPr>
                <w:b/>
                <w:bCs/>
                <w:sz w:val="22"/>
                <w:szCs w:val="22"/>
              </w:rPr>
              <w:t>Content management (CMS)</w:t>
            </w:r>
          </w:p>
        </w:tc>
        <w:tc>
          <w:tcPr>
            <w:tcW w:w="6350" w:type="dxa"/>
            <w:shd w:val="clear" w:color="auto" w:fill="EAF2F4"/>
            <w:tcMar>
              <w:top w:w="100" w:type="dxa"/>
              <w:left w:w="120" w:type="dxa"/>
              <w:bottom w:w="100" w:type="dxa"/>
              <w:right w:w="120" w:type="dxa"/>
            </w:tcMar>
            <w:vAlign w:val="center"/>
          </w:tcPr>
          <w:p w:rsidR="00BE0009" w:rsidRDefault="00000000">
            <w:r>
              <w:rPr>
                <w:sz w:val="22"/>
                <w:szCs w:val="22"/>
              </w:rPr>
              <w:t>Flexible, non-technical content editing for flyers, images, updates, speaker profiles, and programme details. Built for ongoing use by the PR officer without developer involvement.</w:t>
            </w:r>
          </w:p>
        </w:tc>
      </w:tr>
      <w:tr w:rsidR="00BE0009">
        <w:tblPrEx>
          <w:tblCellMar>
            <w:top w:w="0" w:type="dxa"/>
            <w:bottom w:w="0" w:type="dxa"/>
          </w:tblCellMar>
        </w:tblPrEx>
        <w:tc>
          <w:tcPr>
            <w:tcW w:w="3000" w:type="dxa"/>
            <w:tcMar>
              <w:top w:w="100" w:type="dxa"/>
              <w:left w:w="120" w:type="dxa"/>
              <w:bottom w:w="100" w:type="dxa"/>
              <w:right w:w="120" w:type="dxa"/>
            </w:tcMar>
            <w:vAlign w:val="center"/>
          </w:tcPr>
          <w:p w:rsidR="00BE0009" w:rsidRDefault="00000000">
            <w:r>
              <w:rPr>
                <w:b/>
                <w:bCs/>
                <w:sz w:val="22"/>
                <w:szCs w:val="22"/>
              </w:rPr>
              <w:t>Registration &amp; accounts</w:t>
            </w:r>
          </w:p>
        </w:tc>
        <w:tc>
          <w:tcPr>
            <w:tcW w:w="6350" w:type="dxa"/>
            <w:tcMar>
              <w:top w:w="100" w:type="dxa"/>
              <w:left w:w="120" w:type="dxa"/>
              <w:bottom w:w="100" w:type="dxa"/>
              <w:right w:w="120" w:type="dxa"/>
            </w:tcMar>
            <w:vAlign w:val="center"/>
          </w:tcPr>
          <w:p w:rsidR="00BE0009" w:rsidRDefault="00000000">
            <w:r>
              <w:rPr>
                <w:sz w:val="22"/>
                <w:szCs w:val="22"/>
              </w:rPr>
              <w:t>Single registration capturing participant details once, with the ability to add or edit afterwards. Secure login with participant profiles.</w:t>
            </w:r>
          </w:p>
        </w:tc>
      </w:tr>
      <w:tr w:rsidR="00BE0009">
        <w:tblPrEx>
          <w:tblCellMar>
            <w:top w:w="0" w:type="dxa"/>
            <w:bottom w:w="0" w:type="dxa"/>
          </w:tblCellMar>
        </w:tblPrEx>
        <w:tc>
          <w:tcPr>
            <w:tcW w:w="3000" w:type="dxa"/>
            <w:shd w:val="clear" w:color="auto" w:fill="EAF2F4"/>
            <w:tcMar>
              <w:top w:w="100" w:type="dxa"/>
              <w:left w:w="120" w:type="dxa"/>
              <w:bottom w:w="100" w:type="dxa"/>
              <w:right w:w="120" w:type="dxa"/>
            </w:tcMar>
            <w:vAlign w:val="center"/>
          </w:tcPr>
          <w:p w:rsidR="00BE0009" w:rsidRDefault="00000000">
            <w:r>
              <w:rPr>
                <w:b/>
                <w:bCs/>
                <w:sz w:val="22"/>
                <w:szCs w:val="22"/>
              </w:rPr>
              <w:t>Roles &amp; access</w:t>
            </w:r>
          </w:p>
        </w:tc>
        <w:tc>
          <w:tcPr>
            <w:tcW w:w="6350" w:type="dxa"/>
            <w:shd w:val="clear" w:color="auto" w:fill="EAF2F4"/>
            <w:tcMar>
              <w:top w:w="100" w:type="dxa"/>
              <w:left w:w="120" w:type="dxa"/>
              <w:bottom w:w="100" w:type="dxa"/>
              <w:right w:w="120" w:type="dxa"/>
            </w:tcMar>
            <w:vAlign w:val="center"/>
          </w:tcPr>
          <w:p w:rsidR="00BE0009" w:rsidRDefault="00000000">
            <w:r>
              <w:rPr>
                <w:sz w:val="22"/>
                <w:szCs w:val="22"/>
              </w:rPr>
              <w:t>Support for different participation types (attendee, speaker, partner), with each account showing only what's relevant to that role and registration status.</w:t>
            </w:r>
          </w:p>
        </w:tc>
      </w:tr>
      <w:tr w:rsidR="00BE0009">
        <w:tblPrEx>
          <w:tblCellMar>
            <w:top w:w="0" w:type="dxa"/>
            <w:bottom w:w="0" w:type="dxa"/>
          </w:tblCellMar>
        </w:tblPrEx>
        <w:tc>
          <w:tcPr>
            <w:tcW w:w="3000" w:type="dxa"/>
            <w:tcMar>
              <w:top w:w="100" w:type="dxa"/>
              <w:left w:w="120" w:type="dxa"/>
              <w:bottom w:w="100" w:type="dxa"/>
              <w:right w:w="120" w:type="dxa"/>
            </w:tcMar>
            <w:vAlign w:val="center"/>
          </w:tcPr>
          <w:p w:rsidR="00BE0009" w:rsidRDefault="00000000">
            <w:r>
              <w:rPr>
                <w:b/>
                <w:bCs/>
                <w:sz w:val="22"/>
                <w:szCs w:val="22"/>
              </w:rPr>
              <w:t>Abstract submission (Student Track / Speakers)</w:t>
            </w:r>
          </w:p>
        </w:tc>
        <w:tc>
          <w:tcPr>
            <w:tcW w:w="6350" w:type="dxa"/>
            <w:tcMar>
              <w:top w:w="100" w:type="dxa"/>
              <w:left w:w="120" w:type="dxa"/>
              <w:bottom w:w="100" w:type="dxa"/>
              <w:right w:w="120" w:type="dxa"/>
            </w:tcMar>
            <w:vAlign w:val="center"/>
          </w:tcPr>
          <w:p w:rsidR="00BE0009" w:rsidRDefault="00000000">
            <w:r>
              <w:rPr>
                <w:sz w:val="22"/>
                <w:szCs w:val="22"/>
              </w:rPr>
              <w:t>Online submission form for abstracts, an admin review workflow, and status notification to applicants (accepted / declined / pending). Flagged here as its own line so it can be scaled up or down if the actual volume/process differs from what's assumed.</w:t>
            </w:r>
          </w:p>
        </w:tc>
      </w:tr>
      <w:tr w:rsidR="00BE0009">
        <w:tblPrEx>
          <w:tblCellMar>
            <w:top w:w="0" w:type="dxa"/>
            <w:bottom w:w="0" w:type="dxa"/>
          </w:tblCellMar>
        </w:tblPrEx>
        <w:tc>
          <w:tcPr>
            <w:tcW w:w="3000" w:type="dxa"/>
            <w:shd w:val="clear" w:color="auto" w:fill="EAF2F4"/>
            <w:tcMar>
              <w:top w:w="100" w:type="dxa"/>
              <w:left w:w="120" w:type="dxa"/>
              <w:bottom w:w="100" w:type="dxa"/>
              <w:right w:w="120" w:type="dxa"/>
            </w:tcMar>
            <w:vAlign w:val="center"/>
          </w:tcPr>
          <w:p w:rsidR="00BE0009" w:rsidRDefault="00000000">
            <w:r>
              <w:rPr>
                <w:b/>
                <w:bCs/>
                <w:sz w:val="22"/>
                <w:szCs w:val="22"/>
              </w:rPr>
              <w:t>Participant status tracking</w:t>
            </w:r>
          </w:p>
        </w:tc>
        <w:tc>
          <w:tcPr>
            <w:tcW w:w="6350" w:type="dxa"/>
            <w:shd w:val="clear" w:color="auto" w:fill="EAF2F4"/>
            <w:tcMar>
              <w:top w:w="100" w:type="dxa"/>
              <w:left w:w="120" w:type="dxa"/>
              <w:bottom w:w="100" w:type="dxa"/>
              <w:right w:w="120" w:type="dxa"/>
            </w:tcMar>
            <w:vAlign w:val="center"/>
          </w:tcPr>
          <w:p w:rsidR="00BE0009" w:rsidRDefault="00000000">
            <w:r>
              <w:rPr>
                <w:sz w:val="22"/>
                <w:szCs w:val="22"/>
              </w:rPr>
              <w:t>Admin-managed status fields per participant — registration confirmed, deposit received, full fee received, accommodation confirmed and where booked. Captured by GERS/UJ staff, not self-service online payment; no card processing or e-commerce is included, in line with the brief.</w:t>
            </w:r>
          </w:p>
        </w:tc>
      </w:tr>
      <w:tr w:rsidR="00BE0009">
        <w:tblPrEx>
          <w:tblCellMar>
            <w:top w:w="0" w:type="dxa"/>
            <w:bottom w:w="0" w:type="dxa"/>
          </w:tblCellMar>
        </w:tblPrEx>
        <w:tc>
          <w:tcPr>
            <w:tcW w:w="3000" w:type="dxa"/>
            <w:tcMar>
              <w:top w:w="100" w:type="dxa"/>
              <w:left w:w="120" w:type="dxa"/>
              <w:bottom w:w="100" w:type="dxa"/>
              <w:right w:w="120" w:type="dxa"/>
            </w:tcMar>
            <w:vAlign w:val="center"/>
          </w:tcPr>
          <w:p w:rsidR="00BE0009" w:rsidRDefault="00000000">
            <w:r>
              <w:rPr>
                <w:b/>
                <w:bCs/>
                <w:sz w:val="22"/>
                <w:szCs w:val="22"/>
              </w:rPr>
              <w:t>Networking &amp; thematic communities</w:t>
            </w:r>
          </w:p>
        </w:tc>
        <w:tc>
          <w:tcPr>
            <w:tcW w:w="6350" w:type="dxa"/>
            <w:tcMar>
              <w:top w:w="100" w:type="dxa"/>
              <w:left w:w="120" w:type="dxa"/>
              <w:bottom w:w="100" w:type="dxa"/>
              <w:right w:w="120" w:type="dxa"/>
            </w:tcMar>
            <w:vAlign w:val="center"/>
          </w:tcPr>
          <w:p w:rsidR="00BE0009" w:rsidRDefault="00000000">
            <w:r>
              <w:rPr>
                <w:sz w:val="22"/>
                <w:szCs w:val="22"/>
              </w:rPr>
              <w:t>Ability for participants to be categorised or filtered by expertise/theme, and to opt in to thematic communities of practice.</w:t>
            </w:r>
          </w:p>
        </w:tc>
      </w:tr>
      <w:tr w:rsidR="00BE0009">
        <w:tblPrEx>
          <w:tblCellMar>
            <w:top w:w="0" w:type="dxa"/>
            <w:bottom w:w="0" w:type="dxa"/>
          </w:tblCellMar>
        </w:tblPrEx>
        <w:tc>
          <w:tcPr>
            <w:tcW w:w="3000" w:type="dxa"/>
            <w:shd w:val="clear" w:color="auto" w:fill="EAF2F4"/>
            <w:tcMar>
              <w:top w:w="100" w:type="dxa"/>
              <w:left w:w="120" w:type="dxa"/>
              <w:bottom w:w="100" w:type="dxa"/>
              <w:right w:w="120" w:type="dxa"/>
            </w:tcMar>
            <w:vAlign w:val="center"/>
          </w:tcPr>
          <w:p w:rsidR="00BE0009" w:rsidRDefault="00000000">
            <w:r>
              <w:rPr>
                <w:b/>
                <w:bCs/>
                <w:sz w:val="22"/>
                <w:szCs w:val="22"/>
              </w:rPr>
              <w:lastRenderedPageBreak/>
              <w:t>Session access (Zoom/Teams)</w:t>
            </w:r>
          </w:p>
        </w:tc>
        <w:tc>
          <w:tcPr>
            <w:tcW w:w="6350" w:type="dxa"/>
            <w:shd w:val="clear" w:color="auto" w:fill="EAF2F4"/>
            <w:tcMar>
              <w:top w:w="100" w:type="dxa"/>
              <w:left w:w="120" w:type="dxa"/>
              <w:bottom w:w="100" w:type="dxa"/>
              <w:right w:w="120" w:type="dxa"/>
            </w:tcMar>
            <w:vAlign w:val="center"/>
          </w:tcPr>
          <w:p w:rsidR="00BE0009" w:rsidRDefault="00000000">
            <w:r>
              <w:rPr>
                <w:sz w:val="22"/>
                <w:szCs w:val="22"/>
              </w:rPr>
              <w:t>Attendees access their online session link directly from their account once their registration status permits it. Uses standard Zoom/Teams join flow (browser hand-off, native waiting room) rather than custom video integration.</w:t>
            </w:r>
          </w:p>
        </w:tc>
      </w:tr>
      <w:tr w:rsidR="00BE0009">
        <w:tblPrEx>
          <w:tblCellMar>
            <w:top w:w="0" w:type="dxa"/>
            <w:bottom w:w="0" w:type="dxa"/>
          </w:tblCellMar>
        </w:tblPrEx>
        <w:tc>
          <w:tcPr>
            <w:tcW w:w="3000" w:type="dxa"/>
            <w:tcMar>
              <w:top w:w="100" w:type="dxa"/>
              <w:left w:w="120" w:type="dxa"/>
              <w:bottom w:w="100" w:type="dxa"/>
              <w:right w:w="120" w:type="dxa"/>
            </w:tcMar>
            <w:vAlign w:val="center"/>
          </w:tcPr>
          <w:p w:rsidR="00BE0009" w:rsidRDefault="00000000">
            <w:r>
              <w:rPr>
                <w:b/>
                <w:bCs/>
                <w:sz w:val="22"/>
                <w:szCs w:val="22"/>
              </w:rPr>
              <w:t>Visitor FAQ assistant</w:t>
            </w:r>
          </w:p>
        </w:tc>
        <w:tc>
          <w:tcPr>
            <w:tcW w:w="6350" w:type="dxa"/>
            <w:tcMar>
              <w:top w:w="100" w:type="dxa"/>
              <w:left w:w="120" w:type="dxa"/>
              <w:bottom w:w="100" w:type="dxa"/>
              <w:right w:w="120" w:type="dxa"/>
            </w:tcMar>
            <w:vAlign w:val="center"/>
          </w:tcPr>
          <w:p w:rsidR="00BE0009" w:rsidRDefault="00000000">
            <w:r>
              <w:rPr>
                <w:sz w:val="22"/>
                <w:szCs w:val="22"/>
              </w:rPr>
              <w:t xml:space="preserve">A simple chat assistant on the public site that answers common visitor questions using a knowledge base maintained by the PR officer in </w:t>
            </w:r>
            <w:proofErr w:type="spellStart"/>
            <w:r>
              <w:rPr>
                <w:sz w:val="22"/>
                <w:szCs w:val="22"/>
              </w:rPr>
              <w:t>Firestore</w:t>
            </w:r>
            <w:proofErr w:type="spellEnd"/>
            <w:r>
              <w:rPr>
                <w:sz w:val="22"/>
                <w:szCs w:val="22"/>
              </w:rPr>
              <w:t xml:space="preserve"> (alongside speaker and event data already captured there).</w:t>
            </w:r>
          </w:p>
        </w:tc>
      </w:tr>
      <w:tr w:rsidR="00BE0009">
        <w:tblPrEx>
          <w:tblCellMar>
            <w:top w:w="0" w:type="dxa"/>
            <w:bottom w:w="0" w:type="dxa"/>
          </w:tblCellMar>
        </w:tblPrEx>
        <w:tc>
          <w:tcPr>
            <w:tcW w:w="3000" w:type="dxa"/>
            <w:shd w:val="clear" w:color="auto" w:fill="EAF2F4"/>
            <w:tcMar>
              <w:top w:w="100" w:type="dxa"/>
              <w:left w:w="120" w:type="dxa"/>
              <w:bottom w:w="100" w:type="dxa"/>
              <w:right w:w="120" w:type="dxa"/>
            </w:tcMar>
            <w:vAlign w:val="center"/>
          </w:tcPr>
          <w:p w:rsidR="00BE0009" w:rsidRDefault="00000000">
            <w:r>
              <w:rPr>
                <w:b/>
                <w:bCs/>
                <w:sz w:val="22"/>
                <w:szCs w:val="22"/>
              </w:rPr>
              <w:t>Organiser tools</w:t>
            </w:r>
          </w:p>
        </w:tc>
        <w:tc>
          <w:tcPr>
            <w:tcW w:w="6350" w:type="dxa"/>
            <w:shd w:val="clear" w:color="auto" w:fill="EAF2F4"/>
            <w:tcMar>
              <w:top w:w="100" w:type="dxa"/>
              <w:left w:w="120" w:type="dxa"/>
              <w:bottom w:w="100" w:type="dxa"/>
              <w:right w:w="120" w:type="dxa"/>
            </w:tcMar>
            <w:vAlign w:val="center"/>
          </w:tcPr>
          <w:p w:rsidR="00BE0009" w:rsidRDefault="00000000">
            <w:r>
              <w:rPr>
                <w:sz w:val="22"/>
                <w:szCs w:val="22"/>
              </w:rPr>
              <w:t>Export of participant and engagement data (CSV/Excel) for GERS/UJ staff.</w:t>
            </w:r>
          </w:p>
        </w:tc>
      </w:tr>
      <w:tr w:rsidR="00BE0009">
        <w:tblPrEx>
          <w:tblCellMar>
            <w:top w:w="0" w:type="dxa"/>
            <w:bottom w:w="0" w:type="dxa"/>
          </w:tblCellMar>
        </w:tblPrEx>
        <w:tc>
          <w:tcPr>
            <w:tcW w:w="3000" w:type="dxa"/>
            <w:tcMar>
              <w:top w:w="100" w:type="dxa"/>
              <w:left w:w="120" w:type="dxa"/>
              <w:bottom w:w="100" w:type="dxa"/>
              <w:right w:w="120" w:type="dxa"/>
            </w:tcMar>
            <w:vAlign w:val="center"/>
          </w:tcPr>
          <w:p w:rsidR="00BE0009" w:rsidRDefault="00000000">
            <w:r>
              <w:rPr>
                <w:b/>
                <w:bCs/>
                <w:sz w:val="22"/>
                <w:szCs w:val="22"/>
              </w:rPr>
              <w:t>Data privacy</w:t>
            </w:r>
          </w:p>
        </w:tc>
        <w:tc>
          <w:tcPr>
            <w:tcW w:w="6350" w:type="dxa"/>
            <w:tcMar>
              <w:top w:w="100" w:type="dxa"/>
              <w:left w:w="120" w:type="dxa"/>
              <w:bottom w:w="100" w:type="dxa"/>
              <w:right w:w="120" w:type="dxa"/>
            </w:tcMar>
            <w:vAlign w:val="center"/>
          </w:tcPr>
          <w:p w:rsidR="00BE0009" w:rsidRDefault="00000000">
            <w:r>
              <w:rPr>
                <w:sz w:val="22"/>
                <w:szCs w:val="22"/>
              </w:rPr>
              <w:t>Appropriate consent capture and privacy handling for registration data.</w:t>
            </w:r>
          </w:p>
        </w:tc>
      </w:tr>
      <w:tr w:rsidR="00BE0009">
        <w:tblPrEx>
          <w:tblCellMar>
            <w:top w:w="0" w:type="dxa"/>
            <w:bottom w:w="0" w:type="dxa"/>
          </w:tblCellMar>
        </w:tblPrEx>
        <w:tc>
          <w:tcPr>
            <w:tcW w:w="3000" w:type="dxa"/>
            <w:shd w:val="clear" w:color="auto" w:fill="EAF2F4"/>
            <w:tcMar>
              <w:top w:w="100" w:type="dxa"/>
              <w:left w:w="120" w:type="dxa"/>
              <w:bottom w:w="100" w:type="dxa"/>
              <w:right w:w="120" w:type="dxa"/>
            </w:tcMar>
            <w:vAlign w:val="center"/>
          </w:tcPr>
          <w:p w:rsidR="00BE0009" w:rsidRDefault="00000000">
            <w:r>
              <w:rPr>
                <w:b/>
                <w:bCs/>
                <w:sz w:val="22"/>
                <w:szCs w:val="22"/>
              </w:rPr>
              <w:t>Multi-year architecture</w:t>
            </w:r>
          </w:p>
        </w:tc>
        <w:tc>
          <w:tcPr>
            <w:tcW w:w="6350" w:type="dxa"/>
            <w:shd w:val="clear" w:color="auto" w:fill="EAF2F4"/>
            <w:tcMar>
              <w:top w:w="100" w:type="dxa"/>
              <w:left w:w="120" w:type="dxa"/>
              <w:bottom w:w="100" w:type="dxa"/>
              <w:right w:w="120" w:type="dxa"/>
            </w:tcMar>
            <w:vAlign w:val="center"/>
          </w:tcPr>
          <w:p w:rsidR="00BE0009" w:rsidRDefault="00000000">
            <w:r>
              <w:rPr>
                <w:sz w:val="22"/>
                <w:szCs w:val="22"/>
              </w:rPr>
              <w:t>Built as a reusable platform so future GERS events can be stood up as a content update rather than a rebuild.</w:t>
            </w:r>
          </w:p>
        </w:tc>
      </w:tr>
      <w:tr w:rsidR="00BE0009">
        <w:tblPrEx>
          <w:tblCellMar>
            <w:top w:w="0" w:type="dxa"/>
            <w:bottom w:w="0" w:type="dxa"/>
          </w:tblCellMar>
        </w:tblPrEx>
        <w:tc>
          <w:tcPr>
            <w:tcW w:w="3000" w:type="dxa"/>
            <w:tcMar>
              <w:top w:w="100" w:type="dxa"/>
              <w:left w:w="120" w:type="dxa"/>
              <w:bottom w:w="100" w:type="dxa"/>
              <w:right w:w="120" w:type="dxa"/>
            </w:tcMar>
            <w:vAlign w:val="center"/>
          </w:tcPr>
          <w:p w:rsidR="00BE0009" w:rsidRDefault="00000000">
            <w:r>
              <w:rPr>
                <w:b/>
                <w:bCs/>
                <w:sz w:val="22"/>
                <w:szCs w:val="22"/>
              </w:rPr>
              <w:t>Training &amp; support</w:t>
            </w:r>
          </w:p>
        </w:tc>
        <w:tc>
          <w:tcPr>
            <w:tcW w:w="6350" w:type="dxa"/>
            <w:tcMar>
              <w:top w:w="100" w:type="dxa"/>
              <w:left w:w="120" w:type="dxa"/>
              <w:bottom w:w="100" w:type="dxa"/>
              <w:right w:w="120" w:type="dxa"/>
            </w:tcMar>
            <w:vAlign w:val="center"/>
          </w:tcPr>
          <w:p w:rsidR="00BE0009" w:rsidRDefault="00000000">
            <w:r>
              <w:rPr>
                <w:sz w:val="22"/>
                <w:szCs w:val="22"/>
              </w:rPr>
              <w:t>Basic training for the PR officer on day-to-day content and participant management, plus a post-launch support window.</w:t>
            </w:r>
          </w:p>
        </w:tc>
      </w:tr>
    </w:tbl>
    <w:p w:rsidR="00BE0009" w:rsidRDefault="00000000">
      <w:pPr>
        <w:pStyle w:val="Heading2"/>
        <w:spacing w:before="200" w:after="100"/>
      </w:pPr>
      <w:r>
        <w:t>2.2 Brand &amp; Graphic Design — R15 000</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BE0009">
        <w:tblPrEx>
          <w:tblCellMar>
            <w:top w:w="0" w:type="dxa"/>
            <w:bottom w:w="0" w:type="dxa"/>
          </w:tblCellMar>
        </w:tblPrEx>
        <w:trPr>
          <w:tblHeader/>
        </w:trPr>
        <w:tc>
          <w:tcPr>
            <w:tcW w:w="3000" w:type="dxa"/>
            <w:shd w:val="clear" w:color="auto" w:fill="1F4E5F"/>
            <w:tcMar>
              <w:top w:w="100" w:type="dxa"/>
              <w:left w:w="120" w:type="dxa"/>
              <w:bottom w:w="100" w:type="dxa"/>
              <w:right w:w="120" w:type="dxa"/>
            </w:tcMar>
            <w:vAlign w:val="center"/>
          </w:tcPr>
          <w:p w:rsidR="00BE0009" w:rsidRDefault="00000000">
            <w:r>
              <w:rPr>
                <w:b/>
                <w:bCs/>
                <w:color w:val="FFFFFF"/>
                <w:sz w:val="22"/>
                <w:szCs w:val="22"/>
              </w:rPr>
              <w:t>Area</w:t>
            </w:r>
          </w:p>
        </w:tc>
        <w:tc>
          <w:tcPr>
            <w:tcW w:w="6350" w:type="dxa"/>
            <w:shd w:val="clear" w:color="auto" w:fill="1F4E5F"/>
            <w:tcMar>
              <w:top w:w="100" w:type="dxa"/>
              <w:left w:w="120" w:type="dxa"/>
              <w:bottom w:w="100" w:type="dxa"/>
              <w:right w:w="120" w:type="dxa"/>
            </w:tcMar>
            <w:vAlign w:val="center"/>
          </w:tcPr>
          <w:p w:rsidR="00BE0009" w:rsidRDefault="00000000">
            <w:r>
              <w:rPr>
                <w:b/>
                <w:bCs/>
                <w:color w:val="FFFFFF"/>
                <w:sz w:val="22"/>
                <w:szCs w:val="22"/>
              </w:rPr>
              <w:t>What's Included</w:t>
            </w:r>
          </w:p>
        </w:tc>
      </w:tr>
      <w:tr w:rsidR="00BE0009">
        <w:tblPrEx>
          <w:tblCellMar>
            <w:top w:w="0" w:type="dxa"/>
            <w:bottom w:w="0" w:type="dxa"/>
          </w:tblCellMar>
        </w:tblPrEx>
        <w:tc>
          <w:tcPr>
            <w:tcW w:w="3000" w:type="dxa"/>
            <w:tcMar>
              <w:top w:w="100" w:type="dxa"/>
              <w:left w:w="120" w:type="dxa"/>
              <w:bottom w:w="100" w:type="dxa"/>
              <w:right w:w="120" w:type="dxa"/>
            </w:tcMar>
            <w:vAlign w:val="center"/>
          </w:tcPr>
          <w:p w:rsidR="00BE0009" w:rsidRDefault="00000000">
            <w:r>
              <w:rPr>
                <w:b/>
                <w:bCs/>
                <w:sz w:val="22"/>
                <w:szCs w:val="22"/>
              </w:rPr>
              <w:t>Visual identity</w:t>
            </w:r>
          </w:p>
        </w:tc>
        <w:tc>
          <w:tcPr>
            <w:tcW w:w="6350" w:type="dxa"/>
            <w:tcMar>
              <w:top w:w="100" w:type="dxa"/>
              <w:left w:w="120" w:type="dxa"/>
              <w:bottom w:w="100" w:type="dxa"/>
              <w:right w:w="120" w:type="dxa"/>
            </w:tcMar>
            <w:vAlign w:val="center"/>
          </w:tcPr>
          <w:p w:rsidR="00BE0009" w:rsidRDefault="00000000">
            <w:r>
              <w:rPr>
                <w:sz w:val="22"/>
                <w:szCs w:val="22"/>
              </w:rPr>
              <w:t xml:space="preserve">GERS logo and an overall look and feel — colour palette, typography, imagery style — aligned to </w:t>
            </w:r>
            <w:proofErr w:type="spellStart"/>
            <w:r>
              <w:rPr>
                <w:sz w:val="22"/>
                <w:szCs w:val="22"/>
              </w:rPr>
              <w:t>GDEnv</w:t>
            </w:r>
            <w:proofErr w:type="spellEnd"/>
            <w:r>
              <w:rPr>
                <w:sz w:val="22"/>
                <w:szCs w:val="22"/>
              </w:rPr>
              <w:t xml:space="preserve"> and UJ brand guidelines.</w:t>
            </w:r>
          </w:p>
        </w:tc>
      </w:tr>
      <w:tr w:rsidR="00BE0009">
        <w:tblPrEx>
          <w:tblCellMar>
            <w:top w:w="0" w:type="dxa"/>
            <w:bottom w:w="0" w:type="dxa"/>
          </w:tblCellMar>
        </w:tblPrEx>
        <w:tc>
          <w:tcPr>
            <w:tcW w:w="3000" w:type="dxa"/>
            <w:shd w:val="clear" w:color="auto" w:fill="EAF2F4"/>
            <w:tcMar>
              <w:top w:w="100" w:type="dxa"/>
              <w:left w:w="120" w:type="dxa"/>
              <w:bottom w:w="100" w:type="dxa"/>
              <w:right w:w="120" w:type="dxa"/>
            </w:tcMar>
            <w:vAlign w:val="center"/>
          </w:tcPr>
          <w:p w:rsidR="00BE0009" w:rsidRDefault="00000000">
            <w:r>
              <w:rPr>
                <w:b/>
                <w:bCs/>
                <w:sz w:val="22"/>
                <w:szCs w:val="22"/>
              </w:rPr>
              <w:t>Application</w:t>
            </w:r>
          </w:p>
        </w:tc>
        <w:tc>
          <w:tcPr>
            <w:tcW w:w="6350" w:type="dxa"/>
            <w:shd w:val="clear" w:color="auto" w:fill="EAF2F4"/>
            <w:tcMar>
              <w:top w:w="100" w:type="dxa"/>
              <w:left w:w="120" w:type="dxa"/>
              <w:bottom w:w="100" w:type="dxa"/>
              <w:right w:w="120" w:type="dxa"/>
            </w:tcMar>
            <w:vAlign w:val="center"/>
          </w:tcPr>
          <w:p w:rsidR="00BE0009" w:rsidRDefault="00000000">
            <w:r>
              <w:rPr>
                <w:sz w:val="22"/>
                <w:szCs w:val="22"/>
              </w:rPr>
              <w:t>Identity applied consistently to the website. A short guideline summary is provided so the PR officer can apply the same identity to future flyers, programmes, and booklets.</w:t>
            </w:r>
          </w:p>
        </w:tc>
      </w:tr>
      <w:tr w:rsidR="00BE0009">
        <w:tblPrEx>
          <w:tblCellMar>
            <w:top w:w="0" w:type="dxa"/>
            <w:bottom w:w="0" w:type="dxa"/>
          </w:tblCellMar>
        </w:tblPrEx>
        <w:tc>
          <w:tcPr>
            <w:tcW w:w="3000" w:type="dxa"/>
            <w:tcMar>
              <w:top w:w="100" w:type="dxa"/>
              <w:left w:w="120" w:type="dxa"/>
              <w:bottom w:w="100" w:type="dxa"/>
              <w:right w:w="120" w:type="dxa"/>
            </w:tcMar>
            <w:vAlign w:val="center"/>
          </w:tcPr>
          <w:p w:rsidR="00BE0009" w:rsidRDefault="00000000">
            <w:r>
              <w:rPr>
                <w:b/>
                <w:bCs/>
                <w:sz w:val="22"/>
                <w:szCs w:val="22"/>
              </w:rPr>
              <w:t>Not included here</w:t>
            </w:r>
          </w:p>
        </w:tc>
        <w:tc>
          <w:tcPr>
            <w:tcW w:w="6350" w:type="dxa"/>
            <w:tcMar>
              <w:top w:w="100" w:type="dxa"/>
              <w:left w:w="120" w:type="dxa"/>
              <w:bottom w:w="100" w:type="dxa"/>
              <w:right w:w="120" w:type="dxa"/>
            </w:tcMar>
            <w:vAlign w:val="center"/>
          </w:tcPr>
          <w:p w:rsidR="00BE0009" w:rsidRDefault="00000000">
            <w:r>
              <w:rPr>
                <w:sz w:val="22"/>
                <w:szCs w:val="22"/>
              </w:rPr>
              <w:t>Production of the flyer, programme, speaker booklet, or report themselves — those are copy-led deliverables for the PR officer to produce using the identity and guidelines above.</w:t>
            </w:r>
          </w:p>
        </w:tc>
      </w:tr>
    </w:tbl>
    <w:p w:rsidR="00BE0009" w:rsidRDefault="00000000">
      <w:pPr>
        <w:pStyle w:val="Heading1"/>
        <w:spacing w:before="320" w:after="160"/>
      </w:pPr>
      <w:r>
        <w:t>3. Notes &amp; Assumptions</w:t>
      </w:r>
    </w:p>
    <w:p w:rsidR="00BE0009" w:rsidRDefault="00000000">
      <w:pPr>
        <w:pStyle w:val="ListParagraph"/>
        <w:numPr>
          <w:ilvl w:val="0"/>
          <w:numId w:val="1"/>
        </w:numPr>
        <w:spacing w:after="100"/>
      </w:pPr>
      <w:r>
        <w:t>Live visitor chat (real-time, staffed chat by theme) has intentionally been left out of this proposal. It's a materially different build from the FAQ assistant above — happy to provide a separate estimate for it if GERS wants it considered as a phase 2 item.</w:t>
      </w:r>
    </w:p>
    <w:p w:rsidR="00BE0009" w:rsidRDefault="00000000">
      <w:pPr>
        <w:pStyle w:val="ListParagraph"/>
        <w:numPr>
          <w:ilvl w:val="0"/>
          <w:numId w:val="1"/>
        </w:numPr>
        <w:spacing w:after="100"/>
      </w:pPr>
      <w:r>
        <w:t xml:space="preserve">The FAQ assistant and </w:t>
      </w:r>
      <w:proofErr w:type="spellStart"/>
      <w:r>
        <w:t>Firestore</w:t>
      </w:r>
      <w:proofErr w:type="spellEnd"/>
      <w:r>
        <w:t xml:space="preserve"> knowledge base carry ongoing cloud usage costs (database reads, AI processing) that are separate from this one-time project fee — typically small at expected traffic volumes, but worth budgeting for separately rather than assuming they're covered.</w:t>
      </w:r>
    </w:p>
    <w:p w:rsidR="00BE0009" w:rsidRDefault="00000000">
      <w:pPr>
        <w:pStyle w:val="ListParagraph"/>
        <w:numPr>
          <w:ilvl w:val="0"/>
          <w:numId w:val="1"/>
        </w:numPr>
        <w:spacing w:after="100"/>
      </w:pPr>
      <w:r>
        <w:t>No online payment or e-commerce functionality is included, per the brief. All financial status fields are captured administratively.</w:t>
      </w:r>
    </w:p>
    <w:p w:rsidR="00BE0009" w:rsidRDefault="00000000">
      <w:pPr>
        <w:pStyle w:val="ListParagraph"/>
        <w:numPr>
          <w:ilvl w:val="0"/>
          <w:numId w:val="1"/>
        </w:numPr>
        <w:spacing w:after="100"/>
      </w:pPr>
      <w:r>
        <w:t>The abstract submission workflow is included at a standard scope (submission form, admin review, status notification). If the expected volume or process is more complex — multiple reviewers, scoring, blind review — this should be discussed, as it would affect cost.</w:t>
      </w:r>
    </w:p>
    <w:p w:rsidR="00BE0009" w:rsidRDefault="00000000">
      <w:pPr>
        <w:pStyle w:val="ListParagraph"/>
        <w:numPr>
          <w:ilvl w:val="0"/>
          <w:numId w:val="1"/>
        </w:numPr>
        <w:spacing w:after="100"/>
      </w:pPr>
      <w:r>
        <w:t>The platform will be built to work with UJ's external hosting or an independently procured domain, as specified in the brief.</w:t>
      </w:r>
    </w:p>
    <w:p w:rsidR="00BE0009" w:rsidRDefault="00000000">
      <w:pPr>
        <w:pStyle w:val="Heading1"/>
        <w:spacing w:before="320" w:after="160"/>
      </w:pPr>
      <w:r>
        <w:t>4. Investment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0"/>
        <w:gridCol w:w="2000"/>
        <w:gridCol w:w="2000"/>
      </w:tblGrid>
      <w:tr w:rsidR="00BE0009">
        <w:tblPrEx>
          <w:tblCellMar>
            <w:top w:w="0" w:type="dxa"/>
            <w:bottom w:w="0" w:type="dxa"/>
          </w:tblCellMar>
        </w:tblPrEx>
        <w:trPr>
          <w:tblHeader/>
        </w:trPr>
        <w:tc>
          <w:tcPr>
            <w:tcW w:w="5350" w:type="dxa"/>
            <w:shd w:val="clear" w:color="auto" w:fill="1F4E5F"/>
            <w:tcMar>
              <w:top w:w="100" w:type="dxa"/>
              <w:left w:w="120" w:type="dxa"/>
              <w:bottom w:w="100" w:type="dxa"/>
              <w:right w:w="120" w:type="dxa"/>
            </w:tcMar>
            <w:vAlign w:val="center"/>
          </w:tcPr>
          <w:p w:rsidR="00BE0009" w:rsidRDefault="00000000">
            <w:r>
              <w:rPr>
                <w:b/>
                <w:bCs/>
                <w:color w:val="FFFFFF"/>
                <w:sz w:val="22"/>
                <w:szCs w:val="22"/>
              </w:rPr>
              <w:lastRenderedPageBreak/>
              <w:t>Deliverable</w:t>
            </w:r>
          </w:p>
        </w:tc>
        <w:tc>
          <w:tcPr>
            <w:tcW w:w="2000" w:type="dxa"/>
            <w:shd w:val="clear" w:color="auto" w:fill="1F4E5F"/>
            <w:tcMar>
              <w:top w:w="100" w:type="dxa"/>
              <w:left w:w="120" w:type="dxa"/>
              <w:bottom w:w="100" w:type="dxa"/>
              <w:right w:w="120" w:type="dxa"/>
            </w:tcMar>
            <w:vAlign w:val="center"/>
          </w:tcPr>
          <w:p w:rsidR="00BE0009" w:rsidRDefault="00000000">
            <w:pPr>
              <w:jc w:val="right"/>
            </w:pPr>
            <w:r>
              <w:rPr>
                <w:b/>
                <w:bCs/>
                <w:color w:val="FFFFFF"/>
                <w:sz w:val="22"/>
                <w:szCs w:val="22"/>
              </w:rPr>
              <w:t>Investment</w:t>
            </w:r>
          </w:p>
        </w:tc>
        <w:tc>
          <w:tcPr>
            <w:tcW w:w="2000" w:type="dxa"/>
            <w:shd w:val="clear" w:color="auto" w:fill="1F4E5F"/>
            <w:tcMar>
              <w:top w:w="100" w:type="dxa"/>
              <w:left w:w="120" w:type="dxa"/>
              <w:bottom w:w="100" w:type="dxa"/>
              <w:right w:w="120" w:type="dxa"/>
            </w:tcMar>
            <w:vAlign w:val="center"/>
          </w:tcPr>
          <w:p w:rsidR="00BE0009" w:rsidRDefault="00BE0009"/>
        </w:tc>
      </w:tr>
      <w:tr w:rsidR="00BE0009">
        <w:tblPrEx>
          <w:tblCellMar>
            <w:top w:w="0" w:type="dxa"/>
            <w:bottom w:w="0" w:type="dxa"/>
          </w:tblCellMar>
        </w:tblPrEx>
        <w:tc>
          <w:tcPr>
            <w:tcW w:w="5350" w:type="dxa"/>
            <w:tcMar>
              <w:top w:w="100" w:type="dxa"/>
              <w:left w:w="120" w:type="dxa"/>
              <w:bottom w:w="100" w:type="dxa"/>
              <w:right w:w="120" w:type="dxa"/>
            </w:tcMar>
            <w:vAlign w:val="center"/>
          </w:tcPr>
          <w:p w:rsidR="00BE0009" w:rsidRDefault="00000000">
            <w:r>
              <w:rPr>
                <w:sz w:val="22"/>
                <w:szCs w:val="22"/>
              </w:rPr>
              <w:t>Website &amp; Symposium Management Platform</w:t>
            </w:r>
          </w:p>
        </w:tc>
        <w:tc>
          <w:tcPr>
            <w:tcW w:w="2000" w:type="dxa"/>
            <w:tcMar>
              <w:top w:w="100" w:type="dxa"/>
              <w:left w:w="120" w:type="dxa"/>
              <w:bottom w:w="100" w:type="dxa"/>
              <w:right w:w="120" w:type="dxa"/>
            </w:tcMar>
            <w:vAlign w:val="center"/>
          </w:tcPr>
          <w:p w:rsidR="00BE0009" w:rsidRDefault="00000000">
            <w:pPr>
              <w:jc w:val="right"/>
            </w:pPr>
            <w:r>
              <w:rPr>
                <w:sz w:val="22"/>
                <w:szCs w:val="22"/>
              </w:rPr>
              <w:t>R100 000</w:t>
            </w:r>
          </w:p>
        </w:tc>
        <w:tc>
          <w:tcPr>
            <w:tcW w:w="2000" w:type="dxa"/>
            <w:tcMar>
              <w:top w:w="100" w:type="dxa"/>
              <w:left w:w="120" w:type="dxa"/>
              <w:bottom w:w="100" w:type="dxa"/>
              <w:right w:w="120" w:type="dxa"/>
            </w:tcMar>
            <w:vAlign w:val="center"/>
          </w:tcPr>
          <w:p w:rsidR="00BE0009" w:rsidRDefault="00BE0009"/>
        </w:tc>
      </w:tr>
      <w:tr w:rsidR="00BE0009">
        <w:tblPrEx>
          <w:tblCellMar>
            <w:top w:w="0" w:type="dxa"/>
            <w:bottom w:w="0" w:type="dxa"/>
          </w:tblCellMar>
        </w:tblPrEx>
        <w:tc>
          <w:tcPr>
            <w:tcW w:w="5350" w:type="dxa"/>
            <w:shd w:val="clear" w:color="auto" w:fill="EAF2F4"/>
            <w:tcMar>
              <w:top w:w="100" w:type="dxa"/>
              <w:left w:w="120" w:type="dxa"/>
              <w:bottom w:w="100" w:type="dxa"/>
              <w:right w:w="120" w:type="dxa"/>
            </w:tcMar>
            <w:vAlign w:val="center"/>
          </w:tcPr>
          <w:p w:rsidR="00BE0009" w:rsidRDefault="00000000">
            <w:r>
              <w:rPr>
                <w:sz w:val="22"/>
                <w:szCs w:val="22"/>
              </w:rPr>
              <w:t>Brand &amp; Graphic Design (logo, visual identity)</w:t>
            </w:r>
          </w:p>
        </w:tc>
        <w:tc>
          <w:tcPr>
            <w:tcW w:w="2000" w:type="dxa"/>
            <w:shd w:val="clear" w:color="auto" w:fill="EAF2F4"/>
            <w:tcMar>
              <w:top w:w="100" w:type="dxa"/>
              <w:left w:w="120" w:type="dxa"/>
              <w:bottom w:w="100" w:type="dxa"/>
              <w:right w:w="120" w:type="dxa"/>
            </w:tcMar>
            <w:vAlign w:val="center"/>
          </w:tcPr>
          <w:p w:rsidR="00BE0009" w:rsidRDefault="00000000">
            <w:pPr>
              <w:jc w:val="right"/>
            </w:pPr>
            <w:r>
              <w:rPr>
                <w:sz w:val="22"/>
                <w:szCs w:val="22"/>
              </w:rPr>
              <w:t>R15 000</w:t>
            </w:r>
          </w:p>
        </w:tc>
        <w:tc>
          <w:tcPr>
            <w:tcW w:w="2000" w:type="dxa"/>
            <w:shd w:val="clear" w:color="auto" w:fill="EAF2F4"/>
            <w:tcMar>
              <w:top w:w="100" w:type="dxa"/>
              <w:left w:w="120" w:type="dxa"/>
              <w:bottom w:w="100" w:type="dxa"/>
              <w:right w:w="120" w:type="dxa"/>
            </w:tcMar>
            <w:vAlign w:val="center"/>
          </w:tcPr>
          <w:p w:rsidR="00BE0009" w:rsidRDefault="00BE0009"/>
        </w:tc>
      </w:tr>
      <w:tr w:rsidR="00BE0009">
        <w:tblPrEx>
          <w:tblCellMar>
            <w:top w:w="0" w:type="dxa"/>
            <w:bottom w:w="0" w:type="dxa"/>
          </w:tblCellMar>
        </w:tblPrEx>
        <w:tc>
          <w:tcPr>
            <w:tcW w:w="5350" w:type="dxa"/>
            <w:tcMar>
              <w:top w:w="100" w:type="dxa"/>
              <w:left w:w="120" w:type="dxa"/>
              <w:bottom w:w="100" w:type="dxa"/>
              <w:right w:w="120" w:type="dxa"/>
            </w:tcMar>
            <w:vAlign w:val="center"/>
          </w:tcPr>
          <w:p w:rsidR="00BE0009" w:rsidRDefault="00000000">
            <w:r>
              <w:rPr>
                <w:sz w:val="22"/>
                <w:szCs w:val="22"/>
              </w:rPr>
              <w:t>Copy &amp; Content Development</w:t>
            </w:r>
          </w:p>
        </w:tc>
        <w:tc>
          <w:tcPr>
            <w:tcW w:w="2000" w:type="dxa"/>
            <w:tcMar>
              <w:top w:w="100" w:type="dxa"/>
              <w:left w:w="120" w:type="dxa"/>
              <w:bottom w:w="100" w:type="dxa"/>
              <w:right w:w="120" w:type="dxa"/>
            </w:tcMar>
            <w:vAlign w:val="center"/>
          </w:tcPr>
          <w:p w:rsidR="00BE0009" w:rsidRDefault="00000000">
            <w:pPr>
              <w:jc w:val="right"/>
            </w:pPr>
            <w:r>
              <w:rPr>
                <w:sz w:val="22"/>
                <w:szCs w:val="22"/>
              </w:rPr>
              <w:t>Excluded</w:t>
            </w:r>
          </w:p>
        </w:tc>
        <w:tc>
          <w:tcPr>
            <w:tcW w:w="2000" w:type="dxa"/>
            <w:tcMar>
              <w:top w:w="100" w:type="dxa"/>
              <w:left w:w="120" w:type="dxa"/>
              <w:bottom w:w="100" w:type="dxa"/>
              <w:right w:w="120" w:type="dxa"/>
            </w:tcMar>
            <w:vAlign w:val="center"/>
          </w:tcPr>
          <w:p w:rsidR="00BE0009" w:rsidRDefault="00000000">
            <w:r>
              <w:rPr>
                <w:sz w:val="22"/>
                <w:szCs w:val="22"/>
              </w:rPr>
              <w:t>Handled by PEETS PR officer</w:t>
            </w:r>
          </w:p>
        </w:tc>
      </w:tr>
      <w:tr w:rsidR="00BE0009">
        <w:tblPrEx>
          <w:tblCellMar>
            <w:top w:w="0" w:type="dxa"/>
            <w:bottom w:w="0" w:type="dxa"/>
          </w:tblCellMar>
        </w:tblPrEx>
        <w:tc>
          <w:tcPr>
            <w:tcW w:w="5350" w:type="dxa"/>
            <w:shd w:val="clear" w:color="auto" w:fill="D9E6E9"/>
            <w:tcMar>
              <w:top w:w="100" w:type="dxa"/>
              <w:left w:w="120" w:type="dxa"/>
              <w:bottom w:w="100" w:type="dxa"/>
              <w:right w:w="120" w:type="dxa"/>
            </w:tcMar>
            <w:vAlign w:val="center"/>
          </w:tcPr>
          <w:p w:rsidR="00BE0009" w:rsidRDefault="00000000">
            <w:r>
              <w:rPr>
                <w:b/>
                <w:bCs/>
                <w:sz w:val="22"/>
                <w:szCs w:val="22"/>
              </w:rPr>
              <w:t>Total (this proposal)</w:t>
            </w:r>
          </w:p>
        </w:tc>
        <w:tc>
          <w:tcPr>
            <w:tcW w:w="2000" w:type="dxa"/>
            <w:shd w:val="clear" w:color="auto" w:fill="D9E6E9"/>
            <w:tcMar>
              <w:top w:w="100" w:type="dxa"/>
              <w:left w:w="120" w:type="dxa"/>
              <w:bottom w:w="100" w:type="dxa"/>
              <w:right w:w="120" w:type="dxa"/>
            </w:tcMar>
            <w:vAlign w:val="center"/>
          </w:tcPr>
          <w:p w:rsidR="00BE0009" w:rsidRDefault="00000000">
            <w:pPr>
              <w:jc w:val="right"/>
            </w:pPr>
            <w:r>
              <w:rPr>
                <w:b/>
                <w:bCs/>
                <w:sz w:val="22"/>
                <w:szCs w:val="22"/>
              </w:rPr>
              <w:t>R115 000</w:t>
            </w:r>
          </w:p>
        </w:tc>
        <w:tc>
          <w:tcPr>
            <w:tcW w:w="2000" w:type="dxa"/>
            <w:shd w:val="clear" w:color="auto" w:fill="D9E6E9"/>
            <w:tcMar>
              <w:top w:w="100" w:type="dxa"/>
              <w:left w:w="120" w:type="dxa"/>
              <w:bottom w:w="100" w:type="dxa"/>
              <w:right w:w="120" w:type="dxa"/>
            </w:tcMar>
            <w:vAlign w:val="center"/>
          </w:tcPr>
          <w:p w:rsidR="00BE0009" w:rsidRDefault="00BE0009"/>
        </w:tc>
      </w:tr>
    </w:tbl>
    <w:p w:rsidR="00BE0009" w:rsidRDefault="00BE0009">
      <w:pPr>
        <w:spacing w:after="200"/>
      </w:pPr>
    </w:p>
    <w:p w:rsidR="00BE0009" w:rsidRDefault="00000000">
      <w:pPr>
        <w:spacing w:after="160"/>
      </w:pPr>
      <w:r>
        <w:rPr>
          <w:i/>
          <w:iCs/>
          <w:color w:val="595959"/>
        </w:rPr>
        <w:t>Figures exclude VAT unless otherwise agreed. Copy and content development is excluded from this total and will sit with the PEETS PR officer, with content support available on request if needed.</w:t>
      </w:r>
    </w:p>
    <w:p w:rsidR="00BE0009" w:rsidRDefault="00000000">
      <w:pPr>
        <w:pStyle w:val="Heading1"/>
        <w:spacing w:before="320" w:after="160"/>
      </w:pPr>
      <w:r>
        <w:t>5. Payment Terms</w:t>
      </w:r>
    </w:p>
    <w:p w:rsidR="00BE0009" w:rsidRDefault="00000000">
      <w:pPr>
        <w:spacing w:after="160"/>
      </w:pPr>
      <w:r>
        <w:rPr>
          <w:sz w:val="22"/>
          <w:szCs w:val="22"/>
        </w:rPr>
        <w:t>Suggested structure, open to adjustment:</w:t>
      </w:r>
    </w:p>
    <w:p w:rsidR="00BE0009" w:rsidRDefault="00000000">
      <w:pPr>
        <w:pStyle w:val="ListParagraph"/>
        <w:numPr>
          <w:ilvl w:val="0"/>
          <w:numId w:val="1"/>
        </w:numPr>
        <w:spacing w:after="100"/>
      </w:pPr>
      <w:r>
        <w:t>40% on acceptance of proposal, to commence work</w:t>
      </w:r>
    </w:p>
    <w:p w:rsidR="00BE0009" w:rsidRDefault="00000000">
      <w:pPr>
        <w:pStyle w:val="ListParagraph"/>
        <w:numPr>
          <w:ilvl w:val="0"/>
          <w:numId w:val="1"/>
        </w:numPr>
        <w:spacing w:after="100"/>
      </w:pPr>
      <w:r>
        <w:t>30% on approval of design and platform structure (mid-project milestone)</w:t>
      </w:r>
    </w:p>
    <w:p w:rsidR="00BE0009" w:rsidRDefault="00000000">
      <w:pPr>
        <w:pStyle w:val="ListParagraph"/>
        <w:numPr>
          <w:ilvl w:val="0"/>
          <w:numId w:val="1"/>
        </w:numPr>
        <w:spacing w:after="100"/>
      </w:pPr>
      <w:r>
        <w:t>30% on final delivery and sign-off</w:t>
      </w:r>
    </w:p>
    <w:p w:rsidR="00BE0009" w:rsidRDefault="00000000">
      <w:pPr>
        <w:pStyle w:val="Heading1"/>
        <w:spacing w:before="320" w:after="160"/>
      </w:pPr>
      <w:r>
        <w:t>6. Indicative Timeline</w:t>
      </w:r>
    </w:p>
    <w:p w:rsidR="00BE0009" w:rsidRDefault="00000000">
      <w:pPr>
        <w:spacing w:after="160"/>
      </w:pPr>
      <w:r>
        <w:rPr>
          <w:sz w:val="22"/>
          <w:szCs w:val="22"/>
        </w:rPr>
        <w:t xml:space="preserve">Subject to a </w:t>
      </w:r>
      <w:proofErr w:type="spellStart"/>
      <w:r>
        <w:rPr>
          <w:sz w:val="22"/>
          <w:szCs w:val="22"/>
        </w:rPr>
        <w:t>kickoff</w:t>
      </w:r>
      <w:proofErr w:type="spellEnd"/>
      <w:r>
        <w:rPr>
          <w:sz w:val="22"/>
          <w:szCs w:val="22"/>
        </w:rPr>
        <w:t xml:space="preserve"> discussion, the project is expected to run across the following phases. Exact durations will be confirmed once scope is signed off.</w:t>
      </w:r>
    </w:p>
    <w:p w:rsidR="00BE0009" w:rsidRDefault="00000000">
      <w:pPr>
        <w:pStyle w:val="ListParagraph"/>
        <w:numPr>
          <w:ilvl w:val="0"/>
          <w:numId w:val="1"/>
        </w:numPr>
        <w:spacing w:after="100"/>
      </w:pPr>
      <w:r>
        <w:t>Discovery &amp; information architecture</w:t>
      </w:r>
    </w:p>
    <w:p w:rsidR="00BE0009" w:rsidRDefault="00000000">
      <w:pPr>
        <w:pStyle w:val="ListParagraph"/>
        <w:numPr>
          <w:ilvl w:val="0"/>
          <w:numId w:val="1"/>
        </w:numPr>
        <w:spacing w:after="100"/>
      </w:pPr>
      <w:r>
        <w:t>Brand identity design</w:t>
      </w:r>
    </w:p>
    <w:p w:rsidR="00BE0009" w:rsidRDefault="00000000">
      <w:pPr>
        <w:pStyle w:val="ListParagraph"/>
        <w:numPr>
          <w:ilvl w:val="0"/>
          <w:numId w:val="1"/>
        </w:numPr>
        <w:spacing w:after="100"/>
      </w:pPr>
      <w:r>
        <w:t>Platform design (UI/UX) and CMS structure</w:t>
      </w:r>
    </w:p>
    <w:p w:rsidR="00BE0009" w:rsidRDefault="00000000">
      <w:pPr>
        <w:pStyle w:val="ListParagraph"/>
        <w:numPr>
          <w:ilvl w:val="0"/>
          <w:numId w:val="1"/>
        </w:numPr>
        <w:spacing w:after="100"/>
      </w:pPr>
      <w:r>
        <w:t>Development — public site, registration &amp; accounts, CMS, FAQ assistant</w:t>
      </w:r>
    </w:p>
    <w:p w:rsidR="00BE0009" w:rsidRDefault="00000000">
      <w:pPr>
        <w:pStyle w:val="ListParagraph"/>
        <w:numPr>
          <w:ilvl w:val="0"/>
          <w:numId w:val="1"/>
        </w:numPr>
        <w:spacing w:after="100"/>
      </w:pPr>
      <w:r>
        <w:t>Testing, training, and content migration</w:t>
      </w:r>
    </w:p>
    <w:p w:rsidR="00BE0009" w:rsidRDefault="00000000">
      <w:pPr>
        <w:pStyle w:val="ListParagraph"/>
        <w:numPr>
          <w:ilvl w:val="0"/>
          <w:numId w:val="1"/>
        </w:numPr>
        <w:spacing w:after="100"/>
      </w:pPr>
      <w:r>
        <w:t>Launch and post-launch support window</w:t>
      </w:r>
    </w:p>
    <w:p w:rsidR="00BE0009" w:rsidRDefault="00000000">
      <w:pPr>
        <w:pStyle w:val="Heading1"/>
        <w:spacing w:before="320" w:after="160"/>
      </w:pPr>
      <w:r>
        <w:t>7. Next Steps</w:t>
      </w:r>
    </w:p>
    <w:p w:rsidR="00BE0009" w:rsidRDefault="00000000">
      <w:pPr>
        <w:spacing w:after="160"/>
      </w:pPr>
      <w:r>
        <w:rPr>
          <w:sz w:val="22"/>
          <w:szCs w:val="22"/>
        </w:rPr>
        <w:t>We'd welcome a short call to confirm the assumptions above — particularly the abstract submission workflow and who will own day-to-day updates to participant status — before finalising scope and starting work.</w:t>
      </w:r>
    </w:p>
    <w:sectPr w:rsidR="00BE0009">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C1692"/>
    <w:multiLevelType w:val="hybridMultilevel"/>
    <w:tmpl w:val="420C3A42"/>
    <w:lvl w:ilvl="0" w:tplc="5A4A2188">
      <w:start w:val="1"/>
      <w:numFmt w:val="bullet"/>
      <w:lvlText w:val="•"/>
      <w:lvlJc w:val="left"/>
      <w:pPr>
        <w:ind w:left="460" w:hanging="260"/>
      </w:pPr>
    </w:lvl>
    <w:lvl w:ilvl="1" w:tplc="CA14FB96">
      <w:start w:val="1"/>
      <w:numFmt w:val="bullet"/>
      <w:lvlText w:val="◦"/>
      <w:lvlJc w:val="left"/>
      <w:pPr>
        <w:ind w:left="820" w:hanging="260"/>
      </w:pPr>
    </w:lvl>
    <w:lvl w:ilvl="2" w:tplc="32B6DA02">
      <w:numFmt w:val="decimal"/>
      <w:lvlText w:val=""/>
      <w:lvlJc w:val="left"/>
    </w:lvl>
    <w:lvl w:ilvl="3" w:tplc="118C9024">
      <w:numFmt w:val="decimal"/>
      <w:lvlText w:val=""/>
      <w:lvlJc w:val="left"/>
    </w:lvl>
    <w:lvl w:ilvl="4" w:tplc="2474E646">
      <w:numFmt w:val="decimal"/>
      <w:lvlText w:val=""/>
      <w:lvlJc w:val="left"/>
    </w:lvl>
    <w:lvl w:ilvl="5" w:tplc="9A9262A2">
      <w:numFmt w:val="decimal"/>
      <w:lvlText w:val=""/>
      <w:lvlJc w:val="left"/>
    </w:lvl>
    <w:lvl w:ilvl="6" w:tplc="7B249D3C">
      <w:numFmt w:val="decimal"/>
      <w:lvlText w:val=""/>
      <w:lvlJc w:val="left"/>
    </w:lvl>
    <w:lvl w:ilvl="7" w:tplc="99608C0C">
      <w:numFmt w:val="decimal"/>
      <w:lvlText w:val=""/>
      <w:lvlJc w:val="left"/>
    </w:lvl>
    <w:lvl w:ilvl="8" w:tplc="3F82F1EC">
      <w:numFmt w:val="decimal"/>
      <w:lvlText w:val=""/>
      <w:lvlJc w:val="left"/>
    </w:lvl>
  </w:abstractNum>
  <w:abstractNum w:abstractNumId="1" w15:restartNumberingAfterBreak="0">
    <w:nsid w:val="6A435D5A"/>
    <w:multiLevelType w:val="hybridMultilevel"/>
    <w:tmpl w:val="3CE0D1D6"/>
    <w:lvl w:ilvl="0" w:tplc="ACF85A14">
      <w:start w:val="1"/>
      <w:numFmt w:val="bullet"/>
      <w:lvlText w:val="●"/>
      <w:lvlJc w:val="left"/>
      <w:pPr>
        <w:ind w:left="720" w:hanging="360"/>
      </w:pPr>
    </w:lvl>
    <w:lvl w:ilvl="1" w:tplc="1778D50C">
      <w:start w:val="1"/>
      <w:numFmt w:val="bullet"/>
      <w:lvlText w:val="○"/>
      <w:lvlJc w:val="left"/>
      <w:pPr>
        <w:ind w:left="1440" w:hanging="360"/>
      </w:pPr>
    </w:lvl>
    <w:lvl w:ilvl="2" w:tplc="D8FCF054">
      <w:start w:val="1"/>
      <w:numFmt w:val="bullet"/>
      <w:lvlText w:val="■"/>
      <w:lvlJc w:val="left"/>
      <w:pPr>
        <w:ind w:left="2160" w:hanging="360"/>
      </w:pPr>
    </w:lvl>
    <w:lvl w:ilvl="3" w:tplc="8BBAF4E6">
      <w:start w:val="1"/>
      <w:numFmt w:val="bullet"/>
      <w:lvlText w:val="●"/>
      <w:lvlJc w:val="left"/>
      <w:pPr>
        <w:ind w:left="2880" w:hanging="360"/>
      </w:pPr>
    </w:lvl>
    <w:lvl w:ilvl="4" w:tplc="D17AC3E0">
      <w:start w:val="1"/>
      <w:numFmt w:val="bullet"/>
      <w:lvlText w:val="○"/>
      <w:lvlJc w:val="left"/>
      <w:pPr>
        <w:ind w:left="3600" w:hanging="360"/>
      </w:pPr>
    </w:lvl>
    <w:lvl w:ilvl="5" w:tplc="23DCF004">
      <w:start w:val="1"/>
      <w:numFmt w:val="bullet"/>
      <w:lvlText w:val="■"/>
      <w:lvlJc w:val="left"/>
      <w:pPr>
        <w:ind w:left="4320" w:hanging="360"/>
      </w:pPr>
    </w:lvl>
    <w:lvl w:ilvl="6" w:tplc="6502756E">
      <w:start w:val="1"/>
      <w:numFmt w:val="bullet"/>
      <w:lvlText w:val="●"/>
      <w:lvlJc w:val="left"/>
      <w:pPr>
        <w:ind w:left="5040" w:hanging="360"/>
      </w:pPr>
    </w:lvl>
    <w:lvl w:ilvl="7" w:tplc="7EC4CC9E">
      <w:start w:val="1"/>
      <w:numFmt w:val="bullet"/>
      <w:lvlText w:val="●"/>
      <w:lvlJc w:val="left"/>
      <w:pPr>
        <w:ind w:left="5760" w:hanging="360"/>
      </w:pPr>
    </w:lvl>
    <w:lvl w:ilvl="8" w:tplc="75F6C368">
      <w:start w:val="1"/>
      <w:numFmt w:val="bullet"/>
      <w:lvlText w:val="●"/>
      <w:lvlJc w:val="left"/>
      <w:pPr>
        <w:ind w:left="6480" w:hanging="360"/>
      </w:pPr>
    </w:lvl>
  </w:abstractNum>
  <w:num w:numId="1" w16cid:durableId="10696961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09"/>
    <w:rsid w:val="001F384C"/>
    <w:rsid w:val="0064764C"/>
    <w:rsid w:val="00BE000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D4DFDEA"/>
  <w15:docId w15:val="{5D973DAF-6C16-9C43-A7C5-12EA47D2C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INNOCENT MPETA</cp:lastModifiedBy>
  <cp:revision>2</cp:revision>
  <dcterms:created xsi:type="dcterms:W3CDTF">2026-07-10T11:45:00Z</dcterms:created>
  <dcterms:modified xsi:type="dcterms:W3CDTF">2026-07-20T10:15:00Z</dcterms:modified>
</cp:coreProperties>
</file>