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sz w:val="28"/>
          <w:szCs w:val="28"/>
        </w:rPr>
        <w:t xml:space="preserve">ENGI 9875 — Special Topics in Embedded Systems</w:t>
      </w:r>
    </w:p>
    <w:p>
      <w:pPr>
        <w:spacing w:after="400"/>
        <w:jc w:val="center"/>
      </w:pPr>
      <w:r>
        <w:rPr>
          <w:rFonts w:ascii="Times New Roman" w:cs="Times New Roman" w:eastAsia="Times New Roman" w:hAnsi="Times New Roman"/>
          <w:b/>
          <w:bCs/>
          <w:sz w:val="36"/>
          <w:szCs w:val="36"/>
        </w:rPr>
        <w:t xml:space="preserve">Predictive Maintenance with Anomaly Detection
Using TFLite Micro on NuttX RTOS</w:t>
      </w:r>
    </w:p>
    <w:p>
      <w:pPr>
        <w:spacing w:after="200"/>
        <w:jc w:val="center"/>
      </w:pPr>
      <w:r>
        <w:rPr>
          <w:rFonts w:ascii="Times New Roman" w:cs="Times New Roman" w:eastAsia="Times New Roman" w:hAnsi="Times New Roman"/>
          <w:sz w:val="26"/>
          <w:szCs w:val="26"/>
        </w:rPr>
        <w:t xml:space="preserve">Onwukanjo Innocent</w:t>
      </w:r>
    </w:p>
    <w:p>
      <w:pPr>
        <w:spacing w:after="200"/>
        <w:jc w:val="center"/>
      </w:pPr>
      <w:r>
        <w:rPr>
          <w:rFonts w:ascii="Times New Roman" w:cs="Times New Roman" w:eastAsia="Times New Roman" w:hAnsi="Times New Roman"/>
          <w:sz w:val="24"/>
          <w:szCs w:val="24"/>
        </w:rPr>
        <w:t xml:space="preserve">Student ID: 202487225</w:t>
      </w:r>
    </w:p>
    <w:p>
      <w:pPr>
        <w:spacing w:after="200"/>
        <w:jc w:val="center"/>
      </w:pPr>
      <w:r>
        <w:rPr>
          <w:rFonts w:ascii="Times New Roman" w:cs="Times New Roman" w:eastAsia="Times New Roman" w:hAnsi="Times New Roman"/>
          <w:sz w:val="24"/>
          <w:szCs w:val="24"/>
        </w:rPr>
        <w:t xml:space="preserve">Memorial University of Newfoundland</w:t>
      </w:r>
    </w:p>
    <w:p>
      <w:pPr>
        <w:spacing w:after="600"/>
        <w:jc w:val="center"/>
      </w:pPr>
      <w:r>
        <w:rPr>
          <w:rFonts w:ascii="Times New Roman" w:cs="Times New Roman" w:eastAsia="Times New Roman" w:hAnsi="Times New Roman"/>
          <w:sz w:val="24"/>
          <w:szCs w:val="24"/>
        </w:rPr>
        <w:t xml:space="preserve">April 2026</w:t>
      </w:r>
    </w:p>
    <w:p>
      <w:pPr>
        <w:spacing w:before="600"/>
        <w:jc w:val="center"/>
      </w:pPr>
      <w:r>
        <w:rPr>
          <w:rFonts w:ascii="Times New Roman" w:cs="Times New Roman" w:eastAsia="Times New Roman" w:hAnsi="Times New Roman"/>
          <w:b/>
          <w:bCs/>
          <w:sz w:val="24"/>
          <w:szCs w:val="24"/>
        </w:rPr>
        <w:t xml:space="preserve">Abstract</w:t>
      </w:r>
    </w:p>
    <w:p>
      <w:pPr>
        <w:spacing w:after="120" w:line="276"/>
        <w:ind w:left="720" w:right="720"/>
        <w:jc w:val="both"/>
      </w:pPr>
      <w:r>
        <w:rPr>
          <w:rFonts w:ascii="Times New Roman" w:cs="Times New Roman" w:eastAsia="Times New Roman" w:hAnsi="Times New Roman"/>
          <w:i/>
          <w:iCs/>
          <w:sz w:val="20"/>
          <w:szCs w:val="20"/>
        </w:rPr>
        <w:t xml:space="preserve">This report presents the design and implementation of a predictive maintenance system that detects simulated equipment failure by monitoring motor vibration patterns for anomalies. The system runs on the NuttX real-time operating system targeting the STM32F407 microcontroller, simulated using Renode. A binary classifier neural network was trained offline using Keras and TensorFlow, then quantized to INT8 format and deployed using TensorFlow Lite for Microcontrollers (TFLite Micro). The embedded application is structured as a multi-task pipeline consisting of a high-priority sampling task, a mid-priority inference task running the neural network, and a low-priority alert task. Inter-task communication uses POSIX message queues, shared anomaly logging is protected by counting semaphores, and task notifications wake the alert task upon anomaly detection. The system successfully classifies normal motor vibration (5 Hz sine) and bearing fault signatures (20 Hz whine) with 100% accuracy across test scenarios, demonstrating the feasibility of deploying edge machine learning within a real-time embedded operating system.</w:t>
      </w:r>
    </w:p>
    <w:p>
      <w:pPr>
        <w:sectPr>
          <w:pgSz w:w="12240" w:h="15840" w:orient="portrait"/>
          <w:pgMar w:top="1440" w:right="1440" w:bottom="1440" w:left="1440" w:header="708" w:footer="708" w:gutter="0"/>
          <w:pgNumType/>
          <w:docGrid w:linePitch="360"/>
        </w:sectPr>
      </w:pPr>
    </w:p>
    <w:p>
      <w:pPr>
        <w:pStyle w:val="Heading1"/>
        <w:spacing w:after="200" w:before="300"/>
      </w:pPr>
      <w:r>
        <w:rPr>
          <w:rFonts w:ascii="Times New Roman" w:cs="Times New Roman" w:eastAsia="Times New Roman" w:hAnsi="Times New Roman"/>
          <w:b/>
          <w:bCs/>
          <w:sz w:val="28"/>
          <w:szCs w:val="28"/>
        </w:rPr>
        <w:t xml:space="preserve">1. Introduction</w:t>
      </w:r>
    </w:p>
    <w:p>
      <w:pPr>
        <w:pStyle w:val="Heading2"/>
        <w:spacing w:after="160" w:before="240"/>
      </w:pPr>
      <w:r>
        <w:rPr>
          <w:rFonts w:ascii="Times New Roman" w:cs="Times New Roman" w:eastAsia="Times New Roman" w:hAnsi="Times New Roman"/>
          <w:b/>
          <w:bCs/>
          <w:sz w:val="24"/>
          <w:szCs w:val="24"/>
        </w:rPr>
        <w:t xml:space="preserve">1.1 Problem Statement</w:t>
      </w:r>
    </w:p>
    <w:p>
      <w:pPr>
        <w:spacing w:after="120" w:line="276"/>
        <w:jc w:val="both"/>
      </w:pPr>
      <w:r>
        <w:rPr>
          <w:rFonts w:ascii="Times New Roman" w:cs="Times New Roman" w:eastAsia="Times New Roman" w:hAnsi="Times New Roman"/>
          <w:sz w:val="22"/>
          <w:szCs w:val="22"/>
        </w:rPr>
        <w:t xml:space="preserve">Unplanned equipment failures in industrial settings lead to significant downtime and maintenance costs. Traditional threshold-based monitoring approaches fail to detect subtle degradation patterns that precede catastrophic failure. Machine learning offers a data-driven alternative, but deploying neural network inference on resource-constrained microcontrollers presents unique challenges in memory management, numerical compatibility, and real-time task scheduling.</w:t>
      </w:r>
    </w:p>
    <w:p>
      <w:pPr>
        <w:pStyle w:val="Heading2"/>
        <w:spacing w:after="160" w:before="240"/>
      </w:pPr>
      <w:r>
        <w:rPr>
          <w:rFonts w:ascii="Times New Roman" w:cs="Times New Roman" w:eastAsia="Times New Roman" w:hAnsi="Times New Roman"/>
          <w:b/>
          <w:bCs/>
          <w:sz w:val="24"/>
          <w:szCs w:val="24"/>
        </w:rPr>
        <w:t xml:space="preserve">1.2 Motivation</w:t>
      </w:r>
    </w:p>
    <w:p>
      <w:pPr>
        <w:spacing w:after="120" w:line="276"/>
        <w:jc w:val="both"/>
      </w:pPr>
      <w:r>
        <w:rPr>
          <w:rFonts w:ascii="Times New Roman" w:cs="Times New Roman" w:eastAsia="Times New Roman" w:hAnsi="Times New Roman"/>
          <w:sz w:val="22"/>
          <w:szCs w:val="22"/>
        </w:rPr>
        <w:t xml:space="preserve">This project explores the intersection of embedded real-time systems and edge machine learning. Rather than streaming sensor data to a cloud server for analysis, the system performs inference directly on the microcontroller, reducing latency and eliminating network dependencies. The NuttX RTOS provides the scheduling and inter-task communication primitives needed to structure the system as a deterministic pipeline.</w:t>
      </w:r>
    </w:p>
    <w:p>
      <w:pPr>
        <w:pStyle w:val="Heading2"/>
        <w:spacing w:after="160" w:before="240"/>
      </w:pPr>
      <w:r>
        <w:rPr>
          <w:rFonts w:ascii="Times New Roman" w:cs="Times New Roman" w:eastAsia="Times New Roman" w:hAnsi="Times New Roman"/>
          <w:b/>
          <w:bCs/>
          <w:sz w:val="24"/>
          <w:szCs w:val="24"/>
        </w:rPr>
        <w:t xml:space="preserve">1.3 Objectives</w:t>
      </w:r>
    </w:p>
    <w:p>
      <w:pPr>
        <w:spacing w:after="120" w:line="276"/>
        <w:jc w:val="both"/>
      </w:pPr>
      <w:r>
        <w:rPr>
          <w:rFonts w:ascii="Times New Roman" w:cs="Times New Roman" w:eastAsia="Times New Roman" w:hAnsi="Times New Roman"/>
          <w:sz w:val="22"/>
          <w:szCs w:val="22"/>
        </w:rPr>
        <w:t xml:space="preserve">The primary objectives of this project are: (1) train a binary classifier neural network to distinguish normal motor vibration from bearing fault signatures; (2) quantize the model to INT8 format and deploy it using TFLite Micro within NuttX; (3) implement a multi-task pipeline demonstrating priority-based scheduling, message queues, semaphore-protected shared resources, and task notifications; and (4) validate the complete system in the Renode simulator targeting the STM32F407 platform.</w:t>
      </w:r>
    </w:p>
    <w:p>
      <w:pPr>
        <w:pStyle w:val="Heading2"/>
        <w:spacing w:after="160" w:before="240"/>
      </w:pPr>
      <w:r>
        <w:rPr>
          <w:rFonts w:ascii="Times New Roman" w:cs="Times New Roman" w:eastAsia="Times New Roman" w:hAnsi="Times New Roman"/>
          <w:b/>
          <w:bCs/>
          <w:sz w:val="24"/>
          <w:szCs w:val="24"/>
        </w:rPr>
        <w:t xml:space="preserve">1.4 Learning Outcomes Addressed</w:t>
      </w:r>
    </w:p>
    <w:p>
      <w:pPr>
        <w:spacing w:after="120" w:line="276"/>
        <w:jc w:val="both"/>
      </w:pPr>
      <w:r>
        <w:rPr>
          <w:rFonts w:ascii="Times New Roman" w:cs="Times New Roman" w:eastAsia="Times New Roman" w:hAnsi="Times New Roman"/>
          <w:sz w:val="22"/>
          <w:szCs w:val="22"/>
        </w:rPr>
        <w:t xml:space="preserve">LO1 (Real-Time Scheduling): Rate-monotonic priority assignment is applied across three tasks with distinct timing requirements. LO3 (Concurrency Issues): A shared anomaly event log accessed by multiple tasks demonstrates the need for semaphore-based mutual exclusion. LO5 (Device Drivers): While a full character device driver was not implemented due to the complexity of the TFLite Micro integration, the sampling task simulates the driver interface pattern of periodic sensor reads feeding an inter-task communication channel.</w:t>
      </w:r>
    </w:p>
    <w:p>
      <w:pPr>
        <w:pStyle w:val="Heading1"/>
        <w:spacing w:after="200" w:before="300"/>
      </w:pPr>
      <w:r>
        <w:rPr>
          <w:rFonts w:ascii="Times New Roman" w:cs="Times New Roman" w:eastAsia="Times New Roman" w:hAnsi="Times New Roman"/>
          <w:b/>
          <w:bCs/>
          <w:sz w:val="28"/>
          <w:szCs w:val="28"/>
        </w:rPr>
        <w:t xml:space="preserve">2. Background</w:t>
      </w:r>
    </w:p>
    <w:p>
      <w:pPr>
        <w:pStyle w:val="Heading2"/>
        <w:spacing w:after="160" w:before="240"/>
      </w:pPr>
      <w:r>
        <w:rPr>
          <w:rFonts w:ascii="Times New Roman" w:cs="Times New Roman" w:eastAsia="Times New Roman" w:hAnsi="Times New Roman"/>
          <w:b/>
          <w:bCs/>
          <w:sz w:val="24"/>
          <w:szCs w:val="24"/>
        </w:rPr>
        <w:t xml:space="preserve">2.1 Real-Time Operating Systems</w:t>
      </w:r>
    </w:p>
    <w:p>
      <w:pPr>
        <w:spacing w:after="120" w:line="276"/>
        <w:jc w:val="both"/>
      </w:pPr>
      <w:r>
        <w:rPr>
          <w:rFonts w:ascii="Times New Roman" w:cs="Times New Roman" w:eastAsia="Times New Roman" w:hAnsi="Times New Roman"/>
          <w:sz w:val="22"/>
          <w:szCs w:val="22"/>
        </w:rPr>
        <w:t xml:space="preserve">A real-time operating system (RTOS) provides deterministic scheduling guarantees essential for embedded control applications [1]. NuttX is a POSIX-compliant RTOS that supports preemptive priority-based scheduling, POSIX threads, message queues, and semaphores [2]. Its small footprint and standards compliance make it suitable for microcontroller targets including the ARM Cortex-M4 family.</w:t>
      </w:r>
    </w:p>
    <w:p>
      <w:pPr>
        <w:pStyle w:val="Heading2"/>
        <w:spacing w:after="160" w:before="240"/>
      </w:pPr>
      <w:r>
        <w:rPr>
          <w:rFonts w:ascii="Times New Roman" w:cs="Times New Roman" w:eastAsia="Times New Roman" w:hAnsi="Times New Roman"/>
          <w:b/>
          <w:bCs/>
          <w:sz w:val="24"/>
          <w:szCs w:val="24"/>
        </w:rPr>
        <w:t xml:space="preserve">2.2 Rate-Monotonic Scheduling</w:t>
      </w:r>
    </w:p>
    <w:p>
      <w:pPr>
        <w:spacing w:after="120" w:line="276"/>
        <w:jc w:val="both"/>
      </w:pPr>
      <w:r>
        <w:rPr>
          <w:rFonts w:ascii="Times New Roman" w:cs="Times New Roman" w:eastAsia="Times New Roman" w:hAnsi="Times New Roman"/>
          <w:sz w:val="22"/>
          <w:szCs w:val="22"/>
        </w:rPr>
        <w:t xml:space="preserve">Rate-Monotonic Scheduling (RMS) is an optimal fixed-priority assignment policy for periodic tasks: shorter periods receive higher priorities [3]. A set of n periodic tasks is schedulable under RMS if the total processor utilization U satisfies U ≤ n(2^(1/n) – 1). For three tasks, this bound is approximately 0.780. RMS provides a theoretical framework for verifying that all task deadlines will be met.</w:t>
      </w:r>
    </w:p>
    <w:p>
      <w:pPr>
        <w:pStyle w:val="Heading2"/>
        <w:spacing w:after="160" w:before="240"/>
      </w:pPr>
      <w:r>
        <w:rPr>
          <w:rFonts w:ascii="Times New Roman" w:cs="Times New Roman" w:eastAsia="Times New Roman" w:hAnsi="Times New Roman"/>
          <w:b/>
          <w:bCs/>
          <w:sz w:val="24"/>
          <w:szCs w:val="24"/>
        </w:rPr>
        <w:t xml:space="preserve">2.3 TensorFlow Lite for Microcontrollers</w:t>
      </w:r>
    </w:p>
    <w:p>
      <w:pPr>
        <w:spacing w:after="120" w:line="276"/>
        <w:jc w:val="both"/>
      </w:pPr>
      <w:r>
        <w:rPr>
          <w:rFonts w:ascii="Times New Roman" w:cs="Times New Roman" w:eastAsia="Times New Roman" w:hAnsi="Times New Roman"/>
          <w:sz w:val="22"/>
          <w:szCs w:val="22"/>
        </w:rPr>
        <w:t xml:space="preserve">TensorFlow Lite for Microcontrollers (TFLite Micro) is a stripped-down inference engine designed for devices with as little as 16 KB of RAM [4]. It supports INT8 quantized models, eliminating the need for floating-point hardware. The framework uses a statically allocated tensor arena and a FlatBuffer model format. Deploying TFLite Micro on NuttX requires resolving namespace incompatibilities between the C++ standard library expectations of TFLite and NuttX’s minimal C math library.</w:t>
      </w:r>
    </w:p>
    <w:p>
      <w:pPr>
        <w:pStyle w:val="Heading2"/>
        <w:spacing w:after="160" w:before="240"/>
      </w:pPr>
      <w:r>
        <w:rPr>
          <w:rFonts w:ascii="Times New Roman" w:cs="Times New Roman" w:eastAsia="Times New Roman" w:hAnsi="Times New Roman"/>
          <w:b/>
          <w:bCs/>
          <w:sz w:val="24"/>
          <w:szCs w:val="24"/>
        </w:rPr>
        <w:t xml:space="preserve">2.4 Anomaly Detection in Predictive Maintenance</w:t>
      </w:r>
    </w:p>
    <w:p>
      <w:pPr>
        <w:spacing w:after="120" w:line="276"/>
        <w:jc w:val="both"/>
      </w:pPr>
      <w:r>
        <w:rPr>
          <w:rFonts w:ascii="Times New Roman" w:cs="Times New Roman" w:eastAsia="Times New Roman" w:hAnsi="Times New Roman"/>
          <w:sz w:val="22"/>
          <w:szCs w:val="22"/>
        </w:rPr>
        <w:t xml:space="preserve">Predictive maintenance uses sensor data to forecast equipment failure before it occurs [5]. Vibration analysis is a primary technique for rotating machinery, where frequency-domain changes indicate bearing degradation [6]. Binary classifiers trained on labeled vibration data can distinguish normal operating signatures from fault conditions. INT8 quantization enables deployment of these classifiers on microcontrollers with minimal accuracy loss [7].</w:t>
      </w:r>
    </w:p>
    <w:p>
      <w:pPr>
        <w:pStyle w:val="Heading2"/>
        <w:spacing w:after="160" w:before="240"/>
      </w:pPr>
      <w:r>
        <w:rPr>
          <w:rFonts w:ascii="Times New Roman" w:cs="Times New Roman" w:eastAsia="Times New Roman" w:hAnsi="Times New Roman"/>
          <w:b/>
          <w:bCs/>
          <w:sz w:val="24"/>
          <w:szCs w:val="24"/>
        </w:rPr>
        <w:t xml:space="preserve">2.5 Renode Simulation</w:t>
      </w:r>
    </w:p>
    <w:p>
      <w:pPr>
        <w:spacing w:after="120" w:line="276"/>
        <w:jc w:val="both"/>
      </w:pPr>
      <w:r>
        <w:rPr>
          <w:rFonts w:ascii="Times New Roman" w:cs="Times New Roman" w:eastAsia="Times New Roman" w:hAnsi="Times New Roman"/>
          <w:sz w:val="22"/>
          <w:szCs w:val="22"/>
        </w:rPr>
        <w:t xml:space="preserve">Renode is an open-source simulation framework for embedded systems that provides cycle-accurate emulation of ARM Cortex-M processors [8]. It enables full-system testing without physical hardware, including UART output for console interaction. The STM32F4 Discovery board platform is directly supported.</w:t>
      </w:r>
    </w:p>
    <w:p>
      <w:pPr>
        <w:pStyle w:val="Heading1"/>
        <w:spacing w:after="200" w:before="300"/>
      </w:pPr>
      <w:r>
        <w:rPr>
          <w:rFonts w:ascii="Times New Roman" w:cs="Times New Roman" w:eastAsia="Times New Roman" w:hAnsi="Times New Roman"/>
          <w:b/>
          <w:bCs/>
          <w:sz w:val="28"/>
          <w:szCs w:val="28"/>
        </w:rPr>
        <w:t xml:space="preserve">3. System Design</w:t>
      </w:r>
    </w:p>
    <w:p>
      <w:pPr>
        <w:pStyle w:val="Heading2"/>
        <w:spacing w:after="160" w:before="240"/>
      </w:pPr>
      <w:r>
        <w:rPr>
          <w:rFonts w:ascii="Times New Roman" w:cs="Times New Roman" w:eastAsia="Times New Roman" w:hAnsi="Times New Roman"/>
          <w:b/>
          <w:bCs/>
          <w:sz w:val="24"/>
          <w:szCs w:val="24"/>
        </w:rPr>
        <w:t xml:space="preserve">3.1 System Architecture</w:t>
      </w:r>
    </w:p>
    <w:p>
      <w:pPr>
        <w:spacing w:after="120" w:line="276"/>
        <w:jc w:val="both"/>
      </w:pPr>
      <w:r>
        <w:rPr>
          <w:rFonts w:ascii="Times New Roman" w:cs="Times New Roman" w:eastAsia="Times New Roman" w:hAnsi="Times New Roman"/>
          <w:sz w:val="22"/>
          <w:szCs w:val="22"/>
        </w:rPr>
        <w:t xml:space="preserve">The system is structured as a three-stage pipeline running on NuttX. Each stage is implemented as a POSIX thread with explicit priority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Task</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Priority</w:t>
            </w:r>
          </w:p>
        </w:tc>
        <w:tc>
          <w:tcPr>
            <w:tcW w:type="dxa" w:w="59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Responsibility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Sampling Task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110 (highest)</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Periodic vibration data generation at 100 Hz, quantization to INT8, transmission via message queue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Inference Task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100 (mid)</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Receives batches from queue, runs TFLite Micro inference, logs results, signals alert task on anomaly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Alert Task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90 (lowest)</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Blocks on semaphore, wakes on anomaly notification, reads shared log, issues maintenance alerts</w:t>
            </w:r>
          </w:p>
        </w:tc>
      </w:tr>
    </w:tbl>
    <w:p>
      <w:pPr>
        <w:spacing w:after="120" w:line="276"/>
        <w:jc w:val="both"/>
      </w:pPr>
      <w:r>
        <w:rPr>
          <w:rFonts w:ascii="Times New Roman" w:cs="Times New Roman" w:eastAsia="Times New Roman" w:hAnsi="Times New Roman"/>
          <w:sz w:val="22"/>
          <w:szCs w:val="22"/>
        </w:rPr>
        <w:t xml:space="preserve"/>
      </w:r>
    </w:p>
    <w:p>
      <w:pPr>
        <w:spacing w:after="120" w:line="276"/>
        <w:jc w:val="center"/>
      </w:pPr>
      <w:r>
        <w:rPr>
          <w:rFonts w:ascii="Times New Roman" w:cs="Times New Roman" w:eastAsia="Times New Roman" w:hAnsi="Times New Roman"/>
          <w:sz w:val="22"/>
          <w:szCs w:val="22"/>
        </w:rPr>
        <w:t xml:space="preserve">Table 1: Task decomposition with priority assignments following Rate-Monotonic principles.</w:t>
      </w:r>
    </w:p>
    <w:p>
      <w:pPr>
        <w:pStyle w:val="Heading2"/>
        <w:spacing w:after="160" w:before="240"/>
      </w:pPr>
      <w:r>
        <w:rPr>
          <w:rFonts w:ascii="Times New Roman" w:cs="Times New Roman" w:eastAsia="Times New Roman" w:hAnsi="Times New Roman"/>
          <w:b/>
          <w:bCs/>
          <w:sz w:val="24"/>
          <w:szCs w:val="24"/>
        </w:rPr>
        <w:t xml:space="preserve">3.2 Inter-Task Communication</w:t>
      </w:r>
    </w:p>
    <w:p>
      <w:pPr>
        <w:spacing w:after="120" w:line="276"/>
        <w:jc w:val="both"/>
      </w:pPr>
      <w:r>
        <w:rPr>
          <w:rFonts w:ascii="Times New Roman" w:cs="Times New Roman" w:eastAsia="Times New Roman" w:hAnsi="Times New Roman"/>
          <w:sz w:val="22"/>
          <w:szCs w:val="22"/>
        </w:rPr>
        <w:t xml:space="preserve">Data flows through the pipeline using two distinct mechanisms. POSIX message queues transfer sensor batches from the sampling task to the inference task. The queue is configured with a capacity of 5 messages, each containing a sensor_batch_t structure with 10 INT8 quantized readings, a batch identifier, and quantization parameters. This decouples the producer and consumer, allowing the sampling task to continue reading at its fixed rate even if inference takes longer for a particular batch.</w:t>
      </w:r>
    </w:p>
    <w:p>
      <w:pPr>
        <w:spacing w:after="120" w:line="276"/>
        <w:jc w:val="both"/>
      </w:pPr>
      <w:r>
        <w:rPr>
          <w:rFonts w:ascii="Times New Roman" w:cs="Times New Roman" w:eastAsia="Times New Roman" w:hAnsi="Times New Roman"/>
          <w:sz w:val="22"/>
          <w:szCs w:val="22"/>
        </w:rPr>
        <w:t xml:space="preserve">A binary semaphore (g_alert_sem) implements the task notification pattern. The alert task blocks on sem_wait(), consuming no CPU cycles while idle. When the inference task detects an anomaly, it calls sem_post() to wake the alert task directly, avoiding the overhead and non-determinism of polling.</w:t>
      </w:r>
    </w:p>
    <w:p>
      <w:pPr>
        <w:pStyle w:val="Heading2"/>
        <w:spacing w:after="160" w:before="240"/>
      </w:pPr>
      <w:r>
        <w:rPr>
          <w:rFonts w:ascii="Times New Roman" w:cs="Times New Roman" w:eastAsia="Times New Roman" w:hAnsi="Times New Roman"/>
          <w:b/>
          <w:bCs/>
          <w:sz w:val="24"/>
          <w:szCs w:val="24"/>
        </w:rPr>
        <w:t xml:space="preserve">3.3 Concurrency Management</w:t>
      </w:r>
    </w:p>
    <w:p>
      <w:pPr>
        <w:spacing w:after="120" w:line="276"/>
        <w:jc w:val="both"/>
      </w:pPr>
      <w:r>
        <w:rPr>
          <w:rFonts w:ascii="Times New Roman" w:cs="Times New Roman" w:eastAsia="Times New Roman" w:hAnsi="Times New Roman"/>
          <w:sz w:val="22"/>
          <w:szCs w:val="22"/>
        </w:rPr>
        <w:t xml:space="preserve">The anomaly event log (g_anomaly_log) is a shared data structure accessed by both the inference task (writing new entries) and the alert task (reading the latest entry for alert generation). A counting semaphore (g_log_sem) initialized to 1 protects this shared resource. Both tasks acquire the semaphore before accessing the log and release it immediately after, minimizing the critical section duration. This prevents data corruption that would occur if the alert task read a partially-written entry.</w:t>
      </w:r>
    </w:p>
    <w:p>
      <w:pPr>
        <w:pStyle w:val="Heading2"/>
        <w:spacing w:after="160" w:before="240"/>
      </w:pPr>
      <w:r>
        <w:rPr>
          <w:rFonts w:ascii="Times New Roman" w:cs="Times New Roman" w:eastAsia="Times New Roman" w:hAnsi="Times New Roman"/>
          <w:b/>
          <w:bCs/>
          <w:sz w:val="24"/>
          <w:szCs w:val="24"/>
        </w:rPr>
        <w:t xml:space="preserve">3.4 Scheduling Analysis</w:t>
      </w:r>
    </w:p>
    <w:p>
      <w:pPr>
        <w:spacing w:after="120" w:line="276"/>
        <w:jc w:val="both"/>
      </w:pPr>
      <w:r>
        <w:rPr>
          <w:rFonts w:ascii="Times New Roman" w:cs="Times New Roman" w:eastAsia="Times New Roman" w:hAnsi="Times New Roman"/>
          <w:sz w:val="22"/>
          <w:szCs w:val="22"/>
        </w:rPr>
        <w:t xml:space="preserve">Applying Rate-Monotonic Analysis to the three-task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Task</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Period (Ti)</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Exec Time (Ci)</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Utilization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Sampling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~2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0.020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Inference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~15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0.150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Alert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Aperiodic</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~0.010</w:t>
            </w:r>
          </w:p>
        </w:tc>
      </w:tr>
    </w:tbl>
    <w:p>
      <w:pPr>
        <w:spacing w:after="120" w:line="276"/>
        <w:jc w:val="both"/>
      </w:pPr>
      <w:r>
        <w:rPr>
          <w:rFonts w:ascii="Times New Roman" w:cs="Times New Roman" w:eastAsia="Times New Roman" w:hAnsi="Times New Roman"/>
          <w:sz w:val="22"/>
          <w:szCs w:val="22"/>
        </w:rPr>
        <w:t xml:space="preserve"/>
      </w:r>
    </w:p>
    <w:p>
      <w:pPr>
        <w:spacing w:after="120" w:line="276"/>
        <w:jc w:val="center"/>
      </w:pPr>
      <w:r>
        <w:rPr>
          <w:rFonts w:ascii="Times New Roman" w:cs="Times New Roman" w:eastAsia="Times New Roman" w:hAnsi="Times New Roman"/>
          <w:sz w:val="22"/>
          <w:szCs w:val="22"/>
        </w:rPr>
        <w:t xml:space="preserve">Table 2: Rate-Monotonic Scheduling analysis parameters.</w:t>
      </w:r>
    </w:p>
    <w:p>
      <w:pPr>
        <w:spacing w:after="120" w:line="276"/>
        <w:jc w:val="both"/>
      </w:pPr>
      <w:r>
        <w:rPr>
          <w:rFonts w:ascii="Times New Roman" w:cs="Times New Roman" w:eastAsia="Times New Roman" w:hAnsi="Times New Roman"/>
          <w:sz w:val="22"/>
          <w:szCs w:val="22"/>
        </w:rPr>
        <w:t xml:space="preserve">The total utilization U = 0.020 + 0.150 + 0.010 = 0.180, which is well below the RMS bound of 0.780 for three tasks. The system is therefore schedulable with significant margin. The alert task is aperiodic (event-driven via semaphore), so its utilization contribution is averaged over the observation period.</w:t>
      </w:r>
    </w:p>
    <w:p>
      <w:pPr>
        <w:pStyle w:val="Heading1"/>
        <w:spacing w:after="200" w:before="300"/>
      </w:pPr>
      <w:r>
        <w:rPr>
          <w:rFonts w:ascii="Times New Roman" w:cs="Times New Roman" w:eastAsia="Times New Roman" w:hAnsi="Times New Roman"/>
          <w:b/>
          <w:bCs/>
          <w:sz w:val="28"/>
          <w:szCs w:val="28"/>
        </w:rPr>
        <w:t xml:space="preserve">4. Implementation</w:t>
      </w:r>
    </w:p>
    <w:p>
      <w:pPr>
        <w:pStyle w:val="Heading2"/>
        <w:spacing w:after="160" w:before="240"/>
      </w:pPr>
      <w:r>
        <w:rPr>
          <w:rFonts w:ascii="Times New Roman" w:cs="Times New Roman" w:eastAsia="Times New Roman" w:hAnsi="Times New Roman"/>
          <w:b/>
          <w:bCs/>
          <w:sz w:val="24"/>
          <w:szCs w:val="24"/>
        </w:rPr>
        <w:t xml:space="preserve">4.1 Hardware and Software Stack</w:t>
      </w:r>
    </w:p>
    <w:p>
      <w:pPr>
        <w:spacing w:after="120" w:line="276"/>
        <w:jc w:val="both"/>
      </w:pPr>
      <w:r>
        <w:rPr>
          <w:rFonts w:ascii="Times New Roman" w:cs="Times New Roman" w:eastAsia="Times New Roman" w:hAnsi="Times New Roman"/>
          <w:sz w:val="22"/>
          <w:szCs w:val="22"/>
        </w:rPr>
        <w:t xml:space="preserve">The target platform is the STM32F407VG microcontroller (ARM Cortex-M4, 1 MB Flash, 192 KB SRAM) on the STM32F4 Discovery board. Development and testing were conducted entirely in the Renode simulator. The software stack consists of NuttX RTOS (latest mainline), TFLite Micro (commit cfa4c91d), the arm-none-eabi-gcc cross-compiler toolchain, and Python 3 with TensorFlow/Keras for offline model training.</w:t>
      </w:r>
    </w:p>
    <w:p>
      <w:pPr>
        <w:pStyle w:val="Heading2"/>
        <w:spacing w:after="160" w:before="240"/>
      </w:pPr>
      <w:r>
        <w:rPr>
          <w:rFonts w:ascii="Times New Roman" w:cs="Times New Roman" w:eastAsia="Times New Roman" w:hAnsi="Times New Roman"/>
          <w:b/>
          <w:bCs/>
          <w:sz w:val="24"/>
          <w:szCs w:val="24"/>
        </w:rPr>
        <w:t xml:space="preserve">4.2 Model Training and Quantization</w:t>
      </w:r>
    </w:p>
    <w:p>
      <w:pPr>
        <w:spacing w:after="120" w:line="276"/>
        <w:jc w:val="both"/>
      </w:pPr>
      <w:r>
        <w:rPr>
          <w:rFonts w:ascii="Times New Roman" w:cs="Times New Roman" w:eastAsia="Times New Roman" w:hAnsi="Times New Roman"/>
          <w:sz w:val="22"/>
          <w:szCs w:val="22"/>
        </w:rPr>
        <w:t xml:space="preserve">The neural network is a binary classifier with a single hidden layer of 16 neurons (ReLU activation) and a single sigmoid output. Training data consists of 4000 batches of 10 time-domain samples each: 2000 normal samples (5 Hz sine wave with Gaussian noise, σ=0.1) and 2000 fault samples (20 Hz sine wave with noise). The model was trained for 15 epochs using the Adam optimizer with binary cross-entropy loss.</w:t>
      </w:r>
    </w:p>
    <w:p>
      <w:pPr>
        <w:spacing w:after="120" w:line="276"/>
        <w:jc w:val="both"/>
      </w:pPr>
      <w:r>
        <w:rPr>
          <w:rFonts w:ascii="Times New Roman" w:cs="Times New Roman" w:eastAsia="Times New Roman" w:hAnsi="Times New Roman"/>
          <w:sz w:val="22"/>
          <w:szCs w:val="22"/>
        </w:rPr>
        <w:t xml:space="preserve">Post-training INT8 quantization was applied using the TensorFlow Lite converter with a representative dataset of 500 samples. Input and output types were set to int8, targeting the TFLITE_BUILTINS_INT8 op set. The resulting model is 2,608 bytes, small enough to embed directly in flash memory as a C header file generated by xxd.</w:t>
      </w:r>
    </w:p>
    <w:p>
      <w:pPr>
        <w:pStyle w:val="Heading2"/>
        <w:spacing w:after="160" w:before="240"/>
      </w:pPr>
      <w:r>
        <w:rPr>
          <w:rFonts w:ascii="Times New Roman" w:cs="Times New Roman" w:eastAsia="Times New Roman" w:hAnsi="Times New Roman"/>
          <w:b/>
          <w:bCs/>
          <w:sz w:val="24"/>
          <w:szCs w:val="24"/>
        </w:rPr>
        <w:t xml:space="preserve">4.3 TFLite Micro Integration Challenges</w:t>
      </w:r>
    </w:p>
    <w:p>
      <w:pPr>
        <w:spacing w:after="120" w:line="276"/>
        <w:jc w:val="both"/>
      </w:pPr>
      <w:r>
        <w:rPr>
          <w:rFonts w:ascii="Times New Roman" w:cs="Times New Roman" w:eastAsia="Times New Roman" w:hAnsi="Times New Roman"/>
          <w:sz w:val="22"/>
          <w:szCs w:val="22"/>
        </w:rPr>
        <w:t xml:space="preserve">Integrating TFLite Micro with NuttX required resolving a fundamental incompatibility: TFLite’s C++ source code assumes a full ISO C++ standard library where math functions like std::round, std::sqrt, std::pow, std::exp, std::isnan, and std::signbit are available in the std namespace. NuttX provides only a C math library (math.h) where these functions exist in the global namespace without float-specific overloads.</w:t>
      </w:r>
    </w:p>
    <w:p>
      <w:pPr>
        <w:spacing w:after="120" w:line="276"/>
        <w:jc w:val="both"/>
      </w:pPr>
      <w:r>
        <w:rPr>
          <w:rFonts w:ascii="Times New Roman" w:cs="Times New Roman" w:eastAsia="Times New Roman" w:hAnsi="Times New Roman"/>
          <w:sz w:val="22"/>
          <w:szCs w:val="22"/>
        </w:rPr>
        <w:t xml:space="preserve">The solution was a compatibility shim header (nuttx_math_shim.h) that: (1) imports all required C math functions into the std namespace using using-declarations; (2) provides inline float overloads (e.g., float std::sqrt(float) calling sqrtf()) to resolve function pointer type mismatches where TFLite passes std::sqrt as a float(*)(float) argument; (3) handles macro-defined functions (isnan, isinf, signbit) which cannot use using-declarations by wrapping them in template functions; and (4) adds a template overload for pow to resolve ambiguity when called with integer arguments. This shim is force-included via the -include compiler flag in both the TFLite Micro library Makefile and the application Makefile.</w:t>
      </w:r>
    </w:p>
    <w:p>
      <w:pPr>
        <w:pStyle w:val="Heading2"/>
        <w:spacing w:after="160" w:before="240"/>
      </w:pPr>
      <w:r>
        <w:rPr>
          <w:rFonts w:ascii="Times New Roman" w:cs="Times New Roman" w:eastAsia="Times New Roman" w:hAnsi="Times New Roman"/>
          <w:b/>
          <w:bCs/>
          <w:sz w:val="24"/>
          <w:szCs w:val="24"/>
        </w:rPr>
        <w:t xml:space="preserve">4.4 NuttX Application Structure</w:t>
      </w:r>
    </w:p>
    <w:p>
      <w:pPr>
        <w:spacing w:after="120" w:line="276"/>
        <w:jc w:val="both"/>
      </w:pPr>
      <w:r>
        <w:rPr>
          <w:rFonts w:ascii="Times New Roman" w:cs="Times New Roman" w:eastAsia="Times New Roman" w:hAnsi="Times New Roman"/>
          <w:sz w:val="22"/>
          <w:szCs w:val="22"/>
        </w:rPr>
        <w:t xml:space="preserve">The application is registered as a NuttX built-in command (pred_main_ml) with the entry point pred_main_ml_main() using extern "C" linkage. The main function initializes shared state (semaphores, message queue), then creates three pthreads with explicit priority and stack size assignments. The inference task receives an 8 KB stack to accommodate the TFLite tensor arena, while the sampling and alert tasks use 4 KB each.</w:t>
      </w:r>
    </w:p>
    <w:p>
      <w:pPr>
        <w:spacing w:after="120" w:line="276"/>
        <w:jc w:val="both"/>
      </w:pPr>
      <w:r>
        <w:rPr>
          <w:rFonts w:ascii="Times New Roman" w:cs="Times New Roman" w:eastAsia="Times New Roman" w:hAnsi="Times New Roman"/>
          <w:sz w:val="22"/>
          <w:szCs w:val="22"/>
        </w:rPr>
        <w:t xml:space="preserve">The NuttX configuration enables CONFIG_TFLITEMICRO and CONFIG_TFLITEMICRO_DEBUG (required to link the MicroPrintf symbol), along with POSIX message queues (CONFIG_MQ) and pthreads (CONFIG_PTHREAD). The build system uses the standard NuttX apps framework with Make.defs for Kconfig integration and Application.mk for compilation rules.</w:t>
      </w:r>
    </w:p>
    <w:p>
      <w:pPr>
        <w:pStyle w:val="Heading2"/>
        <w:spacing w:after="160" w:before="240"/>
      </w:pPr>
      <w:r>
        <w:rPr>
          <w:rFonts w:ascii="Times New Roman" w:cs="Times New Roman" w:eastAsia="Times New Roman" w:hAnsi="Times New Roman"/>
          <w:b/>
          <w:bCs/>
          <w:sz w:val="24"/>
          <w:szCs w:val="24"/>
        </w:rPr>
        <w:t xml:space="preserve">4.5 Message Queue Configuration</w:t>
      </w:r>
    </w:p>
    <w:p>
      <w:pPr>
        <w:spacing w:after="120" w:line="276"/>
        <w:jc w:val="both"/>
      </w:pPr>
      <w:r>
        <w:rPr>
          <w:rFonts w:ascii="Times New Roman" w:cs="Times New Roman" w:eastAsia="Times New Roman" w:hAnsi="Times New Roman"/>
          <w:sz w:val="22"/>
          <w:szCs w:val="22"/>
        </w:rPr>
        <w:t xml:space="preserve">The POSIX message queue /ml_vib_queue is created with mq_open() using O_CREAT|O_RDWR and configured for a maximum of 5 pending messages. Each message is a sensor_batch_t structure containing 10 INT8 quantized readings, a batch identifier, and the input quantization parameters (scale and zero point). The sampling task opens the queue with O_WRONLY and the inference task with O_RDONLY, establishing a unidirectional producer-consumer channel.</w:t>
      </w:r>
    </w:p>
    <w:p>
      <w:pPr>
        <w:pStyle w:val="Heading1"/>
        <w:spacing w:after="200" w:before="300"/>
      </w:pPr>
      <w:r>
        <w:rPr>
          <w:rFonts w:ascii="Times New Roman" w:cs="Times New Roman" w:eastAsia="Times New Roman" w:hAnsi="Times New Roman"/>
          <w:b/>
          <w:bCs/>
          <w:sz w:val="28"/>
          <w:szCs w:val="28"/>
        </w:rPr>
        <w:t xml:space="preserve">5. Evaluation</w:t>
      </w:r>
    </w:p>
    <w:p>
      <w:pPr>
        <w:pStyle w:val="Heading2"/>
        <w:spacing w:after="160" w:before="240"/>
      </w:pPr>
      <w:r>
        <w:rPr>
          <w:rFonts w:ascii="Times New Roman" w:cs="Times New Roman" w:eastAsia="Times New Roman" w:hAnsi="Times New Roman"/>
          <w:b/>
          <w:bCs/>
          <w:sz w:val="24"/>
          <w:szCs w:val="24"/>
        </w:rPr>
        <w:t xml:space="preserve">5.1 Functional Verification</w:t>
      </w:r>
    </w:p>
    <w:p>
      <w:pPr>
        <w:spacing w:after="120" w:line="276"/>
        <w:jc w:val="both"/>
      </w:pPr>
      <w:r>
        <w:rPr>
          <w:rFonts w:ascii="Times New Roman" w:cs="Times New Roman" w:eastAsia="Times New Roman" w:hAnsi="Times New Roman"/>
          <w:sz w:val="22"/>
          <w:szCs w:val="22"/>
        </w:rPr>
        <w:t xml:space="preserve">The system was tested in Renode with 20 inference batches: 10 normal (5 Hz sine) followed by 10 fault (20 Hz whine). Results demonstrate 100% classification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Batch Range</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Signal Type</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Expected</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Actual</w:t>
            </w:r>
          </w:p>
        </w:tc>
        <w:tc>
          <w:tcPr>
            <w:tcW w:type="dxa" w:w="1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Accuracy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0–9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5 Hz sine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NORMAL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10/10 OK</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10–19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20 Hz whine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FAULT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10/10 FAULT</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100%</w:t>
            </w:r>
          </w:p>
        </w:tc>
      </w:tr>
    </w:tbl>
    <w:p>
      <w:pPr>
        <w:spacing w:after="120" w:line="276"/>
        <w:jc w:val="both"/>
      </w:pPr>
      <w:r>
        <w:rPr>
          <w:rFonts w:ascii="Times New Roman" w:cs="Times New Roman" w:eastAsia="Times New Roman" w:hAnsi="Times New Roman"/>
          <w:sz w:val="22"/>
          <w:szCs w:val="22"/>
        </w:rPr>
        <w:t xml:space="preserve"/>
      </w:r>
    </w:p>
    <w:p>
      <w:pPr>
        <w:spacing w:after="120" w:line="276"/>
        <w:jc w:val="center"/>
      </w:pPr>
      <w:r>
        <w:rPr>
          <w:rFonts w:ascii="Times New Roman" w:cs="Times New Roman" w:eastAsia="Times New Roman" w:hAnsi="Times New Roman"/>
          <w:sz w:val="22"/>
          <w:szCs w:val="22"/>
        </w:rPr>
        <w:t xml:space="preserve">Table 3: Classification results across 20 test batches.</w:t>
      </w:r>
    </w:p>
    <w:p>
      <w:pPr>
        <w:pStyle w:val="Heading2"/>
        <w:spacing w:after="160" w:before="240"/>
      </w:pPr>
      <w:r>
        <w:rPr>
          <w:rFonts w:ascii="Times New Roman" w:cs="Times New Roman" w:eastAsia="Times New Roman" w:hAnsi="Times New Roman"/>
          <w:b/>
          <w:bCs/>
          <w:sz w:val="24"/>
          <w:szCs w:val="24"/>
        </w:rPr>
        <w:t xml:space="preserve">5.2 Memory Usage</w:t>
      </w:r>
    </w:p>
    <w:p>
      <w:pPr>
        <w:spacing w:after="120" w:line="276"/>
        <w:jc w:val="both"/>
      </w:pPr>
      <w:r>
        <w:rPr>
          <w:rFonts w:ascii="Times New Roman" w:cs="Times New Roman" w:eastAsia="Times New Roman" w:hAnsi="Times New Roman"/>
          <w:sz w:val="22"/>
          <w:szCs w:val="22"/>
        </w:rPr>
        <w:t xml:space="preserve">The system’s memory footprint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Resource</w:t>
            </w:r>
          </w:p>
        </w:tc>
        <w:tc>
          <w:tcPr>
            <w:tcW w:type="dxa" w:w="46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Usage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Flash (total NuttX image)</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138,332 bytes (13.2% of 1 MB)</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SRAM (static allocation)</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17,336 bytes (15.1% of 112 KB)</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Model size (in flash)</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2,608 bytes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Tensor arena (in SRAM)</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2"/>
                <w:szCs w:val="22"/>
              </w:rPr>
              <w:t xml:space="preserve">708 bytes used of 8,192 allocated</w:t>
            </w:r>
          </w:p>
        </w:tc>
      </w:tr>
    </w:tbl>
    <w:p>
      <w:pPr>
        <w:spacing w:after="120" w:line="276"/>
        <w:jc w:val="both"/>
      </w:pPr>
      <w:r>
        <w:rPr>
          <w:rFonts w:ascii="Times New Roman" w:cs="Times New Roman" w:eastAsia="Times New Roman" w:hAnsi="Times New Roman"/>
          <w:sz w:val="22"/>
          <w:szCs w:val="22"/>
        </w:rPr>
        <w:t xml:space="preserve"/>
      </w:r>
    </w:p>
    <w:p>
      <w:pPr>
        <w:spacing w:after="120" w:line="276"/>
        <w:jc w:val="center"/>
      </w:pPr>
      <w:r>
        <w:rPr>
          <w:rFonts w:ascii="Times New Roman" w:cs="Times New Roman" w:eastAsia="Times New Roman" w:hAnsi="Times New Roman"/>
          <w:sz w:val="22"/>
          <w:szCs w:val="22"/>
        </w:rPr>
        <w:t xml:space="preserve">Table 4: Memory usage breakdown.</w:t>
      </w:r>
    </w:p>
    <w:p>
      <w:pPr>
        <w:spacing w:after="120" w:line="276"/>
        <w:jc w:val="both"/>
      </w:pPr>
      <w:r>
        <w:rPr>
          <w:rFonts w:ascii="Times New Roman" w:cs="Times New Roman" w:eastAsia="Times New Roman" w:hAnsi="Times New Roman"/>
          <w:sz w:val="22"/>
          <w:szCs w:val="22"/>
        </w:rPr>
        <w:t xml:space="preserve">The tensor arena uses only 708 bytes of the 8,192 allocated, indicating the model is well within the SRAM budget. The 8 KB allocation could be reduced to 2 KB for this specific model, freeing memory for additional application logic.</w:t>
      </w:r>
    </w:p>
    <w:p>
      <w:pPr>
        <w:pStyle w:val="Heading2"/>
        <w:spacing w:after="160" w:before="240"/>
      </w:pPr>
      <w:r>
        <w:rPr>
          <w:rFonts w:ascii="Times New Roman" w:cs="Times New Roman" w:eastAsia="Times New Roman" w:hAnsi="Times New Roman"/>
          <w:b/>
          <w:bCs/>
          <w:sz w:val="24"/>
          <w:szCs w:val="24"/>
        </w:rPr>
        <w:t xml:space="preserve">5.3 Task Scheduling Validation</w:t>
      </w:r>
    </w:p>
    <w:p>
      <w:pPr>
        <w:spacing w:after="120" w:line="276"/>
        <w:jc w:val="both"/>
      </w:pPr>
      <w:r>
        <w:rPr>
          <w:rFonts w:ascii="Times New Roman" w:cs="Times New Roman" w:eastAsia="Times New Roman" w:hAnsi="Times New Roman"/>
          <w:sz w:val="22"/>
          <w:szCs w:val="22"/>
        </w:rPr>
        <w:t xml:space="preserve">The Renode output confirms correct task scheduling behavior. The sampling task (priority 110) consistently produces batches before the inference task (priority 100) consumes them, with the message queue buffering the pipeline. The alert task (priority 90) only executes when woken by the inference task’s semaphore post, demonstrating the event-driven notification pattern. No priority inversion was observed, as the critical sections protecting the anomaly log are short (single struct writes/reads).</w:t>
      </w:r>
    </w:p>
    <w:p>
      <w:pPr>
        <w:pStyle w:val="Heading2"/>
        <w:spacing w:after="160" w:before="240"/>
      </w:pPr>
      <w:r>
        <w:rPr>
          <w:rFonts w:ascii="Times New Roman" w:cs="Times New Roman" w:eastAsia="Times New Roman" w:hAnsi="Times New Roman"/>
          <w:b/>
          <w:bCs/>
          <w:sz w:val="24"/>
          <w:szCs w:val="24"/>
        </w:rPr>
        <w:t xml:space="preserve">5.4 Comparison with Alternatives</w:t>
      </w:r>
    </w:p>
    <w:p>
      <w:pPr>
        <w:spacing w:after="120" w:line="276"/>
        <w:jc w:val="both"/>
      </w:pPr>
      <w:r>
        <w:rPr>
          <w:rFonts w:ascii="Times New Roman" w:cs="Times New Roman" w:eastAsia="Times New Roman" w:hAnsi="Times New Roman"/>
          <w:sz w:val="22"/>
          <w:szCs w:val="22"/>
        </w:rPr>
        <w:t xml:space="preserve">Compared to cloud-based inference, the edge approach eliminates network latency entirely — inference completes within the same 100 ms sampling window. Compared to threshold-based anomaly detection (as implemented in the earlier pred_main.c version using variance calculation), the neural network approach provides a learned decision boundary that can generalize to more complex fault patterns without manual threshold tuning.</w:t>
      </w:r>
    </w:p>
    <w:p>
      <w:pPr>
        <w:pStyle w:val="Heading1"/>
        <w:spacing w:after="200" w:before="300"/>
      </w:pPr>
      <w:r>
        <w:rPr>
          <w:rFonts w:ascii="Times New Roman" w:cs="Times New Roman" w:eastAsia="Times New Roman" w:hAnsi="Times New Roman"/>
          <w:b/>
          <w:bCs/>
          <w:sz w:val="28"/>
          <w:szCs w:val="28"/>
        </w:rPr>
        <w:t xml:space="preserve">6. Discussion</w:t>
      </w:r>
    </w:p>
    <w:p>
      <w:pPr>
        <w:pStyle w:val="Heading2"/>
        <w:spacing w:after="160" w:before="240"/>
      </w:pPr>
      <w:r>
        <w:rPr>
          <w:rFonts w:ascii="Times New Roman" w:cs="Times New Roman" w:eastAsia="Times New Roman" w:hAnsi="Times New Roman"/>
          <w:b/>
          <w:bCs/>
          <w:sz w:val="24"/>
          <w:szCs w:val="24"/>
        </w:rPr>
        <w:t xml:space="preserve">6.1 Challenges Faced</w:t>
      </w:r>
    </w:p>
    <w:p>
      <w:pPr>
        <w:spacing w:after="120" w:line="276"/>
        <w:jc w:val="both"/>
      </w:pPr>
      <w:r>
        <w:rPr>
          <w:rFonts w:ascii="Times New Roman" w:cs="Times New Roman" w:eastAsia="Times New Roman" w:hAnsi="Times New Roman"/>
          <w:sz w:val="22"/>
          <w:szCs w:val="22"/>
        </w:rPr>
        <w:t xml:space="preserve">The most significant challenge was integrating TFLite Micro with NuttX’s C++ environment. NuttX’s cmath header does not inject C math functions into the std namespace, which is a hard requirement of TFLite’s internal headers. Resolving this required iterative development of a compatibility shim that handles: (1) missing std:: namespace declarations for round, pow, sqrt, exp, log, and other functions; (2) float overloads needed for function pointer type matching; (3) macro-vs-function differences for isnan/isinf/signbit; (4) overload ambiguity when calling functions like pow(int, int) with both float and double candidates; and (5) the abs function requiring int, float, double, long, and long long overloads to avoid ambiguity with stdlib’s int abs(int).</w:t>
      </w:r>
    </w:p>
    <w:p>
      <w:pPr>
        <w:spacing w:after="120" w:line="276"/>
        <w:jc w:val="both"/>
      </w:pPr>
      <w:r>
        <w:rPr>
          <w:rFonts w:ascii="Times New Roman" w:cs="Times New Roman" w:eastAsia="Times New Roman" w:hAnsi="Times New Roman"/>
          <w:sz w:val="22"/>
          <w:szCs w:val="22"/>
        </w:rPr>
        <w:t xml:space="preserve">A secondary challenge was the linker error for MicroPrintf, which was silently stripped by the TF_LITE_STRIP_ERROR_STRINGS preprocessor flag in non-debug builds. Enabling CONFIG_TFLITEMICRO_DEBUG resolved this.</w:t>
      </w:r>
    </w:p>
    <w:p>
      <w:pPr>
        <w:pStyle w:val="Heading2"/>
        <w:spacing w:after="160" w:before="240"/>
      </w:pPr>
      <w:r>
        <w:rPr>
          <w:rFonts w:ascii="Times New Roman" w:cs="Times New Roman" w:eastAsia="Times New Roman" w:hAnsi="Times New Roman"/>
          <w:b/>
          <w:bCs/>
          <w:sz w:val="24"/>
          <w:szCs w:val="24"/>
        </w:rPr>
        <w:t xml:space="preserve">6.2 Lessons Learned</w:t>
      </w:r>
    </w:p>
    <w:p>
      <w:pPr>
        <w:spacing w:after="120" w:line="276"/>
        <w:jc w:val="both"/>
      </w:pPr>
      <w:r>
        <w:rPr>
          <w:rFonts w:ascii="Times New Roman" w:cs="Times New Roman" w:eastAsia="Times New Roman" w:hAnsi="Times New Roman"/>
          <w:sz w:val="22"/>
          <w:szCs w:val="22"/>
        </w:rPr>
        <w:t xml:space="preserve">First, embedded C++ is not desktop C++. The assumption that #include &lt;cmath&gt; provides std::round is only valid with a full standard library implementation. Embedded RTOSes often provide minimal C library wrappers. Second, the -include compiler flag is a powerful mechanism for injecting compatibility shims without modifying third-party source code. Third, INT8 quantization is remarkably effective for simple classifiers: the 2,608-byte model achieves perfect accuracy on the test scenarios while using under 1 KB of runtime memory.</w:t>
      </w:r>
    </w:p>
    <w:p>
      <w:pPr>
        <w:pStyle w:val="Heading2"/>
        <w:spacing w:after="160" w:before="240"/>
      </w:pPr>
      <w:r>
        <w:rPr>
          <w:rFonts w:ascii="Times New Roman" w:cs="Times New Roman" w:eastAsia="Times New Roman" w:hAnsi="Times New Roman"/>
          <w:b/>
          <w:bCs/>
          <w:sz w:val="24"/>
          <w:szCs w:val="24"/>
        </w:rPr>
        <w:t xml:space="preserve">6.3 Learning Outcomes Reflection</w:t>
      </w:r>
    </w:p>
    <w:p>
      <w:pPr>
        <w:spacing w:after="120" w:line="276"/>
        <w:jc w:val="both"/>
      </w:pPr>
      <w:r>
        <w:rPr>
          <w:rFonts w:ascii="Times New Roman" w:cs="Times New Roman" w:eastAsia="Times New Roman" w:hAnsi="Times New Roman"/>
          <w:sz w:val="22"/>
          <w:szCs w:val="22"/>
        </w:rPr>
        <w:t xml:space="preserve">LO1 (Real-Time Scheduling): The three-task pipeline with explicit priority assignment directly demonstrates rate-monotonic scheduling principles. The schedulability analysis confirms the system meets all timing constraints with significant utilization margin (0.180 vs. the 0.780 bound).</w:t>
      </w:r>
    </w:p>
    <w:p>
      <w:pPr>
        <w:spacing w:after="120" w:line="276"/>
        <w:jc w:val="both"/>
      </w:pPr>
      <w:r>
        <w:rPr>
          <w:rFonts w:ascii="Times New Roman" w:cs="Times New Roman" w:eastAsia="Times New Roman" w:hAnsi="Times New Roman"/>
          <w:sz w:val="22"/>
          <w:szCs w:val="22"/>
        </w:rPr>
        <w:t xml:space="preserve">LO3 (Concurrency Issues): The shared anomaly log provides a concrete scenario where unsynchronized access would cause data corruption. The semaphore-based solution demonstrates mutual exclusion in practice.</w:t>
      </w:r>
    </w:p>
    <w:p>
      <w:pPr>
        <w:spacing w:after="120" w:line="276"/>
        <w:jc w:val="both"/>
      </w:pPr>
      <w:r>
        <w:rPr>
          <w:rFonts w:ascii="Times New Roman" w:cs="Times New Roman" w:eastAsia="Times New Roman" w:hAnsi="Times New Roman"/>
          <w:sz w:val="22"/>
          <w:szCs w:val="22"/>
        </w:rPr>
        <w:t xml:space="preserve">LO5 (Device Drivers): While a formal NuttX character device driver was not implemented, the sampling task’s architecture mirrors the driver pattern: periodic reads from a data source, packaging into structured messages, and delivery via an inter-task channel. This represents the application-level interface that would sit above a character device in a production system.</w:t>
      </w:r>
    </w:p>
    <w:p>
      <w:pPr>
        <w:pStyle w:val="Heading2"/>
        <w:spacing w:after="160" w:before="240"/>
      </w:pPr>
      <w:r>
        <w:rPr>
          <w:rFonts w:ascii="Times New Roman" w:cs="Times New Roman" w:eastAsia="Times New Roman" w:hAnsi="Times New Roman"/>
          <w:b/>
          <w:bCs/>
          <w:sz w:val="24"/>
          <w:szCs w:val="24"/>
        </w:rPr>
        <w:t xml:space="preserve">6.4 RTOS Evaluation</w:t>
      </w:r>
    </w:p>
    <w:p>
      <w:pPr>
        <w:spacing w:after="120" w:line="276"/>
        <w:jc w:val="both"/>
      </w:pPr>
      <w:r>
        <w:rPr>
          <w:rFonts w:ascii="Times New Roman" w:cs="Times New Roman" w:eastAsia="Times New Roman" w:hAnsi="Times New Roman"/>
          <w:sz w:val="22"/>
          <w:szCs w:val="22"/>
        </w:rPr>
        <w:t xml:space="preserve">NuttX proved well-suited for this project due to its POSIX compliance, which allowed using standard pthread, mqueue, and semaphore APIs without learning proprietary interfaces. The NuttX apps build system integrates cleanly with third-party C++ libraries via Makefile variables (CXXFLAGS, COMMON_FLAGS). The main limitation encountered was the incomplete C++ standard library, which required the math shim workaround.</w:t>
      </w:r>
    </w:p>
    <w:p>
      <w:pPr>
        <w:pStyle w:val="Heading1"/>
        <w:spacing w:after="200" w:before="300"/>
      </w:pPr>
      <w:r>
        <w:rPr>
          <w:rFonts w:ascii="Times New Roman" w:cs="Times New Roman" w:eastAsia="Times New Roman" w:hAnsi="Times New Roman"/>
          <w:b/>
          <w:bCs/>
          <w:sz w:val="28"/>
          <w:szCs w:val="28"/>
        </w:rPr>
        <w:t xml:space="preserve">7. Conclusion</w:t>
      </w:r>
    </w:p>
    <w:p>
      <w:pPr>
        <w:pStyle w:val="Heading2"/>
        <w:spacing w:after="160" w:before="240"/>
      </w:pPr>
      <w:r>
        <w:rPr>
          <w:rFonts w:ascii="Times New Roman" w:cs="Times New Roman" w:eastAsia="Times New Roman" w:hAnsi="Times New Roman"/>
          <w:b/>
          <w:bCs/>
          <w:sz w:val="24"/>
          <w:szCs w:val="24"/>
        </w:rPr>
        <w:t xml:space="preserve">7.1 Summary</w:t>
      </w:r>
    </w:p>
    <w:p>
      <w:pPr>
        <w:spacing w:after="120" w:line="276"/>
        <w:jc w:val="both"/>
      </w:pPr>
      <w:r>
        <w:rPr>
          <w:rFonts w:ascii="Times New Roman" w:cs="Times New Roman" w:eastAsia="Times New Roman" w:hAnsi="Times New Roman"/>
          <w:sz w:val="22"/>
          <w:szCs w:val="22"/>
        </w:rPr>
        <w:t xml:space="preserve">This project successfully demonstrates a predictive maintenance system combining edge machine learning with real-time embedded task management. A TensorFlow Lite Micro INT8 classifier running on NuttX correctly distinguishes normal motor vibration from bearing fault signatures across all test scenarios. The multi-task architecture uses POSIX message queues, semaphore-protected shared state, and event-driven task notifications to implement a deterministic inference pipeline.</w:t>
      </w:r>
    </w:p>
    <w:p>
      <w:pPr>
        <w:pStyle w:val="Heading2"/>
        <w:spacing w:after="160" w:before="240"/>
      </w:pPr>
      <w:r>
        <w:rPr>
          <w:rFonts w:ascii="Times New Roman" w:cs="Times New Roman" w:eastAsia="Times New Roman" w:hAnsi="Times New Roman"/>
          <w:b/>
          <w:bCs/>
          <w:sz w:val="24"/>
          <w:szCs w:val="24"/>
        </w:rPr>
        <w:t xml:space="preserve">7.2 Future Work</w:t>
      </w:r>
    </w:p>
    <w:p>
      <w:pPr>
        <w:spacing w:after="120" w:line="276"/>
        <w:jc w:val="both"/>
      </w:pPr>
      <w:r>
        <w:rPr>
          <w:rFonts w:ascii="Times New Roman" w:cs="Times New Roman" w:eastAsia="Times New Roman" w:hAnsi="Times New Roman"/>
          <w:sz w:val="22"/>
          <w:szCs w:val="22"/>
        </w:rPr>
        <w:t xml:space="preserve">Several enhancements would strengthen the system: (1) implementing a full NuttX character device driver (/dev/accel0) for the simulated accelerometer, completing the LO5 objective; (2) replacing the binary classifier with an autoencoder for unsupervised anomaly detection, eliminating the need for labeled fault data; (3) deploying on physical STM32F4 hardware with a real MEMS accelerometer; (4) adding frequency-domain features (FFT) to improve fault discrimination; and (5) integrating the PLG observability stack for fleet-wide equipment monitoring.</w:t>
      </w:r>
    </w:p>
    <w:p>
      <w:pPr>
        <w:pStyle w:val="Heading2"/>
        <w:spacing w:after="160" w:before="240"/>
      </w:pPr>
      <w:r>
        <w:rPr>
          <w:rFonts w:ascii="Times New Roman" w:cs="Times New Roman" w:eastAsia="Times New Roman" w:hAnsi="Times New Roman"/>
          <w:b/>
          <w:bCs/>
          <w:sz w:val="24"/>
          <w:szCs w:val="24"/>
        </w:rPr>
        <w:t xml:space="preserve">7.3 AI Tool Usage Statement</w:t>
      </w:r>
    </w:p>
    <w:p>
      <w:pPr>
        <w:spacing w:after="120" w:line="276"/>
        <w:jc w:val="both"/>
      </w:pPr>
      <w:r>
        <w:rPr>
          <w:rFonts w:ascii="Times New Roman" w:cs="Times New Roman" w:eastAsia="Times New Roman" w:hAnsi="Times New Roman"/>
          <w:sz w:val="22"/>
          <w:szCs w:val="22"/>
        </w:rPr>
        <w:t xml:space="preserve">Claude (Anthropic) was used as a development assistant for: debugging TFLite Micro build errors and developing the nuttx_math_shim.h compatibility layer; structuring the multi-task application architecture; and drafting this report. All architectural decisions, model training, NuttX configuration, and Renode testing were performed by the author. External code (TFLite Micro, NuttX) is attributed in the build system and README.</w:t>
      </w:r>
    </w:p>
    <w:p>
      <w:pPr>
        <w:pStyle w:val="Heading1"/>
        <w:spacing w:after="200" w:before="300"/>
      </w:pPr>
      <w:r>
        <w:rPr>
          <w:rFonts w:ascii="Times New Roman" w:cs="Times New Roman" w:eastAsia="Times New Roman" w:hAnsi="Times New Roman"/>
          <w:b/>
          <w:bCs/>
          <w:sz w:val="28"/>
          <w:szCs w:val="28"/>
        </w:rPr>
        <w:t xml:space="preserve">References</w:t>
      </w:r>
    </w:p>
    <w:p>
      <w:pPr>
        <w:pStyle w:val="ListParagraph"/>
        <w:numPr>
          <w:ilvl w:val="0"/>
          <w:numId w:val="2"/>
        </w:numPr>
        <w:spacing w:after="80" w:line="276"/>
      </w:pPr>
      <w:r>
        <w:rPr>
          <w:rFonts w:ascii="Times New Roman" w:cs="Times New Roman" w:eastAsia="Times New Roman" w:hAnsi="Times New Roman"/>
          <w:sz w:val="20"/>
          <w:szCs w:val="20"/>
        </w:rPr>
        <w:t xml:space="preserve">J. W. S. Liu, Real-Time Systems, Prentice Hall, 2000.</w:t>
      </w:r>
    </w:p>
    <w:p>
      <w:pPr>
        <w:pStyle w:val="ListParagraph"/>
        <w:numPr>
          <w:ilvl w:val="0"/>
          <w:numId w:val="2"/>
        </w:numPr>
        <w:spacing w:after="80" w:line="276"/>
      </w:pPr>
      <w:r>
        <w:rPr>
          <w:rFonts w:ascii="Times New Roman" w:cs="Times New Roman" w:eastAsia="Times New Roman" w:hAnsi="Times New Roman"/>
          <w:sz w:val="20"/>
          <w:szCs w:val="20"/>
        </w:rPr>
        <w:t xml:space="preserve">G. Nutt, "NuttX: A Mature, Real-Time Embedded Operating System," nuttx.apache.org, 2024.</w:t>
      </w:r>
    </w:p>
    <w:p>
      <w:pPr>
        <w:pStyle w:val="ListParagraph"/>
        <w:numPr>
          <w:ilvl w:val="0"/>
          <w:numId w:val="2"/>
        </w:numPr>
        <w:spacing w:after="80" w:line="276"/>
      </w:pPr>
      <w:r>
        <w:rPr>
          <w:rFonts w:ascii="Times New Roman" w:cs="Times New Roman" w:eastAsia="Times New Roman" w:hAnsi="Times New Roman"/>
          <w:sz w:val="20"/>
          <w:szCs w:val="20"/>
        </w:rPr>
        <w:t xml:space="preserve">C. L. Liu and J. W. Layland, "Scheduling Algorithms for Multiprogramming in a Hard-Real-Time Environment," Journal of the ACM, vol. 20, no. 1, pp. 46–61, 1973.</w:t>
      </w:r>
    </w:p>
    <w:p>
      <w:pPr>
        <w:pStyle w:val="ListParagraph"/>
        <w:numPr>
          <w:ilvl w:val="0"/>
          <w:numId w:val="2"/>
        </w:numPr>
        <w:spacing w:after="80" w:line="276"/>
      </w:pPr>
      <w:r>
        <w:rPr>
          <w:rFonts w:ascii="Times New Roman" w:cs="Times New Roman" w:eastAsia="Times New Roman" w:hAnsi="Times New Roman"/>
          <w:sz w:val="20"/>
          <w:szCs w:val="20"/>
        </w:rPr>
        <w:t xml:space="preserve">R. David et al., "TensorFlow Lite Micro: Embedded Machine Learning for TinyML Systems," Proceedings of Machine Learning and Systems (MLSys), vol. 3, 2021.</w:t>
      </w:r>
    </w:p>
    <w:p>
      <w:pPr>
        <w:pStyle w:val="ListParagraph"/>
        <w:numPr>
          <w:ilvl w:val="0"/>
          <w:numId w:val="2"/>
        </w:numPr>
        <w:spacing w:after="80" w:line="276"/>
      </w:pPr>
      <w:r>
        <w:rPr>
          <w:rFonts w:ascii="Times New Roman" w:cs="Times New Roman" w:eastAsia="Times New Roman" w:hAnsi="Times New Roman"/>
          <w:sz w:val="20"/>
          <w:szCs w:val="20"/>
        </w:rPr>
        <w:t xml:space="preserve">A. K. S. Jardine, D. Lin, and D. Banjevic, "A Review on Machinery Diagnostics and Prognostics Implementing Condition-Based Maintenance," Mechanical Systems and Signal Processing, vol. 20, no. 7, pp. 1483–1510, 2006.</w:t>
      </w:r>
    </w:p>
    <w:p>
      <w:pPr>
        <w:pStyle w:val="ListParagraph"/>
        <w:numPr>
          <w:ilvl w:val="0"/>
          <w:numId w:val="2"/>
        </w:numPr>
        <w:spacing w:after="80" w:line="276"/>
      </w:pPr>
      <w:r>
        <w:rPr>
          <w:rFonts w:ascii="Times New Roman" w:cs="Times New Roman" w:eastAsia="Times New Roman" w:hAnsi="Times New Roman"/>
          <w:sz w:val="20"/>
          <w:szCs w:val="20"/>
        </w:rPr>
        <w:t xml:space="preserve">R. B. Randall and J. Antoni, "Rolling Element Bearing Diagnostics — A Tutorial," Mechanical Systems and Signal Processing, vol. 25, no. 2, pp. 485–520, 2011.</w:t>
      </w:r>
    </w:p>
    <w:p>
      <w:pPr>
        <w:pStyle w:val="ListParagraph"/>
        <w:numPr>
          <w:ilvl w:val="0"/>
          <w:numId w:val="2"/>
        </w:numPr>
        <w:spacing w:after="80" w:line="276"/>
      </w:pPr>
      <w:r>
        <w:rPr>
          <w:rFonts w:ascii="Times New Roman" w:cs="Times New Roman" w:eastAsia="Times New Roman" w:hAnsi="Times New Roman"/>
          <w:sz w:val="20"/>
          <w:szCs w:val="20"/>
        </w:rPr>
        <w:t xml:space="preserve">B. Jacob et al., "Quantization and Training of Neural Networks for Efficient Integer-Arithmetic-Only Inference," Proceedings of the IEEE Conference on Computer Vision and Pattern Recognition (CVPR), pp. 2704–2713, 2018.</w:t>
      </w:r>
    </w:p>
    <w:p>
      <w:pPr>
        <w:pStyle w:val="ListParagraph"/>
        <w:numPr>
          <w:ilvl w:val="0"/>
          <w:numId w:val="2"/>
        </w:numPr>
        <w:spacing w:after="80" w:line="276"/>
      </w:pPr>
      <w:r>
        <w:rPr>
          <w:rFonts w:ascii="Times New Roman" w:cs="Times New Roman" w:eastAsia="Times New Roman" w:hAnsi="Times New Roman"/>
          <w:sz w:val="20"/>
          <w:szCs w:val="20"/>
        </w:rPr>
        <w:t xml:space="preserve">Antmicro, "Renode: Open Source Simulation Framework," renode.io, 2024.</w:t>
      </w:r>
    </w:p>
    <w:p>
      <w:pPr>
        <w:pStyle w:val="ListParagraph"/>
        <w:numPr>
          <w:ilvl w:val="0"/>
          <w:numId w:val="2"/>
        </w:numPr>
        <w:spacing w:after="80" w:line="276"/>
      </w:pPr>
      <w:r>
        <w:rPr>
          <w:rFonts w:ascii="Times New Roman" w:cs="Times New Roman" w:eastAsia="Times New Roman" w:hAnsi="Times New Roman"/>
          <w:sz w:val="20"/>
          <w:szCs w:val="20"/>
        </w:rPr>
        <w:t xml:space="preserve">IEEE, "IEEE Std 1003.1-2017 — POSIX," The Open Group Base Specifications Issue 7, 2018.</w:t>
      </w:r>
    </w:p>
    <w:p>
      <w:pPr>
        <w:pStyle w:val="ListParagraph"/>
        <w:numPr>
          <w:ilvl w:val="0"/>
          <w:numId w:val="2"/>
        </w:numPr>
        <w:spacing w:after="80" w:line="276"/>
      </w:pPr>
      <w:r>
        <w:rPr>
          <w:rFonts w:ascii="Times New Roman" w:cs="Times New Roman" w:eastAsia="Times New Roman" w:hAnsi="Times New Roman"/>
          <w:sz w:val="20"/>
          <w:szCs w:val="20"/>
        </w:rPr>
        <w:t xml:space="preserve">A. S. Tanenbaum, Modern Operating Systems, 4th ed., Pearson, 2014.</w:t>
      </w:r>
    </w:p>
    <w:p>
      <w:pPr>
        <w:pStyle w:val="ListParagraph"/>
        <w:numPr>
          <w:ilvl w:val="0"/>
          <w:numId w:val="2"/>
        </w:numPr>
        <w:spacing w:after="80" w:line="276"/>
      </w:pPr>
      <w:r>
        <w:rPr>
          <w:rFonts w:ascii="Times New Roman" w:cs="Times New Roman" w:eastAsia="Times New Roman" w:hAnsi="Times New Roman"/>
          <w:sz w:val="20"/>
          <w:szCs w:val="20"/>
        </w:rPr>
        <w:t xml:space="preserve">Y. Cheng et al., "A Survey of Model Compression and Acceleration for Deep Neural Networks," IEEE Signal Processing Magazine, 2017.</w:t>
      </w:r>
    </w:p>
    <w:p>
      <w:pPr>
        <w:pStyle w:val="ListParagraph"/>
        <w:numPr>
          <w:ilvl w:val="0"/>
          <w:numId w:val="2"/>
        </w:numPr>
        <w:spacing w:after="80" w:line="276"/>
      </w:pPr>
      <w:r>
        <w:rPr>
          <w:rFonts w:ascii="Times New Roman" w:cs="Times New Roman" w:eastAsia="Times New Roman" w:hAnsi="Times New Roman"/>
          <w:sz w:val="20"/>
          <w:szCs w:val="20"/>
        </w:rPr>
        <w:t xml:space="preserve">M. Verucchi et al., "Real-Time Clustering for Edge AI: TinyML Approaches for Predictive Maintenance," IEEE Access, vol. 8, pp. 150396–150407,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ENGI 9875 — Predictive Maintenance with TFLite Micro on NuttX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2026-04-07T05:22:14.768Z</dcterms:created>
  <dcterms:modified xsi:type="dcterms:W3CDTF">2026-04-07T05:22:14.783Z</dcterms:modified>
</cp:coreProperties>
</file>

<file path=docProps/custom.xml><?xml version="1.0" encoding="utf-8"?>
<Properties xmlns="http://schemas.openxmlformats.org/officeDocument/2006/custom-properties" xmlns:vt="http://schemas.openxmlformats.org/officeDocument/2006/docPropsVTypes"/>
</file>