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0bd3c5bd5fe7573fdf41c0c519afd7885098bb"/>
    <w:p>
      <w:pPr>
        <w:pStyle w:val="Heading2"/>
        <w:numPr>
          <w:ilvl w:val="0"/>
          <w:numId w:val="0"/>
        </w:numPr>
      </w:pPr>
      <w:r>
        <w:rPr>
          <w:sz w:val="40"/>
        </w:rPr>
        <w:t xml:space="preserve">Péndulo simple: aceleración de la gravedad y periodo frente a la amplitud</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Medir el periodo de un péndulo simple para varias longitudes y obtener de ellas la aceleración de la gravedad</w:t>
      </w:r>
      <w:r>
        <w:t xml:space="preserve"> </w:t>
      </w:r>
      <m:oMath>
        <m:r>
          <m:t>g</m:t>
        </m:r>
      </m:oMath>
      <w:r>
        <w:t xml:space="preserve">. Comprobar después que, cuando la amplitud deja de ser pequeña, el periodo aumenta.</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Un péndulo simple es una masa colgada de un hilo de longitud</w:t>
      </w:r>
      <w:r>
        <w:t xml:space="preserve"> </w:t>
      </w:r>
      <m:oMath>
        <m:r>
          <m:t>L</m:t>
        </m:r>
      </m:oMath>
      <w:r>
        <w:t xml:space="preserve">. Si</w:t>
      </w:r>
      <w:r>
        <w:t xml:space="preserve"> </w:t>
      </w:r>
      <m:oMath>
        <m:r>
          <m:t>θ</m:t>
        </m:r>
      </m:oMath>
      <w:r>
        <w:t xml:space="preserve"> </w:t>
      </w:r>
      <w:r>
        <w:t xml:space="preserve">es el ángulo del hilo con la vertical, la segunda ley de Newton en la dirección del movimiento da</w:t>
      </w:r>
    </w:p>
    <w:p>
      <w:pPr>
        <w:pStyle w:val="BodyText"/>
        <w:spacing w:after="120" w:line="276" w:lineRule="auto"/>
        <w:jc w:val="both"/>
      </w:pPr>
      <m:oMathPara>
        <m:oMathParaPr>
          <m:jc m:val="center"/>
        </m:oMathParaPr>
        <m:oMath>
          <m:acc>
            <m:accPr>
              <m:chr m:val="̈"/>
            </m:accPr>
            <m:e>
              <m:r>
                <m:t>θ</m:t>
              </m:r>
            </m:e>
          </m:acc>
          <m:r>
            <m:rPr>
              <m:sty m:val="p"/>
            </m:rPr>
            <m:t>+</m:t>
          </m:r>
          <m:f>
            <m:fPr>
              <m:type m:val="bar"/>
            </m:fPr>
            <m:num>
              <m:r>
                <m:t>g</m:t>
              </m:r>
            </m:num>
            <m:den>
              <m:r>
                <m:t>L</m:t>
              </m:r>
            </m:den>
          </m:f>
          <m:r>
            <m:rPr>
              <m:sty m:val="p"/>
            </m:rPr>
            <m:t>sin</m:t>
          </m:r>
          <m:r>
            <m:t>θ</m:t>
          </m:r>
          <m:r>
            <m:rPr>
              <m:sty m:val="p"/>
            </m:rPr>
            <m:t>=</m:t>
          </m:r>
          <m:r>
            <m:t>0</m:t>
          </m:r>
          <m:r>
            <m:rPr>
              <m:sty m:val="p"/>
            </m:rPr>
            <m:t>.</m:t>
          </m:r>
        </m:oMath>
      </m:oMathPara>
    </w:p>
    <w:p>
      <w:pPr>
        <w:pStyle w:val="FirstParagraph"/>
        <w:spacing w:after="120" w:line="276" w:lineRule="auto"/>
        <w:jc w:val="both"/>
      </w:pPr>
      <w:r>
        <w:t xml:space="preserve">Para oscilaciones pequeñas,</w:t>
      </w:r>
      <w:r>
        <w:t xml:space="preserve"> </w:t>
      </w:r>
      <m:oMath>
        <m:r>
          <m:rPr>
            <m:sty m:val="p"/>
          </m:rPr>
          <m:t>sin</m:t>
        </m:r>
        <m:r>
          <m:t>θ</m:t>
        </m:r>
        <m:r>
          <m:rPr>
            <m:sty m:val="p"/>
          </m:rPr>
          <m:t>≃</m:t>
        </m:r>
        <m:r>
          <m:t>θ</m:t>
        </m:r>
      </m:oMath>
      <w:r>
        <w:t xml:space="preserve"> </w:t>
      </w:r>
      <w:r>
        <w:t xml:space="preserve">y la ecuación es la del movimiento armónico simple,</w:t>
      </w:r>
      <w:r>
        <w:t xml:space="preserve"> </w:t>
      </w:r>
      <m:oMath>
        <m:acc>
          <m:accPr>
            <m:chr m:val="̈"/>
          </m:accPr>
          <m:e>
            <m:r>
              <m:t>θ</m:t>
            </m:r>
          </m:e>
        </m:acc>
        <m:r>
          <m:rPr>
            <m:sty m:val="p"/>
          </m:rPr>
          <m:t>+</m:t>
        </m:r>
        <m:sSubSup>
          <m:e>
            <m:r>
              <m:t>ω</m:t>
            </m:r>
          </m:e>
          <m:sub>
            <m:r>
              <m:t>0</m:t>
            </m:r>
          </m:sub>
          <m:sup>
            <m:r>
              <m:t>2</m:t>
            </m:r>
          </m:sup>
        </m:sSubSup>
        <m:r>
          <m:t>θ</m:t>
        </m:r>
        <m:r>
          <m:rPr>
            <m:sty m:val="p"/>
          </m:rPr>
          <m:t>=</m:t>
        </m:r>
        <m:r>
          <m:t>0</m:t>
        </m:r>
      </m:oMath>
      <w:r>
        <w:t xml:space="preserve">, con</w:t>
      </w:r>
      <w:r>
        <w:t xml:space="preserve"> </w:t>
      </w:r>
      <m:oMath>
        <m:sSubSup>
          <m:e>
            <m:r>
              <m:t>ω</m:t>
            </m:r>
          </m:e>
          <m:sub>
            <m:r>
              <m:t>0</m:t>
            </m:r>
          </m:sub>
          <m:sup>
            <m:r>
              <m:t>2</m:t>
            </m:r>
          </m:sup>
        </m:sSubSup>
        <m:r>
          <m:rPr>
            <m:sty m:val="p"/>
          </m:rPr>
          <m:t>=</m:t>
        </m:r>
        <m:r>
          <m:t>g</m:t>
        </m:r>
        <m:r>
          <m:rPr>
            <m:sty m:val="p"/>
          </m:rPr>
          <m:t>/</m:t>
        </m:r>
        <m:r>
          <m:t>L</m:t>
        </m:r>
      </m:oMath>
      <w:r>
        <w:t xml:space="preserve">. El periodo es</w:t>
      </w:r>
    </w:p>
    <w:p>
      <w:pPr>
        <w:pStyle w:val="BodyText"/>
        <w:spacing w:after="120" w:line="276" w:lineRule="auto"/>
        <w:jc w:val="both"/>
      </w:pPr>
      <m:oMathPara>
        <m:oMathParaPr>
          <m:jc m:val="center"/>
        </m:oMathParaPr>
        <m:oMath>
          <m:sSub>
            <m:e>
              <m:r>
                <m:t>T</m:t>
              </m:r>
            </m:e>
            <m:sub>
              <m:r>
                <m:t>0</m:t>
              </m:r>
            </m:sub>
          </m:sSub>
          <m:r>
            <m:rPr>
              <m:sty m:val="p"/>
            </m:rPr>
            <m:t>=</m:t>
          </m:r>
          <m:r>
            <m:t>2</m:t>
          </m:r>
          <m:r>
            <m:t>π</m:t>
          </m:r>
          <m:rad>
            <m:radPr>
              <m:degHide m:val="on"/>
            </m:radPr>
            <m:deg/>
            <m:e>
              <m:f>
                <m:fPr>
                  <m:type m:val="bar"/>
                </m:fPr>
                <m:num>
                  <m:r>
                    <m:t>L</m:t>
                  </m:r>
                </m:num>
                <m:den>
                  <m:r>
                    <m:t>g</m:t>
                  </m:r>
                </m:den>
              </m:f>
            </m:e>
          </m:rad>
          <m:r>
            <m:rPr>
              <m:sty m:val="p"/>
            </m:rPr>
            <m:t>,</m:t>
          </m:r>
        </m:oMath>
      </m:oMathPara>
    </w:p>
    <w:p>
      <w:pPr>
        <w:pStyle w:val="FirstParagraph"/>
        <w:spacing w:after="120" w:line="276" w:lineRule="auto"/>
        <w:jc w:val="both"/>
      </w:pPr>
      <w:r>
        <w:t xml:space="preserve">que no depende de la amplitud ni de la masa. Elevando al cuadrado,</w:t>
      </w:r>
    </w:p>
    <w:p>
      <w:pPr>
        <w:pStyle w:val="BodyText"/>
        <w:spacing w:after="120" w:line="276" w:lineRule="auto"/>
        <w:jc w:val="both"/>
      </w:pPr>
      <m:oMathPara>
        <m:oMathParaPr>
          <m:jc m:val="center"/>
        </m:oMathParaPr>
        <m:oMath>
          <m:sSubSup>
            <m:e>
              <m:r>
                <m:t>T</m:t>
              </m:r>
            </m:e>
            <m:sub>
              <m:r>
                <m:t>0</m:t>
              </m:r>
            </m:sub>
            <m:sup>
              <m:r>
                <m:t>2</m:t>
              </m:r>
            </m:sup>
          </m:sSubSup>
          <m:r>
            <m:rPr>
              <m:sty m:val="p"/>
            </m:rPr>
            <m:t>=</m:t>
          </m:r>
          <m:f>
            <m:fPr>
              <m:type m:val="bar"/>
            </m:fPr>
            <m:num>
              <m:r>
                <m:t>4</m:t>
              </m:r>
              <m:sSup>
                <m:e>
                  <m:r>
                    <m:t>π</m:t>
                  </m:r>
                </m:e>
                <m:sup>
                  <m:r>
                    <m:t>2</m:t>
                  </m:r>
                </m:sup>
              </m:sSup>
            </m:num>
            <m:den>
              <m:r>
                <m:t>g</m:t>
              </m:r>
            </m:den>
          </m:f>
          <m:r>
            <m:t> </m:t>
          </m:r>
          <m:r>
            <m:t>L</m:t>
          </m:r>
          <m:r>
            <m:rPr>
              <m:sty m:val="p"/>
            </m:rPr>
            <m:t>,</m:t>
          </m:r>
        </m:oMath>
      </m:oMathPara>
    </w:p>
    <w:p>
      <w:pPr>
        <w:pStyle w:val="FirstParagraph"/>
        <w:spacing w:after="120" w:line="276" w:lineRule="auto"/>
        <w:jc w:val="both"/>
      </w:pPr>
      <w:r>
        <w:t xml:space="preserve">de modo que al representar</w:t>
      </w:r>
      <w:r>
        <w:t xml:space="preserve"> </w:t>
      </w:r>
      <m:oMath>
        <m:sSubSup>
          <m:e>
            <m:r>
              <m:t>T</m:t>
            </m:r>
          </m:e>
          <m:sub>
            <m:r>
              <m:t>0</m:t>
            </m:r>
          </m:sub>
          <m:sup>
            <m:r>
              <m:t>2</m:t>
            </m:r>
          </m:sup>
        </m:sSubSup>
      </m:oMath>
      <w:r>
        <w:t xml:space="preserve"> </w:t>
      </w:r>
      <w:r>
        <w:t xml:space="preserve">frente a</w:t>
      </w:r>
      <w:r>
        <w:t xml:space="preserve"> </w:t>
      </w:r>
      <m:oMath>
        <m:r>
          <m:t>L</m:t>
        </m:r>
      </m:oMath>
      <w:r>
        <w:t xml:space="preserve"> </w:t>
      </w:r>
      <w:r>
        <w:t xml:space="preserve">se obtiene una recta de pendiente</w:t>
      </w:r>
      <w:r>
        <w:t xml:space="preserve"> </w:t>
      </w:r>
      <m:oMath>
        <m:r>
          <m:t>4</m:t>
        </m:r>
        <m:sSup>
          <m:e>
            <m:r>
              <m:t>π</m:t>
            </m:r>
          </m:e>
          <m:sup>
            <m:r>
              <m:t>2</m:t>
            </m:r>
          </m:sup>
        </m:sSup>
        <m:r>
          <m:rPr>
            <m:sty m:val="p"/>
          </m:rPr>
          <m:t>/</m:t>
        </m:r>
        <m:r>
          <m:t>g</m:t>
        </m:r>
      </m:oMath>
      <w:r>
        <w:t xml:space="preserve">, y de ella se despeja</w:t>
      </w:r>
      <w:r>
        <w:t xml:space="preserve"> </w:t>
      </w:r>
      <m:oMath>
        <m:r>
          <m:t>g</m:t>
        </m:r>
      </m:oMath>
      <w:r>
        <w:t xml:space="preserve">.</w:t>
      </w:r>
    </w:p>
    <w:p>
      <w:pPr>
        <w:pStyle w:val="BodyText"/>
        <w:spacing w:after="120" w:line="276" w:lineRule="auto"/>
        <w:jc w:val="both"/>
      </w:pPr>
      <w:r>
        <w:t xml:space="preserve">Si la amplitud</w:t>
      </w:r>
      <w:r>
        <w:t xml:space="preserve"> </w:t>
      </w:r>
      <m:oMath>
        <m:sSub>
          <m:e>
            <m:r>
              <m:t>θ</m:t>
            </m:r>
          </m:e>
          <m:sub>
            <m:r>
              <m:t>0</m:t>
            </m:r>
          </m:sub>
        </m:sSub>
      </m:oMath>
      <w:r>
        <w:t xml:space="preserve"> </w:t>
      </w:r>
      <w:r>
        <w:t xml:space="preserve">no es pequeña, la aproximación</w:t>
      </w:r>
      <w:r>
        <w:t xml:space="preserve"> </w:t>
      </w:r>
      <m:oMath>
        <m:r>
          <m:rPr>
            <m:sty m:val="p"/>
          </m:rPr>
          <m:t>sin</m:t>
        </m:r>
        <m:r>
          <m:t>θ</m:t>
        </m:r>
        <m:r>
          <m:rPr>
            <m:sty m:val="p"/>
          </m:rPr>
          <m:t>≃</m:t>
        </m:r>
        <m:r>
          <m:t>θ</m:t>
        </m:r>
      </m:oMath>
      <w:r>
        <w:t xml:space="preserve"> </w:t>
      </w:r>
      <w:r>
        <w:t xml:space="preserve">deja de valer y el periodo</w:t>
      </w:r>
      <w:r>
        <w:t xml:space="preserve"> </w:t>
      </w:r>
      <m:oMath>
        <m:r>
          <m:t>T</m:t>
        </m:r>
      </m:oMath>
      <w:r>
        <w:t xml:space="preserve"> </w:t>
      </w:r>
      <w:r>
        <w:t xml:space="preserve">crece con la amplitud. Para amplitudes moderadas,</w:t>
      </w:r>
    </w:p>
    <w:p>
      <w:pPr>
        <w:pStyle w:val="BodyText"/>
        <w:spacing w:after="120" w:line="276" w:lineRule="auto"/>
        <w:jc w:val="both"/>
      </w:pPr>
      <m:oMathPara>
        <m:oMathParaPr>
          <m:jc m:val="center"/>
        </m:oMathParaPr>
        <m:oMath>
          <m:f>
            <m:fPr>
              <m:type m:val="bar"/>
            </m:fPr>
            <m:num>
              <m:r>
                <m:t>T</m:t>
              </m:r>
            </m:num>
            <m:den>
              <m:sSub>
                <m:e>
                  <m:r>
                    <m:t>T</m:t>
                  </m:r>
                </m:e>
                <m:sub>
                  <m:r>
                    <m:t>0</m:t>
                  </m:r>
                </m:sub>
              </m:sSub>
            </m:den>
          </m:f>
          <m:r>
            <m:rPr>
              <m:sty m:val="p"/>
            </m:rPr>
            <m:t>≃</m:t>
          </m:r>
          <m:r>
            <m:t>1</m:t>
          </m:r>
          <m:r>
            <m:rPr>
              <m:sty m:val="p"/>
            </m:rPr>
            <m:t>+</m:t>
          </m:r>
          <m:f>
            <m:fPr>
              <m:type m:val="bar"/>
            </m:fPr>
            <m:num>
              <m:sSubSup>
                <m:e>
                  <m:r>
                    <m:t>θ</m:t>
                  </m:r>
                </m:e>
                <m:sub>
                  <m:r>
                    <m:t>0</m:t>
                  </m:r>
                </m:sub>
                <m:sup>
                  <m:r>
                    <m:t>2</m:t>
                  </m:r>
                </m:sup>
              </m:sSubSup>
            </m:num>
            <m:den>
              <m:r>
                <m:t>16</m:t>
              </m:r>
            </m:den>
          </m:f>
          <m:r>
            <m:rPr>
              <m:sty m:val="p"/>
            </m:rPr>
            <m:t>,</m:t>
          </m:r>
        </m:oMath>
      </m:oMathPara>
    </w:p>
    <w:p>
      <w:pPr>
        <w:pStyle w:val="FirstParagraph"/>
        <w:spacing w:after="120" w:line="276" w:lineRule="auto"/>
        <w:jc w:val="both"/>
      </w:pPr>
      <w:r>
        <w:t xml:space="preserve">con</w:t>
      </w:r>
      <w:r>
        <w:t xml:space="preserve"> </w:t>
      </w:r>
      <m:oMath>
        <m:sSub>
          <m:e>
            <m:r>
              <m:t>θ</m:t>
            </m:r>
          </m:e>
          <m:sub>
            <m:r>
              <m:t>0</m:t>
            </m:r>
          </m:sub>
        </m:sSub>
      </m:oMath>
      <w:r>
        <w:t xml:space="preserve"> </w:t>
      </w:r>
      <w:r>
        <w:t xml:space="preserve">en radianes. La amplitud se obtiene del triángulo de la Figura 1, midiendo la distancia horizontal</w:t>
      </w:r>
      <w:r>
        <w:t xml:space="preserve"> </w:t>
      </w:r>
      <m:oMath>
        <m:r>
          <m:t>x</m:t>
        </m:r>
      </m:oMath>
      <w:r>
        <w:t xml:space="preserve"> </w:t>
      </w:r>
      <w:r>
        <w:t xml:space="preserve">entre la posición de reposo de la esfera y su posición de partida:</w:t>
      </w:r>
      <w:r>
        <w:t xml:space="preserve"> </w:t>
      </w:r>
      <m:oMath>
        <m:r>
          <m:rPr>
            <m:sty m:val="p"/>
          </m:rPr>
          <m:t>sin</m:t>
        </m:r>
        <m:sSub>
          <m:e>
            <m:r>
              <m:t>θ</m:t>
            </m:r>
          </m:e>
          <m:sub>
            <m:r>
              <m:t>0</m:t>
            </m:r>
          </m:sub>
        </m:sSub>
        <m:r>
          <m:rPr>
            <m:sty m:val="p"/>
          </m:rPr>
          <m:t>=</m:t>
        </m:r>
        <m:r>
          <m:t>x</m:t>
        </m:r>
        <m:r>
          <m:rPr>
            <m:sty m:val="p"/>
          </m:rPr>
          <m:t>/</m:t>
        </m:r>
        <m:r>
          <m:t>L</m:t>
        </m:r>
      </m:oMath>
      <w:r>
        <w:t xml:space="preserve">.</w:t>
      </w:r>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1979999" cy="2124878"/>
            <wp:effectExtent b="0" l="0" r="0" t="0"/>
            <wp:docPr descr="Figura 1. Péndulo simple y triángulo para medir la amplitud." title="" id="24" name="Picture"/>
            <a:graphic>
              <a:graphicData uri="http://schemas.openxmlformats.org/drawingml/2006/picture">
                <pic:pic>
                  <pic:nvPicPr>
                    <pic:cNvPr descr="fig/pendulo.png" id="25" name="Picture"/>
                    <pic:cNvPicPr>
                      <a:picLocks noChangeArrowheads="1" noChangeAspect="1"/>
                    </pic:cNvPicPr>
                  </pic:nvPicPr>
                  <pic:blipFill>
                    <a:blip r:embed="rId23"/>
                    <a:stretch>
                      <a:fillRect/>
                    </a:stretch>
                  </pic:blipFill>
                  <pic:spPr bwMode="auto">
                    <a:xfrm>
                      <a:off x="0" y="0"/>
                      <a:ext cx="1979999" cy="2124878"/>
                    </a:xfrm>
                    <a:prstGeom prst="rect">
                      <a:avLst/>
                    </a:prstGeom>
                    <a:noFill/>
                    <a:ln w="9525">
                      <a:noFill/>
                      <a:headEnd/>
                      <a:tailEnd/>
                    </a:ln>
                  </pic:spPr>
                </pic:pic>
              </a:graphicData>
            </a:graphic>
          </wp:inline>
        </w:drawing>
      </w:r>
    </w:p>
    <w:p>
      <w:pPr>
        <w:pStyle w:val="ImageCaption"/>
        <w:jc w:val="center"/>
      </w:pPr>
      <w:r>
        <w:t xml:space="preserve">Figura 1. Péndulo simple y triángulo para medir la amplitud.</w:t>
      </w:r>
    </w:p>
    <w:p>
      <w:pPr>
        <w:pStyle w:val="BodyText"/>
        <w:spacing w:after="120" w:line="276" w:lineRule="auto"/>
        <w:jc w:val="both"/>
      </w:pPr>
      <w:r>
        <w:t xml:space="preserve">La esfera se cuelga del hilo, que se fija al soporte. La longitud</w:t>
      </w:r>
      <w:r>
        <w:t xml:space="preserve"> </w:t>
      </w:r>
      <m:oMath>
        <m:r>
          <m:t>L</m:t>
        </m:r>
      </m:oMath>
      <w:r>
        <w:t xml:space="preserve"> </w:t>
      </w:r>
      <w:r>
        <w:t xml:space="preserve">se mide con la cinta métrica desde el punto de fijación hasta el centro de la esfera. El periodo se mide con la puerta fotoeléctrica, colocada en la posición de reposo de la esfera, con el contador en modo periodo. La distancia</w:t>
      </w:r>
      <w:r>
        <w:t xml:space="preserve"> </w:t>
      </w:r>
      <m:oMath>
        <m:r>
          <m:t>x</m:t>
        </m:r>
      </m:oMath>
      <w:r>
        <w:t xml:space="preserve"> </w:t>
      </w:r>
      <w:r>
        <w:t xml:space="preserve">se mide con una regla horizontal a la altura de la esfera.</w:t>
      </w:r>
    </w:p>
    <w:bookmarkEnd w:id="26"/>
    <w:bookmarkStart w:id="29" w:name="resultados"/>
    <w:p>
      <w:pPr>
        <w:pStyle w:val="Heading2"/>
        <w:numPr>
          <w:ilvl w:val="0"/>
          <w:numId w:val="0"/>
        </w:numPr>
        <w:spacing w:before="440" w:after="160"/>
      </w:pPr>
      <w:r>
        <w:rPr>
          <w:sz w:val="36"/>
        </w:rPr>
        <w:t xml:space="preserve">Resultados</w:t>
      </w:r>
    </w:p>
    <w:bookmarkStart w:id="27" w:name="parte-a.-periodo-frente-a-la-longitud"/>
    <w:p>
      <w:pPr>
        <w:pStyle w:val="Heading3"/>
        <w:numPr>
          <w:ilvl w:val="0"/>
          <w:numId w:val="0"/>
        </w:numPr>
        <w:spacing w:before="320" w:after="120"/>
      </w:pPr>
      <w:r>
        <w:rPr>
          <w:i w:val="0"/>
          <w:sz w:val="26"/>
        </w:rPr>
        <w:t xml:space="preserve">Parte A. Periodo frente a la longitud</w:t>
      </w:r>
    </w:p>
    <w:p>
      <w:pPr>
        <w:pStyle w:val="FirstParagraph"/>
        <w:spacing w:after="120" w:line="276" w:lineRule="auto"/>
        <w:jc w:val="both"/>
      </w:pPr>
      <w:r>
        <w:t xml:space="preserve">Para siete longitudes, de 20 cm a 80 cm de 10 en 10 cm, separar la esfera muy poco (unos centímetros), soltarla y medir cinco veces el periodo con la puerta fotoeléctrica. Escribir en las dos últimas columnas la media</w:t>
      </w:r>
      <w:r>
        <w:t xml:space="preserve"> </w:t>
      </w:r>
      <m:oMath>
        <m:sSub>
          <m:e>
            <m:r>
              <m:t>T</m:t>
            </m:r>
          </m:e>
          <m:sub>
            <m:r>
              <m:t>0</m:t>
            </m:r>
          </m:sub>
        </m:sSub>
      </m:oMath>
      <w:r>
        <w:t xml:space="preserve"> </w:t>
      </w:r>
      <w:r>
        <w:t xml:space="preserve">y su cuadrado, cada uno con su error.</w:t>
      </w:r>
    </w:p>
    <w:p>
      <w:pPr>
        <w:pStyle w:val="TableCaption"/>
        <w:keepNext/>
        <w:spacing w:before="200" w:after="80"/>
        <w:jc w:val="center"/>
      </w:pPr>
      <w:r>
        <w:t xml:space="preserve">Tabla 1. Periodo para oscilaciones pequeñas.</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Periodo para oscilaciones pequeñas."/>
      </w:tblPr>
      <w:tblGrid>
        <w:gridCol w:w="990"/>
        <w:gridCol w:w="990"/>
        <w:gridCol w:w="990"/>
        <w:gridCol w:w="990"/>
        <w:gridCol w:w="990"/>
        <w:gridCol w:w="990"/>
        <w:gridCol w:w="990"/>
        <w:gridCol w:w="990"/>
      </w:tblGrid>
      <w:tr>
        <w:trPr>
          <w:trHeight w:val="510" w:hRule="atLeast"/>
          <w:tblHeader w:val="true"/>
        </w:trPr>
        <w:tc>
          <w:tcPr>
            <w:shd w:val="clear" w:color="auto" w:fill="FFF0C1"/>
            <w:vAlign w:val="center"/>
          </w:tcPr>
          <w:p>
            <w:pPr>
              <w:pStyle w:val="Compact"/>
              <w:jc w:val="center"/>
            </w:pPr>
            <m:oMath>
              <m:r>
                <m:t>L</m:t>
              </m:r>
            </m:oMath>
            <w:r>
              <w:rPr>
                <w:sz w:val="20"/>
              </w:rPr>
              <w:t xml:space="preserve"> </w:t>
            </w:r>
            <w:r>
              <w:rPr>
                <w:sz w:val="20"/>
              </w:rPr>
              <w:t xml:space="preserve">(m)</w:t>
            </w:r>
          </w:p>
        </w:tc>
        <w:tc>
          <w:tcPr>
            <w:shd w:val="clear" w:color="auto" w:fill="FFF0C1"/>
            <w:vAlign w:val="center"/>
          </w:tcPr>
          <w:p>
            <w:pPr>
              <w:pStyle w:val="Compact"/>
              <w:jc w:val="center"/>
            </w:pPr>
            <m:oMath>
              <m:sSub>
                <m:e>
                  <m:r>
                    <m:t>T</m:t>
                  </m:r>
                </m:e>
                <m:sub>
                  <m:r>
                    <m:t>1</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2</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3</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4</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5</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0</m:t>
                  </m:r>
                </m:sub>
              </m:sSub>
            </m:oMath>
            <w:r>
              <w:rPr>
                <w:sz w:val="20"/>
              </w:rPr>
              <w:t xml:space="preserve"> </w:t>
            </w:r>
            <w:r>
              <w:rPr>
                <w:sz w:val="20"/>
              </w:rPr>
              <w:t xml:space="preserve">(s)</w:t>
            </w:r>
          </w:p>
        </w:tc>
        <w:tc>
          <w:tcPr>
            <w:shd w:val="clear" w:color="auto" w:fill="FFF0C1"/>
            <w:vAlign w:val="center"/>
          </w:tcPr>
          <w:p>
            <w:pPr>
              <w:pStyle w:val="Compact"/>
              <w:jc w:val="center"/>
            </w:pPr>
            <m:oMath>
              <m:sSubSup>
                <m:e>
                  <m:r>
                    <m:t>T</m:t>
                  </m:r>
                </m:e>
                <m:sub>
                  <m:r>
                    <m:t>0</m:t>
                  </m:r>
                </m:sub>
                <m:sup>
                  <m:r>
                    <m:t>2</m:t>
                  </m:r>
                </m:sup>
              </m:sSubSup>
            </m:oMath>
            <w:r>
              <w:rPr>
                <w:sz w:val="20"/>
              </w:rPr>
              <w:t xml:space="preserve"> </w:t>
            </w:r>
            <w:r>
              <w:rPr>
                <w:sz w:val="20"/>
              </w:rPr>
              <w:t xml:space="preserve">(s²)</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bookmarkEnd w:id="27"/>
    <w:bookmarkStart w:id="28" w:name="parte-b.-periodo-frente-a-la-amplitud"/>
    <w:p>
      <w:pPr>
        <w:pStyle w:val="Heading3"/>
        <w:numPr>
          <w:ilvl w:val="0"/>
          <w:numId w:val="0"/>
        </w:numPr>
        <w:spacing w:before="320" w:after="120"/>
      </w:pPr>
      <w:r>
        <w:rPr>
          <w:i w:val="0"/>
          <w:sz w:val="26"/>
        </w:rPr>
        <w:t xml:space="preserve">Parte B. Periodo frente a la amplitud</w:t>
      </w:r>
    </w:p>
    <w:p>
      <w:pPr>
        <w:pStyle w:val="FirstParagraph"/>
        <w:spacing w:after="120" w:line="276" w:lineRule="auto"/>
        <w:jc w:val="both"/>
      </w:pPr>
      <w:r>
        <w:t xml:space="preserve">Dejar la longitud en 80 cm. Soltar la esfera desde</w:t>
      </w:r>
      <w:r>
        <w:t xml:space="preserve"> </w:t>
      </w:r>
      <m:oMath>
        <m:r>
          <m:t>x</m:t>
        </m:r>
      </m:oMath>
      <w:r>
        <w:t xml:space="preserve"> </w:t>
      </w:r>
      <w:r>
        <w:t xml:space="preserve">= 5, 15, 25, 35, 45 y 55 cm y medir cada vez el periodo de la primera oscilación, en la que la amplitud apenas ha disminuido. Tomar como</w:t>
      </w:r>
      <w:r>
        <w:t xml:space="preserve"> </w:t>
      </w:r>
      <m:oMath>
        <m:sSub>
          <m:e>
            <m:r>
              <m:t>T</m:t>
            </m:r>
          </m:e>
          <m:sub>
            <m:r>
              <m:t>0</m:t>
            </m:r>
          </m:sub>
        </m:sSub>
      </m:oMath>
      <w:r>
        <w:t xml:space="preserve"> </w:t>
      </w:r>
      <w:r>
        <w:t xml:space="preserve">el periodo medido con</w:t>
      </w:r>
      <w:r>
        <w:t xml:space="preserve"> </w:t>
      </w:r>
      <m:oMath>
        <m:r>
          <m:t>x</m:t>
        </m:r>
      </m:oMath>
      <w:r>
        <w:t xml:space="preserve"> </w:t>
      </w:r>
      <w:r>
        <w:t xml:space="preserve">= 5 cm. Calcular</w:t>
      </w:r>
      <w:r>
        <w:t xml:space="preserve"> </w:t>
      </w:r>
      <m:oMath>
        <m:sSub>
          <m:e>
            <m:r>
              <m:t>θ</m:t>
            </m:r>
          </m:e>
          <m:sub>
            <m:r>
              <m:t>0</m:t>
            </m:r>
          </m:sub>
        </m:sSub>
        <m:r>
          <m:rPr>
            <m:sty m:val="p"/>
          </m:rPr>
          <m:t>=</m:t>
        </m:r>
        <m:r>
          <m:rPr>
            <m:sty m:val="p"/>
          </m:rPr>
          <m:t>arcsin</m:t>
        </m:r>
        <m:d>
          <m:dPr>
            <m:begChr m:val="("/>
            <m:endChr m:val=")"/>
            <m:sepChr m:val=""/>
            <m:grow/>
          </m:dPr>
          <m:e>
            <m:r>
              <m:t>x</m:t>
            </m:r>
            <m:r>
              <m:rPr>
                <m:sty m:val="p"/>
              </m:rPr>
              <m:t>/</m:t>
            </m:r>
            <m:r>
              <m:t>L</m:t>
            </m:r>
          </m:e>
        </m:d>
      </m:oMath>
      <w:r>
        <w:t xml:space="preserve">, el cociente medido</w:t>
      </w:r>
      <w:r>
        <w:t xml:space="preserve"> </w:t>
      </w:r>
      <m:oMath>
        <m:r>
          <m:t>T</m:t>
        </m:r>
        <m:r>
          <m:rPr>
            <m:sty m:val="p"/>
          </m:rPr>
          <m:t>/</m:t>
        </m:r>
        <m:sSub>
          <m:e>
            <m:r>
              <m:t>T</m:t>
            </m:r>
          </m:e>
          <m:sub>
            <m:r>
              <m:t>0</m:t>
            </m:r>
          </m:sub>
        </m:sSub>
      </m:oMath>
      <w:r>
        <w:t xml:space="preserve"> </w:t>
      </w:r>
      <w:r>
        <w:t xml:space="preserve">y el que predice la teoría,</w:t>
      </w:r>
      <w:r>
        <w:t xml:space="preserve"> </w:t>
      </w:r>
      <m:oMath>
        <m:r>
          <m:t>1</m:t>
        </m:r>
        <m:r>
          <m:rPr>
            <m:sty m:val="p"/>
          </m:rPr>
          <m:t>+</m:t>
        </m:r>
        <m:sSubSup>
          <m:e>
            <m:r>
              <m:t>θ</m:t>
            </m:r>
          </m:e>
          <m:sub>
            <m:r>
              <m:t>0</m:t>
            </m:r>
          </m:sub>
          <m:sup>
            <m:r>
              <m:t>2</m:t>
            </m:r>
          </m:sup>
        </m:sSubSup>
        <m:r>
          <m:rPr>
            <m:sty m:val="p"/>
          </m:rPr>
          <m:t>/</m:t>
        </m:r>
        <m:r>
          <m:t>16</m:t>
        </m:r>
      </m:oMath>
      <w:r>
        <w:t xml:space="preserve">.</w:t>
      </w:r>
    </w:p>
    <w:p>
      <w:pPr>
        <w:pStyle w:val="TableCaption"/>
        <w:keepNext/>
        <w:spacing w:before="200" w:after="80"/>
        <w:jc w:val="center"/>
      </w:pPr>
      <w:r>
        <w:t xml:space="preserve">Tabla 2. Periodo para amplitudes crecientes (</w:t>
      </w:r>
      <m:oMath>
        <m:r>
          <m:t>L</m:t>
        </m:r>
      </m:oMath>
      <w:r>
        <w:t xml:space="preserve"> </w:t>
      </w:r>
      <w:r>
        <w:t xml:space="preserve">= 0,80 m).</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Periodo para amplitudes crecientes (L = 0,80 m)."/>
      </w:tblPr>
      <w:tblGrid>
        <w:gridCol w:w="1584"/>
        <w:gridCol w:w="1584"/>
        <w:gridCol w:w="1584"/>
        <w:gridCol w:w="1584"/>
        <w:gridCol w:w="1584"/>
      </w:tblGrid>
      <w:tr>
        <w:trPr>
          <w:trHeight w:val="510" w:hRule="atLeast"/>
          <w:tblHeader w:val="true"/>
        </w:trPr>
        <w:tc>
          <w:tcPr>
            <w:shd w:val="clear" w:color="auto" w:fill="FFF0C1"/>
            <w:vAlign w:val="center"/>
          </w:tcPr>
          <w:p>
            <w:pPr>
              <w:pStyle w:val="Compact"/>
              <w:jc w:val="center"/>
            </w:pPr>
            <m:oMath>
              <m:r>
                <m:t>x</m:t>
              </m:r>
            </m:oMath>
            <w:r>
              <w:rPr>
                <w:sz w:val="20"/>
              </w:rPr>
              <w:t xml:space="preserve"> </w:t>
            </w:r>
            <w:r>
              <w:rPr>
                <w:sz w:val="20"/>
              </w:rPr>
              <w:t xml:space="preserve">(m)</w:t>
            </w:r>
          </w:p>
        </w:tc>
        <w:tc>
          <w:tcPr>
            <w:shd w:val="clear" w:color="auto" w:fill="FFF0C1"/>
            <w:vAlign w:val="center"/>
          </w:tcPr>
          <w:p>
            <w:pPr>
              <w:pStyle w:val="Compact"/>
              <w:jc w:val="center"/>
            </w:pPr>
            <m:oMath>
              <m:sSub>
                <m:e>
                  <m:r>
                    <m:t>θ</m:t>
                  </m:r>
                </m:e>
                <m:sub>
                  <m:r>
                    <m:t>0</m:t>
                  </m:r>
                </m:sub>
              </m:sSub>
            </m:oMath>
            <w:r>
              <w:rPr>
                <w:sz w:val="20"/>
              </w:rPr>
              <w:t xml:space="preserve"> </w:t>
            </w:r>
            <w:r>
              <w:rPr>
                <w:sz w:val="20"/>
              </w:rPr>
              <w:t xml:space="preserve">(rad)</w:t>
            </w:r>
          </w:p>
        </w:tc>
        <w:tc>
          <w:tcPr>
            <w:shd w:val="clear" w:color="auto" w:fill="FFF0C1"/>
            <w:vAlign w:val="center"/>
          </w:tcPr>
          <w:p>
            <w:pPr>
              <w:pStyle w:val="Compact"/>
              <w:jc w:val="center"/>
            </w:pPr>
            <m:oMath>
              <m:r>
                <m:t>T</m:t>
              </m:r>
            </m:oMath>
            <w:r>
              <w:rPr>
                <w:sz w:val="20"/>
              </w:rPr>
              <w:t xml:space="preserve"> </w:t>
            </w:r>
            <w:r>
              <w:rPr>
                <w:sz w:val="20"/>
              </w:rPr>
              <w:t xml:space="preserve">(s)</w:t>
            </w:r>
          </w:p>
        </w:tc>
        <w:tc>
          <w:tcPr>
            <w:shd w:val="clear" w:color="auto" w:fill="FFF0C1"/>
            <w:vAlign w:val="center"/>
          </w:tcPr>
          <w:p>
            <w:pPr>
              <w:pStyle w:val="Compact"/>
              <w:jc w:val="center"/>
            </w:pPr>
            <m:oMath>
              <m:r>
                <m:t>T</m:t>
              </m:r>
              <m:r>
                <m:rPr>
                  <m:sty m:val="p"/>
                </m:rPr>
                <m:t>/</m:t>
              </m:r>
              <m:sSub>
                <m:e>
                  <m:r>
                    <m:t>T</m:t>
                  </m:r>
                </m:e>
                <m:sub>
                  <m:r>
                    <m:t>0</m:t>
                  </m:r>
                </m:sub>
              </m:sSub>
            </m:oMath>
            <w:r>
              <w:rPr>
                <w:sz w:val="20"/>
              </w:rPr>
              <w:t xml:space="preserve"> </w:t>
            </w:r>
            <w:r>
              <w:rPr>
                <w:sz w:val="20"/>
              </w:rPr>
              <w:t xml:space="preserve">medido</w:t>
            </w:r>
          </w:p>
        </w:tc>
        <w:tc>
          <w:tcPr>
            <w:shd w:val="clear" w:color="auto" w:fill="FFF0C1"/>
            <w:vAlign w:val="center"/>
          </w:tcPr>
          <w:p>
            <w:pPr>
              <w:pStyle w:val="Compact"/>
              <w:jc w:val="center"/>
            </w:pPr>
            <m:oMath>
              <m:r>
                <m:t>1</m:t>
              </m:r>
              <m:r>
                <m:rPr>
                  <m:sty m:val="p"/>
                </m:rPr>
                <m:t>+</m:t>
              </m:r>
              <m:sSubSup>
                <m:e>
                  <m:r>
                    <m:t>θ</m:t>
                  </m:r>
                </m:e>
                <m:sub>
                  <m:r>
                    <m:t>0</m:t>
                  </m:r>
                </m:sub>
                <m:sup>
                  <m:r>
                    <m:t>2</m:t>
                  </m:r>
                </m:sup>
              </m:sSubSup>
              <m:r>
                <m:rPr>
                  <m:sty m:val="p"/>
                </m:rPr>
                <m:t>/</m:t>
              </m:r>
              <m:r>
                <m:t>16</m:t>
              </m:r>
            </m:oMath>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bookmarkEnd w:id="28"/>
    <w:bookmarkEnd w:id="29"/>
    <w:bookmarkStart w:id="30"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Represente</w:t>
      </w:r>
      <w:r>
        <w:t xml:space="preserve"> </w:t>
      </w:r>
      <m:oMath>
        <m:sSubSup>
          <m:e>
            <m:r>
              <m:t>T</m:t>
            </m:r>
          </m:e>
          <m:sub>
            <m:r>
              <m:t>0</m:t>
            </m:r>
          </m:sub>
          <m:sup>
            <m:r>
              <m:t>2</m:t>
            </m:r>
          </m:sup>
        </m:sSubSup>
      </m:oMath>
      <w:r>
        <w:t xml:space="preserve"> </w:t>
      </w:r>
      <w:r>
        <w:t xml:space="preserve">frente a</w:t>
      </w:r>
      <w:r>
        <w:t xml:space="preserve"> </w:t>
      </w:r>
      <m:oMath>
        <m:r>
          <m:t>L</m:t>
        </m:r>
      </m:oMath>
      <w:r>
        <w:t xml:space="preserve"> </w:t>
      </w:r>
      <w:r>
        <w:t xml:space="preserve">con sus barras de error y la recta de ajuste por mínimos cuadrados.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2.</w:t>
      </w:r>
      <w:r>
        <w:t xml:space="preserve"> </w:t>
      </w:r>
      <w:r>
        <w:t xml:space="preserve">Con la pendiente</w:t>
      </w:r>
      <w:r>
        <w:t xml:space="preserve"> </w:t>
      </w:r>
      <m:oMath>
        <m:r>
          <m:t>B</m:t>
        </m:r>
      </m:oMath>
      <w:r>
        <w:t xml:space="preserve"> </w:t>
      </w:r>
      <w:r>
        <w:t xml:space="preserve">del ajuste, obtenga</w:t>
      </w:r>
      <w:r>
        <w:t xml:space="preserve"> </w:t>
      </w:r>
      <m:oMath>
        <m:r>
          <m:t>g</m:t>
        </m:r>
        <m:r>
          <m:rPr>
            <m:sty m:val="p"/>
          </m:rPr>
          <m:t>=</m:t>
        </m:r>
        <m:r>
          <m:t>4</m:t>
        </m:r>
        <m:sSup>
          <m:e>
            <m:r>
              <m:t>π</m:t>
            </m:r>
          </m:e>
          <m:sup>
            <m:r>
              <m:t>2</m:t>
            </m:r>
          </m:sup>
        </m:sSup>
        <m:r>
          <m:rPr>
            <m:sty m:val="p"/>
          </m:rPr>
          <m:t>/</m:t>
        </m:r>
        <m:r>
          <m:t>B</m:t>
        </m:r>
      </m:oMath>
      <w:r>
        <w:t xml:space="preserve"> </w:t>
      </w:r>
      <w:r>
        <w:t xml:space="preserve">con su error y compárelo con 9,81 m/s².</w:t>
      </w:r>
    </w:p>
    <w:p>
      <w:pPr>
        <w:pStyle w:val="BodyText"/>
        <w:spacing w:after="120" w:line="276" w:lineRule="auto"/>
        <w:jc w:val="both"/>
      </w:pPr>
      <w:r>
        <w:t xml:space="preserve">Para compararlo con el valor de referencia, calcule la diferencia</w:t>
      </w:r>
      <w:r>
        <w:t xml:space="preserve"> </w:t>
      </w:r>
      <m:oMath>
        <m:d>
          <m:dPr>
            <m:begChr m:val="|"/>
            <m:endChr m:val="|"/>
            <m:sepChr m:val=""/>
            <m:grow/>
          </m:dPr>
          <m:e>
            <m:r>
              <m:t>g</m:t>
            </m:r>
            <m:r>
              <m:rPr>
                <m:sty m:val="p"/>
              </m:rPr>
              <m:t>−</m:t>
            </m:r>
            <m:r>
              <m:t>9</m:t>
            </m:r>
            <m:r>
              <m:rPr>
                <m:sty m:val="p"/>
              </m:rPr>
              <m:t>,</m:t>
            </m:r>
            <m:r>
              <m:t>81</m:t>
            </m:r>
          </m:e>
        </m:d>
      </m:oMath>
      <w:r>
        <w:t xml:space="preserve">. Si es menor que el error</w:t>
      </w:r>
      <w:r>
        <w:t xml:space="preserve"> </w:t>
      </w:r>
      <m:oMath>
        <m:sSub>
          <m:e>
            <m:r>
              <m:t>ε</m:t>
            </m:r>
          </m:e>
          <m:sub>
            <m:r>
              <m:t>g</m:t>
            </m:r>
          </m:sub>
        </m:sSub>
      </m:oMath>
      <w:r>
        <w:t xml:space="preserve">, su medida es compatible con 9,81 m/s²; escriba «sí» o «no» en la última columna.</w:t>
      </w:r>
    </w:p>
    <w:p>
      <w:pPr>
        <w:pStyle w:val="TableCaption"/>
        <w:keepNext/>
        <w:spacing w:before="200" w:after="80"/>
        <w:jc w:val="center"/>
      </w:pPr>
      <w:r>
        <w:t xml:space="preserve">Tabla 3. Ajuste lineal y aceleración de la gravedad.</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3. Ajuste lineal y aceleración de la gravedad."/>
      </w:tblPr>
      <w:tblGrid>
        <w:gridCol w:w="1320"/>
        <w:gridCol w:w="1320"/>
        <w:gridCol w:w="1320"/>
        <w:gridCol w:w="1320"/>
        <w:gridCol w:w="1320"/>
        <w:gridCol w:w="1320"/>
      </w:tblGrid>
      <w:tr>
        <w:trPr>
          <w:trHeight w:val="510" w:hRule="atLeast"/>
          <w:tblHeader w:val="true"/>
        </w:trPr>
        <w:tc>
          <w:tcPr>
            <w:shd w:val="clear" w:color="auto" w:fill="FFF0C1"/>
            <w:vAlign w:val="center"/>
          </w:tcPr>
          <w:p>
            <w:pPr>
              <w:pStyle w:val="Compact"/>
              <w:keepNext/>
              <w:jc w:val="center"/>
            </w:pPr>
            <m:oMath>
              <m:r>
                <m:t>B</m:t>
              </m:r>
            </m:oMath>
            <w:r>
              <w:rPr>
                <w:sz w:val="20"/>
              </w:rPr>
              <w:t xml:space="preserve"> </w:t>
            </w:r>
            <w:r>
              <w:rPr>
                <w:sz w:val="20"/>
              </w:rPr>
              <w:t xml:space="preserve">(s²/m)</w:t>
            </w:r>
          </w:p>
        </w:tc>
        <w:tc>
          <w:tcPr>
            <w:shd w:val="clear" w:color="auto" w:fill="FFF0C1"/>
            <w:vAlign w:val="center"/>
          </w:tcPr>
          <w:p>
            <w:pPr>
              <w:pStyle w:val="Compact"/>
              <w:keepNext/>
              <w:jc w:val="center"/>
            </w:pPr>
            <m:oMath>
              <m:r>
                <m:t>A</m:t>
              </m:r>
            </m:oMath>
            <w:r>
              <w:rPr>
                <w:sz w:val="20"/>
              </w:rPr>
              <w:t xml:space="preserve"> </w:t>
            </w:r>
            <w:r>
              <w:rPr>
                <w:sz w:val="20"/>
              </w:rPr>
              <w:t xml:space="preserve">(s²)</w:t>
            </w:r>
          </w:p>
        </w:tc>
        <w:tc>
          <w:tcPr>
            <w:shd w:val="clear" w:color="auto" w:fill="FFF0C1"/>
            <w:vAlign w:val="center"/>
          </w:tcPr>
          <w:p>
            <w:pPr>
              <w:pStyle w:val="Compact"/>
              <w:keepNext/>
              <w:jc w:val="center"/>
            </w:pPr>
            <m:oMath>
              <m:r>
                <m:t>r</m:t>
              </m:r>
            </m:oMath>
          </w:p>
        </w:tc>
        <w:tc>
          <w:tcPr>
            <w:shd w:val="clear" w:color="auto" w:fill="FFF0C1"/>
            <w:vAlign w:val="center"/>
          </w:tcPr>
          <w:p>
            <w:pPr>
              <w:pStyle w:val="Compact"/>
              <w:keepNext/>
              <w:jc w:val="center"/>
            </w:pPr>
            <m:oMath>
              <m:r>
                <m:t>g</m:t>
              </m:r>
              <m:r>
                <m:rPr>
                  <m:sty m:val="p"/>
                </m:rPr>
                <m:t>±</m:t>
              </m:r>
              <m:sSub>
                <m:e>
                  <m:r>
                    <m:t>ε</m:t>
                  </m:r>
                </m:e>
                <m:sub>
                  <m:r>
                    <m:t>g</m:t>
                  </m:r>
                </m:sub>
              </m:sSub>
            </m:oMath>
            <w:r>
              <w:rPr>
                <w:sz w:val="20"/>
              </w:rPr>
              <w:t xml:space="preserve"> </w:t>
            </w:r>
            <w:r>
              <w:rPr>
                <w:sz w:val="20"/>
              </w:rPr>
              <w:t xml:space="preserve">(m/s²)</w:t>
            </w:r>
          </w:p>
        </w:tc>
        <w:tc>
          <w:tcPr>
            <w:shd w:val="clear" w:color="auto" w:fill="FFF0C1"/>
            <w:vAlign w:val="center"/>
          </w:tcPr>
          <w:p>
            <w:pPr>
              <w:pStyle w:val="Compact"/>
              <w:keepNext/>
              <w:jc w:val="center"/>
            </w:pPr>
            <m:oMath>
              <m:d>
                <m:dPr>
                  <m:begChr m:val="|"/>
                  <m:endChr m:val="|"/>
                  <m:sepChr m:val=""/>
                  <m:grow/>
                </m:dPr>
                <m:e>
                  <m:r>
                    <m:t>g</m:t>
                  </m:r>
                  <m:r>
                    <m:rPr>
                      <m:sty m:val="p"/>
                    </m:rPr>
                    <m:t>−</m:t>
                  </m:r>
                  <m:r>
                    <m:t>9</m:t>
                  </m:r>
                  <m:r>
                    <m:rPr>
                      <m:sty m:val="p"/>
                    </m:rPr>
                    <m:t>,</m:t>
                  </m:r>
                  <m:r>
                    <m:t>81</m:t>
                  </m:r>
                </m:e>
              </m:d>
            </m:oMath>
            <w:r>
              <w:rPr>
                <w:sz w:val="20"/>
              </w:rPr>
              <w:t xml:space="preserve"> </w:t>
            </w:r>
            <w:r>
              <w:rPr>
                <w:sz w:val="20"/>
              </w:rPr>
              <w:t xml:space="preserve">(m/s²)</w:t>
            </w:r>
          </w:p>
        </w:tc>
        <w:tc>
          <w:tcPr>
            <w:shd w:val="clear" w:color="auto" w:fill="FFF0C1"/>
            <w:vAlign w:val="center"/>
          </w:tcPr>
          <w:p>
            <w:pPr>
              <w:pStyle w:val="Compact"/>
              <w:keepNext/>
              <w:jc w:val="center"/>
            </w:pPr>
            <w:r>
              <w:rPr>
                <w:sz w:val="20"/>
              </w:rPr>
              <w:t xml:space="preserve">¿Compatible?</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p>
      <w:pPr>
        <w:pStyle w:val="BodyText"/>
        <w:spacing w:before="200" w:after="120" w:line="276" w:lineRule="auto"/>
        <w:jc w:val="both"/>
      </w:pPr>
      <w:r>
        <w:rPr>
          <w:bCs/>
          <w:b/>
        </w:rPr>
        <w:t xml:space="preserve">3.</w:t>
      </w:r>
      <w:r>
        <w:t xml:space="preserve"> </w:t>
      </w:r>
      <w:r>
        <w:t xml:space="preserve">En la Tabla 2, ¿coinciden el cociente</w:t>
      </w:r>
      <w:r>
        <w:t xml:space="preserve"> </w:t>
      </w:r>
      <m:oMath>
        <m:r>
          <m:t>T</m:t>
        </m:r>
        <m:r>
          <m:rPr>
            <m:sty m:val="p"/>
          </m:rPr>
          <m:t>/</m:t>
        </m:r>
        <m:sSub>
          <m:e>
            <m:r>
              <m:t>T</m:t>
            </m:r>
          </m:e>
          <m:sub>
            <m:r>
              <m:t>0</m:t>
            </m:r>
          </m:sub>
        </m:sSub>
      </m:oMath>
      <w:r>
        <w:t xml:space="preserve"> </w:t>
      </w:r>
      <w:r>
        <w:t xml:space="preserve">medido y el teórico? Escriba el primer valor de</w:t>
      </w:r>
      <w:r>
        <w:t xml:space="preserve"> </w:t>
      </w:r>
      <m:oMath>
        <m:r>
          <m:t>x</m:t>
        </m:r>
      </m:oMath>
      <w:r>
        <w:t xml:space="preserve"> </w:t>
      </w:r>
      <w:r>
        <w:t xml:space="preserve">para el que el periodo medido supera a</w:t>
      </w:r>
      <w:r>
        <w:t xml:space="preserve"> </w:t>
      </w:r>
      <m:oMath>
        <m:sSub>
          <m:e>
            <m:r>
              <m:t>T</m:t>
            </m:r>
          </m:e>
          <m:sub>
            <m:r>
              <m:t>0</m:t>
            </m:r>
          </m:sub>
        </m:sSub>
      </m:oMath>
      <w:r>
        <w:t xml:space="preserve"> </w:t>
      </w:r>
      <w:r>
        <w:t xml:space="preserve">en más de un 1 %, es decir,</w:t>
      </w:r>
      <w:r>
        <w:t xml:space="preserve"> </w:t>
      </w:r>
      <m:oMath>
        <m:r>
          <m:t>T</m:t>
        </m:r>
        <m:r>
          <m:rPr>
            <m:sty m:val="p"/>
          </m:rPr>
          <m:t>/</m:t>
        </m:r>
        <m:sSub>
          <m:e>
            <m:r>
              <m:t>T</m:t>
            </m:r>
          </m:e>
          <m:sub>
            <m:r>
              <m:t>0</m:t>
            </m:r>
          </m:sub>
        </m:sSub>
        <m:r>
          <m:rPr>
            <m:sty m:val="p"/>
          </m:rPr>
          <m:t>&gt;</m:t>
        </m:r>
        <m:r>
          <m:t>1</m:t>
        </m:r>
        <m:r>
          <m:rPr>
            <m:sty m:val="p"/>
          </m:rPr>
          <m:t>,</m:t>
        </m:r>
        <m:r>
          <m:t>01</m:t>
        </m:r>
      </m:oMath>
      <w:r>
        <w:t xml:space="preserve">, y su ángulo</w:t>
      </w:r>
      <w:r>
        <w:t xml:space="preserve"> </w:t>
      </w:r>
      <m:oMath>
        <m:sSub>
          <m:e>
            <m:r>
              <m:t>θ</m:t>
            </m:r>
          </m:e>
          <m:sub>
            <m:r>
              <m:t>0</m:t>
            </m:r>
          </m:sub>
        </m:sSub>
      </m:oMath>
      <w:r>
        <w:t xml:space="preserve"> </w:t>
      </w:r>
      <w:r>
        <w:t xml:space="preserve">en grados.</w:t>
      </w:r>
    </w:p>
    <w:p>
      <w:pPr>
        <w:pStyle w:val="TableCaption"/>
        <w:keepNext/>
        <w:spacing w:before="200" w:after="80"/>
        <w:jc w:val="center"/>
      </w:pPr>
      <w:r>
        <w:t xml:space="preserve">Tabla 4. Amplitud a partir de la cual el periodo crece más de un 1 %.</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4. Amplitud a partir de la cual el periodo crece más de un 1 %."/>
      </w:tblPr>
      <w:tblGrid>
        <w:gridCol w:w="3960"/>
        <w:gridCol w:w="3960"/>
      </w:tblGrid>
      <w:tr>
        <w:trPr>
          <w:trHeight w:val="510" w:hRule="atLeast"/>
          <w:tblHeader w:val="true"/>
        </w:trPr>
        <w:tc>
          <w:tcPr>
            <w:shd w:val="clear" w:color="auto" w:fill="FFF0C1"/>
            <w:vAlign w:val="center"/>
          </w:tcPr>
          <w:p>
            <w:pPr>
              <w:pStyle w:val="Compact"/>
              <w:keepNext/>
              <w:jc w:val="center"/>
            </w:pPr>
            <m:oMath>
              <m:r>
                <m:t>x</m:t>
              </m:r>
            </m:oMath>
            <w:r>
              <w:rPr>
                <w:sz w:val="20"/>
              </w:rPr>
              <w:t xml:space="preserve"> </w:t>
            </w:r>
            <w:r>
              <w:rPr>
                <w:sz w:val="20"/>
              </w:rPr>
              <w:t xml:space="preserve">(m)</w:t>
            </w:r>
          </w:p>
        </w:tc>
        <w:tc>
          <w:tcPr>
            <w:shd w:val="clear" w:color="auto" w:fill="FFF0C1"/>
            <w:vAlign w:val="center"/>
          </w:tcPr>
          <w:p>
            <w:pPr>
              <w:pStyle w:val="Compact"/>
              <w:keepNext/>
              <w:jc w:val="center"/>
            </w:pPr>
            <m:oMath>
              <m:sSub>
                <m:e>
                  <m:r>
                    <m:t>θ</m:t>
                  </m:r>
                </m:e>
                <m:sub>
                  <m:r>
                    <m:t>0</m:t>
                  </m:r>
                </m:sub>
              </m:sSub>
            </m:oMath>
            <w:r>
              <w:rPr>
                <w:sz w:val="20"/>
              </w:rPr>
              <w:t xml:space="preserve"> </w:t>
            </w:r>
            <w:r>
              <w:rPr>
                <w:sz w:val="20"/>
              </w:rPr>
              <w:t xml:space="preserve">(grados)</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0"/>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2026-10-30T16:11:14Z</dcterms:created>
  <dcterms:modified xsi:type="dcterms:W3CDTF">2026-10-30T16:11:14Z</dcterms:modified>
</cp:coreProperties>
</file>

<file path=docProps/custom.xml><?xml version="1.0" encoding="utf-8"?>
<Properties xmlns="http://schemas.openxmlformats.org/officeDocument/2006/custom-properties" xmlns:vt="http://schemas.openxmlformats.org/officeDocument/2006/docPropsVTypes"/>
</file>