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da41e754efb2abeedf75ba639ab2bbd4414de4"/>
    <w:p>
      <w:pPr>
        <w:pStyle w:val="Heading2"/>
        <w:numPr>
          <w:ilvl w:val="0"/>
          <w:numId w:val="0"/>
        </w:numPr>
      </w:pPr>
      <w:r>
        <w:rPr>
          <w:sz w:val="40"/>
        </w:rPr>
        <w:t xml:space="preserve">Péndulo de Pohl II: oscilaciones forzadas y resonancia</w:t>
      </w:r>
    </w:p>
    <w:bookmarkEnd w:id="20"/>
    <w:bookmarkStart w:id="21" w:name="objetiv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Objetivo</w:t>
      </w:r>
    </w:p>
    <w:p>
      <w:pPr>
        <w:pStyle w:val="FirstParagraph"/>
        <w:spacing w:after="120" w:line="276" w:lineRule="auto"/>
        <w:jc w:val="both"/>
      </w:pPr>
      <w:r>
        <w:t xml:space="preserve">Hacer oscilar el péndulo de Pohl con un motor a distintas frecuencias y medir la amplitud con que responde la rueda. La amplitud frente a la frecuencia forma la curva de resonancia, de la que se obtienen la frecuencia del pico y el factor de calidad.</w:t>
      </w:r>
    </w:p>
    <w:bookmarkEnd w:id="21"/>
    <w:bookmarkStart w:id="25" w:name="fundamento-teóric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Fundamento teórico</w:t>
      </w:r>
    </w:p>
    <w:p>
      <w:pPr>
        <w:pStyle w:val="FirstParagraph"/>
        <w:spacing w:after="120" w:line="276" w:lineRule="auto"/>
        <w:jc w:val="both"/>
      </w:pPr>
      <w:r>
        <w:t xml:space="preserve">El motor mueve de forma periódica el extremo del muelle de la rueda con una frecuencia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que se regula con sus diales. Llamando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la posición de la flecha sobre la escala, la ecuación del movimiento es la del oscilador forzado,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γ</m:t>
          </m:r>
          <m:r>
            <m:t> 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cos</m:t>
          </m:r>
          <m:r>
            <m:t>ω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donde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la frecuencia propia,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el ritmo de amortiguamiento 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una constante que depende del motor. Al encender el motor hay un primer tramo irregular, el transitorio. Pasado ese tiempo la rueda oscila con la frecuencia del motor y una amplitud constante,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máx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γ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CaptionedFigure"/>
        <w:jc w:val="center"/>
      </w:pPr>
      <w:r>
        <w:drawing>
          <wp:inline>
            <wp:extent cx="4319999" cy="2123389"/>
            <wp:effectExtent b="0" l="0" r="0" t="0"/>
            <wp:docPr descr="Figura 1. Curva de resonancia." title="" id="23" name="Picture"/>
            <a:graphic>
              <a:graphicData uri="http://schemas.openxmlformats.org/drawingml/2006/picture">
                <pic:pic>
                  <pic:nvPicPr>
                    <pic:cNvPr descr="fig/resonanci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123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1. Curva de resonancia.</w:t>
      </w:r>
    </w:p>
    <w:p>
      <w:pPr>
        <w:pStyle w:val="BodyText"/>
        <w:spacing w:after="120" w:line="276" w:lineRule="auto"/>
        <w:jc w:val="both"/>
      </w:pPr>
      <w:r>
        <w:t xml:space="preserve">Esta amplitud es pequeña lejos de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presenta un pico (Figura 1) en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rPr>
                  <m:nor/>
                  <m:sty m:val="p"/>
                </m:rPr>
                <m:t>pico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γ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muy próximo a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cuando el amortiguamiento es débil. La anchura del pico,</w:t>
      </w:r>
      <w:r>
        <w:t xml:space="preserve"> </w:t>
      </w:r>
      <m:oMath>
        <m:r>
          <m:t>Δ</m:t>
        </m:r>
        <m:r>
          <m:t>ω</m:t>
        </m:r>
      </m:oMath>
      <w:r>
        <w:t xml:space="preserve">, se mide a la altura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pico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y vale aproximadamente</w:t>
      </w:r>
      <w:r>
        <w:t xml:space="preserve"> </w:t>
      </w:r>
      <m:oMath>
        <m:r>
          <m:t>γ</m:t>
        </m:r>
      </m:oMath>
      <w:r>
        <w:t xml:space="preserve">. Cuanto más estrecho es el pico, mayor es el factor de calidad,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Δ</m:t>
        </m:r>
        <m:r>
          <m:t>ω</m:t>
        </m:r>
      </m:oMath>
      <w:r>
        <w:t xml:space="preserve">.</w:t>
      </w:r>
    </w:p>
    <w:p>
      <w:pPr>
        <w:pStyle w:val="BodyText"/>
        <w:spacing w:after="120" w:line="276" w:lineRule="auto"/>
        <w:jc w:val="both"/>
      </w:pPr>
      <w:r>
        <w:t xml:space="preserve">También cambia el desfase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entre la rueda y el motor. A frecuencias bajas la rueda sigue al motor, en fase. En la resonancia va un cuarto de periodo retrasada (</w:t>
      </w:r>
      <m:oMath>
        <m:r>
          <m:t>δ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), y a frecuencias altas se mueve en sentido contrario, en oposición de fase.</w:t>
      </w:r>
    </w:p>
    <w:bookmarkEnd w:id="25"/>
    <w:bookmarkStart w:id="29" w:name="montaje-experimental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Montaje experimental</w:t>
      </w:r>
    </w:p>
    <w:p>
      <w:pPr>
        <w:pStyle w:val="CaptionedFigure"/>
        <w:jc w:val="center"/>
      </w:pPr>
      <w:r>
        <w:drawing>
          <wp:inline>
            <wp:extent cx="2519999" cy="2036045"/>
            <wp:effectExtent b="0" l="0" r="0" t="0"/>
            <wp:docPr descr="Figura 2. Péndulo de Pohl con el motor." title="" id="27" name="Picture"/>
            <a:graphic>
              <a:graphicData uri="http://schemas.openxmlformats.org/drawingml/2006/picture">
                <pic:pic>
                  <pic:nvPicPr>
                    <pic:cNvPr descr="fig/poh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03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2. Péndulo de Pohl con el motor.</w:t>
      </w:r>
    </w:p>
    <w:p>
      <w:pPr>
        <w:pStyle w:val="BodyText"/>
        <w:spacing w:after="120" w:line="276" w:lineRule="auto"/>
        <w:jc w:val="both"/>
      </w:pPr>
      <w:r>
        <w:t xml:space="preserve">El freno se conecta como en la práctica anterior: salida de alterna de la fuente, rectificador, amperímetro y freno. El motor se conecta a la salida de continua de la fuente, en las dos hembras superiores del motor. Antes de encenderlo hay que poner el dial de corriente de la fuente en 0,65 A y, después, subir la tensión al máximo. La frecuencia del motor se ajusta con los dos diales de su parte superior: el derecho para el ajuste grueso y el izquierdo para el fino.</w:t>
      </w:r>
    </w:p>
    <w:p>
      <w:pPr>
        <w:pStyle w:val="BodyText"/>
        <w:spacing w:after="120" w:line="276" w:lineRule="auto"/>
        <w:jc w:val="both"/>
      </w:pPr>
      <w:r>
        <w:rPr>
          <w:bCs/>
          <w:b/>
        </w:rPr>
        <w:t xml:space="preserve">Precaución:</w:t>
      </w:r>
      <w:r>
        <w:t xml:space="preserve"> </w:t>
      </w:r>
      <w:r>
        <w:t xml:space="preserve">el freno admite como máximo 1 A (10 V de alterna) y el motor, 650 mA. No se acerque a la resonancia con el freno apagado, porque la amplitud se sale de la escala.</w:t>
      </w:r>
    </w:p>
    <w:bookmarkEnd w:id="29"/>
    <w:bookmarkStart w:id="32" w:name="resultado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Resultados</w:t>
      </w:r>
    </w:p>
    <w:bookmarkStart w:id="30" w:name="Xb2c887b7557603e418fbe000de346666d45fa7c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A. Periodo propio y amortiguamiento</w:t>
      </w:r>
    </w:p>
    <w:p>
      <w:pPr>
        <w:pStyle w:val="FirstParagraph"/>
        <w:spacing w:after="120" w:line="276" w:lineRule="auto"/>
        <w:jc w:val="both"/>
      </w:pPr>
      <w:r>
        <w:t xml:space="preserve">Se necesitan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el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del freno a 4 V. Si ya se hizo la práctica anterior, copie sus resultados. Si no, mida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 el freno apagado (cinco veces el tiempo de 20 oscilaciones) y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con el freno a 4 V, como se explica en ella.</w:t>
      </w:r>
    </w:p>
    <w:p>
      <w:pPr>
        <w:pStyle w:val="TableCaption"/>
        <w:keepNext/>
        <w:spacing w:before="200" w:after="80"/>
        <w:jc w:val="center"/>
      </w:pPr>
      <w:r>
        <w:t xml:space="preserve">Tabla 1. Datos de la oscilación libre y amortiguada, con sus errores.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1. Datos de la oscilación libre y amortiguada, con sus errores."/>
      </w:tblPr>
      <w:tblGrid>
        <w:gridCol w:w="1980"/>
        <w:gridCol w:w="1980"/>
        <w:gridCol w:w="1980"/>
        <w:gridCol w:w="198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a 4 V (A)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γ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0"/>
    <w:bookmarkStart w:id="31" w:name="parte-b.-curva-de-resonancia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B. Curva de resonancia</w:t>
      </w:r>
    </w:p>
    <w:p>
      <w:pPr>
        <w:pStyle w:val="FirstParagraph"/>
        <w:spacing w:after="120" w:line="276" w:lineRule="auto"/>
        <w:jc w:val="both"/>
      </w:pPr>
      <w:r>
        <w:t xml:space="preserve">Con el freno a 4 V, encender el motor y elegir una frecuencia. Medir el tiempo de 5 vueltas del motor,</w:t>
      </w:r>
      <w: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, para obtener su periodo</w:t>
      </w:r>
      <w: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y su frecuencia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 Esperar a que la amplitud de la rueda deje de cambiar, lo que cerca de la resonancia lleva 2 o 3 minutos. Entonces anotar hasta dónde llega la flecha a la izquierda,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y a la derecha,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</m:oMath>
      <w:r>
        <w:t xml:space="preserve">. La amplitud es su media,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máx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d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, porque la oscilación puede no estar centrada en el cero.</w:t>
      </w:r>
    </w:p>
    <w:p>
      <w:pPr>
        <w:pStyle w:val="BodyText"/>
        <w:spacing w:after="120" w:line="276" w:lineRule="auto"/>
        <w:jc w:val="both"/>
      </w:pPr>
      <w:r>
        <w:t xml:space="preserve">Repetir para unas 15 frecuencias. Conviene empezar lejos de la resonancia e ir acercándose, tomando los puntos más juntos donde la amplitud crece deprisa (</w:t>
      </w:r>
      <m:oMath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cerca de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 y siguiendo después por encima de ella. Fíjese en el desfase entre la flecha de la rueda y la del motor a frecuencias bajas, en la resonancia y a frecuencias altas.</w:t>
      </w:r>
    </w:p>
    <w:p>
      <w:pPr>
        <w:pStyle w:val="TableCaption"/>
        <w:keepNext/>
        <w:spacing w:before="200" w:after="80"/>
        <w:jc w:val="center"/>
      </w:pPr>
      <w:r>
        <w:t xml:space="preserve">Tabla 2. Amplitud de la rueda frente a la frecuencia del motor.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2. Amplitud de la rueda frente a la frecuencia del motor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máx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(div)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1"/>
    <w:bookmarkEnd w:id="32"/>
    <w:bookmarkStart w:id="33" w:name="cuestione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Cuestiones</w:t>
      </w:r>
    </w:p>
    <w:p>
      <w:pPr>
        <w:pStyle w:val="FirstParagraph"/>
        <w:spacing w:before="280" w:after="120" w:line="276" w:lineRule="auto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Represente la curva de resonancia,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máx</m:t>
            </m:r>
          </m:sub>
        </m:sSub>
      </m:oMath>
      <w:r>
        <w:t xml:space="preserve"> </w:t>
      </w:r>
      <w:r>
        <w:t xml:space="preserve">frente a</w:t>
      </w:r>
      <w:r>
        <w:t xml:space="preserve"> </w:t>
      </w:r>
      <m:oMath>
        <m:r>
          <m:t>ω</m:t>
        </m:r>
      </m:oMath>
      <w:r>
        <w:t xml:space="preserve">, uniendo los puntos con una curva suave. Marque en ella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nor/>
                <m:sty m:val="p"/>
              </m:rPr>
              <m:t>pico</m:t>
            </m:r>
          </m:sub>
        </m:sSub>
      </m:oMath>
      <w:r>
        <w:t xml:space="preserve">, la altura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pico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y la anchura</w:t>
      </w:r>
      <w:r>
        <w:t xml:space="preserve"> </w:t>
      </w:r>
      <m:oMath>
        <m:r>
          <m:t>Δ</m:t>
        </m:r>
        <m:r>
          <m:t>ω</m:t>
        </m:r>
      </m:oMath>
      <w:r>
        <w:t xml:space="preserve">, como en la Figura 1.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4536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2.</w:t>
      </w:r>
      <w:r>
        <w:t xml:space="preserve"> </w:t>
      </w:r>
      <w:r>
        <w:t xml:space="preserve">Lea en la gráfica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nor/>
                <m:sty m:val="p"/>
              </m:rPr>
              <m:t>pico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Δ</m:t>
        </m:r>
        <m:r>
          <m:t>ω</m:t>
        </m:r>
      </m:oMath>
      <w:r>
        <w:t xml:space="preserve"> </w:t>
      </w:r>
      <w:r>
        <w:t xml:space="preserve">y calcule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Δ</m:t>
        </m:r>
        <m:r>
          <m:t>ω</m:t>
        </m:r>
      </m:oMath>
      <w:r>
        <w:t xml:space="preserve">. La teoría predice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nor/>
                <m:sty m:val="p"/>
              </m:rPr>
              <m:t>pico</m:t>
            </m:r>
          </m:sub>
        </m:sSub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≃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Δ</m:t>
        </m:r>
        <m:r>
          <m:t>ω</m:t>
        </m:r>
        <m:r>
          <m:rPr>
            <m:sty m:val="p"/>
          </m:rPr>
          <m:t>/</m:t>
        </m:r>
        <m:r>
          <m:t>γ</m:t>
        </m:r>
        <m:r>
          <m:rPr>
            <m:sty m:val="p"/>
          </m:rPr>
          <m:t>≃</m:t>
        </m:r>
        <m:r>
          <m:t>1</m:t>
        </m:r>
      </m:oMath>
      <w:r>
        <w:t xml:space="preserve">, con el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de la Parte A. Calcule esos dos cocientes en las dos últimas columnas.</w:t>
      </w:r>
    </w:p>
    <w:p>
      <w:pPr>
        <w:pStyle w:val="TableCaption"/>
        <w:keepNext/>
        <w:spacing w:before="200" w:after="80"/>
        <w:jc w:val="center"/>
      </w:pPr>
      <w:r>
        <w:t xml:space="preserve">Tabla 3. Resultados de la curva de resonancia.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3. Resultados de la curva de resonancia."/>
      </w:tblPr>
      <w:tblGrid>
        <w:gridCol w:w="1584"/>
        <w:gridCol w:w="1584"/>
        <w:gridCol w:w="1584"/>
        <w:gridCol w:w="1584"/>
        <w:gridCol w:w="1584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rPr>
                      <m:nor/>
                      <m:sty m:val="p"/>
                    </m:rPr>
                    <m:t>pico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Δ</m:t>
              </m:r>
              <m:r>
                <m:t>ω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Q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rPr>
                      <m:nor/>
                      <m:sty m:val="p"/>
                    </m:rPr>
                    <m:t>pico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Δ</m:t>
              </m:r>
              <m:r>
                <m:t>ω</m:t>
              </m:r>
              <m:r>
                <m:rPr>
                  <m:sty m:val="p"/>
                </m:rPr>
                <m:t>/</m:t>
              </m:r>
              <m:r>
                <m:t>γ</m:t>
              </m:r>
            </m:oMath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BodyText"/>
        <w:spacing w:before="200" w:after="120" w:line="276" w:lineRule="auto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Escriba en cada fila cómo se movía la rueda respecto al motor, eligiendo entre «en fase», «un cuarto de periodo retrasada» y «en oposición».</w:t>
      </w:r>
    </w:p>
    <w:p>
      <w:pPr>
        <w:pStyle w:val="TableCaption"/>
        <w:keepNext/>
        <w:spacing w:before="200" w:after="80"/>
        <w:jc w:val="center"/>
      </w:pPr>
      <w:r>
        <w:t xml:space="preserve">Tabla 4. Desfase entre la rueda y el motor.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4. Desfase entre la rueda y el motor."/>
      </w:tblPr>
      <w:tblGrid>
        <w:gridCol w:w="3960"/>
        <w:gridCol w:w="3960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Frecuencia del motor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Movimiento de la rueda respecto al motor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Baja (</w:t>
            </w: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En resonancia (</w:t>
            </w: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≃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Alta (</w:t>
            </w: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≪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3"/>
    <w:sectPr>
      <w:headerReference w:type="default" r:id="rId9"/>
      <w:footerReference w:type="default" r:id="rId10"/>
      <w:pgSz w:w="12240" w:h="15840"/>
      <w:pgMar w:left="1276" w:right="1440" w:top="1134" w:bottom="1247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3402" w:val="left"/>
        <w:tab w:pos="6803" w:val="left"/>
      </w:tabs>
    </w:pPr>
    <w:r/>
    <w:r>
      <w:rPr>
        <w:rFonts w:ascii="Times New Roman" w:hAnsi="Times New Roman"/>
        <w:color w:val="FF0000"/>
        <w:sz w:val="22"/>
      </w:rPr>
      <w:t>Alumno 1:</w:t>
      <w:tab/>
      <w:t>Alumno 2:</w:t>
      <w:tab/>
      <w:t>Alumno 3: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60" w:before="60"/>
    </w:pPr>
    <w:qFormat/>
  </w:style>
  <w:style w:customStyle="1" w:styleId="FirstParagraph" w:type="paragraph">
    <w:name w:val="First Paragraph"/>
    <w:basedOn w:val="BodyText"/>
    <w:next w:val="BodyText"/>
    <w:qFormat/>
    <w:pPr>
      <w:spacing w:before="60" w:after="6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Arial" w:hAnsi="Arial" w:cs="Arial"/>
      <w:b/>
      <w:bCs/>
      <w:i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/>
      <w:b/>
      <w:bCs/>
      <w:i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/>
      <w:b/>
      <w:bCs/>
      <w:i w:val="0"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22"/>
    </w:rPr>
  </w:style>
  <w:style w:customStyle="1" w:styleId="TableCaption" w:type="paragraph">
    <w:name w:val="Table Caption"/>
    <w:basedOn w:val="Caption"/>
    <w:pPr>
      <w:keepNext/>
    </w:pPr>
    <w:rPr>
      <w:i/>
      <w:sz w:val="22"/>
    </w:rPr>
  </w:style>
  <w:style w:customStyle="1" w:styleId="ImageCaption" w:type="paragraph">
    <w:name w:val="Image Caption"/>
    <w:basedOn w:val="Caption"/>
    <w:rPr>
      <w:i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22" Type="http://schemas.openxmlformats.org/officeDocument/2006/relationships/image" Target="media/rId22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2026-10-30T16:18:13Z</dcterms:created>
  <dcterms:modified xsi:type="dcterms:W3CDTF">2026-10-30T16:18:13Z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