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5fbd909463903b1a62fe7e8ff9e75a6eb565890"/>
    <w:p>
      <w:pPr>
        <w:pStyle w:val="Heading2"/>
        <w:numPr>
          <w:ilvl w:val="0"/>
          <w:numId w:val="0"/>
        </w:numPr>
      </w:pPr>
      <w:r>
        <w:rPr>
          <w:sz w:val="40"/>
        </w:rPr>
        <w:t xml:space="preserve">Modos normales de un muelle excitado por un vibrador</w:t>
      </w:r>
    </w:p>
    <w:bookmarkEnd w:id="20"/>
    <w:bookmarkStart w:id="21" w:name="objetivo"/>
    <w:p>
      <w:pPr>
        <w:pStyle w:val="Heading2"/>
        <w:numPr>
          <w:ilvl w:val="0"/>
          <w:numId w:val="0"/>
        </w:numPr>
      </w:pPr>
      <w:r>
        <w:rPr>
          <w:sz w:val="36"/>
        </w:rPr>
        <w:t xml:space="preserve">Objetivo</w:t>
      </w:r>
    </w:p>
    <w:p>
      <w:pPr>
        <w:pStyle w:val="FirstParagraph"/>
        <w:jc w:val="both"/>
      </w:pPr>
      <w:r>
        <w:t xml:space="preserve">Excitar las ondas estacionarias longitudinales de un muelle tenso, unido por un extremo a un vibrador mecánico y por el otro a un soporte fijo, medir las frecuencias de sus modos normales y obtener la velocidad de propagación de las ondas en el muelle. Compararla con la predicha a partir de su constante elástica y su masa.</w:t>
      </w:r>
    </w:p>
    <w:bookmarkEnd w:id="21"/>
    <w:bookmarkStart w:id="22" w:name="fundamento-teórico"/>
    <w:p>
      <w:pPr>
        <w:pStyle w:val="Heading2"/>
        <w:numPr>
          <w:ilvl w:val="0"/>
          <w:numId w:val="0"/>
        </w:numPr>
      </w:pPr>
      <w:r>
        <w:rPr>
          <w:sz w:val="36"/>
        </w:rPr>
        <w:t xml:space="preserve">Fundamento teórico</w:t>
      </w:r>
    </w:p>
    <w:p>
      <w:pPr>
        <w:pStyle w:val="FirstParagraph"/>
        <w:jc w:val="both"/>
      </w:pPr>
      <w:r>
        <w:t xml:space="preserve">Un muelle largo de masa</w:t>
      </w:r>
      <w:r>
        <w:t xml:space="preserve"> </w:t>
      </w:r>
      <m:oMath>
        <m:r>
          <m:t>M</m:t>
        </m:r>
      </m:oMath>
      <w:r>
        <w:t xml:space="preserve">, constante</w:t>
      </w:r>
      <w:r>
        <w:t xml:space="preserve"> </w:t>
      </w:r>
      <m:oMath>
        <m:r>
          <m:t>k</m:t>
        </m:r>
      </m:oMath>
      <w:r>
        <w:t xml:space="preserve"> </w:t>
      </w:r>
      <w:r>
        <w:t xml:space="preserve">y estirado hasta una longitud</w:t>
      </w:r>
      <w:r>
        <w:t xml:space="preserve"> </w:t>
      </w:r>
      <m:oMath>
        <m:r>
          <m:t>L</m:t>
        </m:r>
      </m:oMath>
      <w:r>
        <w:t xml:space="preserve"> </w:t>
      </w:r>
      <w:r>
        <w:t xml:space="preserve">se comporta como un medio continuo por el que se propagan ondas longitudinales (compresiones y estiramientos de las espiras) con velocidad</w:t>
      </w:r>
    </w:p>
    <w:p>
      <w:pPr>
        <w:pStyle w:val="BodyText"/>
        <w:jc w:val="both"/>
      </w:pPr>
      <m:oMathPara>
        <m:oMathParaPr>
          <m:jc m:val="center"/>
        </m:oMathParaPr>
        <m:oMath>
          <m:r>
            <m:t>v</m:t>
          </m:r>
          <m:r>
            <m:rPr>
              <m:sty m:val="p"/>
            </m:rPr>
            <m:t>=</m:t>
          </m:r>
          <m:r>
            <m:t>L</m:t>
          </m:r>
          <m:rad>
            <m:radPr>
              <m:degHide m:val="on"/>
            </m:radPr>
            <m:deg/>
            <m:e>
              <m:f>
                <m:fPr>
                  <m:type m:val="bar"/>
                </m:fPr>
                <m:num>
                  <m:r>
                    <m:t>k</m:t>
                  </m:r>
                </m:num>
                <m:den>
                  <m:r>
                    <m:t>M</m:t>
                  </m:r>
                </m:den>
              </m:f>
            </m:e>
          </m:rad>
          <m:r>
            <m:rPr>
              <m:sty m:val="p"/>
            </m:rPr>
            <m:t>.</m:t>
          </m:r>
        </m:oMath>
      </m:oMathPara>
    </w:p>
    <w:p>
      <w:pPr>
        <w:pStyle w:val="FirstParagraph"/>
        <w:jc w:val="both"/>
      </w:pPr>
      <w:r>
        <w:t xml:space="preserve">Si los dos extremos están prácticamente fijos (la amplitud del vibrador es muy pequeña), solo se forman ondas estacionarias cuando en la longitud del muelle cabe un número entero de semilongitudes de onda,</w:t>
      </w:r>
      <w:r>
        <w:t xml:space="preserve"> </w:t>
      </w:r>
      <m:oMath>
        <m:r>
          <m:t>L</m:t>
        </m:r>
        <m:r>
          <m:rPr>
            <m:sty m:val="p"/>
          </m:rPr>
          <m:t>=</m:t>
        </m:r>
        <m:r>
          <m:t>n</m:t>
        </m:r>
        <m:sSub>
          <m:e>
            <m:r>
              <m:t>λ</m:t>
            </m:r>
          </m:e>
          <m:sub>
            <m:r>
              <m:t>n</m:t>
            </m:r>
          </m:sub>
        </m:sSub>
        <m:r>
          <m:rPr>
            <m:sty m:val="p"/>
          </m:rPr>
          <m:t>/</m:t>
        </m:r>
        <m:r>
          <m:t>2</m:t>
        </m:r>
      </m:oMath>
      <w:r>
        <w:t xml:space="preserve">. Las frecuencias de los modos normales son</w:t>
      </w:r>
    </w:p>
    <w:p>
      <w:pPr>
        <w:pStyle w:val="BodyText"/>
        <w:jc w:val="both"/>
      </w:pPr>
      <m:oMathPara>
        <m:oMathParaPr>
          <m:jc m:val="center"/>
        </m:oMathParaPr>
        <m:oMath>
          <m:sSub>
            <m:e>
              <m:r>
                <m:t>f</m:t>
              </m:r>
            </m:e>
            <m:sub>
              <m:r>
                <m:t>n</m:t>
              </m:r>
            </m:sub>
          </m:sSub>
          <m:r>
            <m:rPr>
              <m:sty m:val="p"/>
            </m:rPr>
            <m:t>=</m:t>
          </m:r>
          <m:f>
            <m:fPr>
              <m:type m:val="bar"/>
            </m:fPr>
            <m:num>
              <m:r>
                <m:t>n</m:t>
              </m:r>
              <m:r>
                <m:t> </m:t>
              </m:r>
              <m:r>
                <m:t>v</m:t>
              </m:r>
            </m:num>
            <m:den>
              <m:r>
                <m:t>2</m:t>
              </m:r>
              <m:r>
                <m:t>L</m:t>
              </m:r>
            </m:den>
          </m:f>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jc w:val="both"/>
      </w:pPr>
      <w:r>
        <w:t xml:space="preserve">En el modo</w:t>
      </w:r>
      <w:r>
        <w:t xml:space="preserve"> </w:t>
      </w:r>
      <m:oMath>
        <m:r>
          <m:t>n</m:t>
        </m:r>
      </m:oMath>
      <w:r>
        <w:t xml:space="preserve"> </w:t>
      </w:r>
      <w:r>
        <w:t xml:space="preserve">se observan</w:t>
      </w:r>
      <w:r>
        <w:t xml:space="preserve"> </w:t>
      </w:r>
      <m:oMath>
        <m:r>
          <m:t>n</m:t>
        </m:r>
      </m:oMath>
      <w:r>
        <w:t xml:space="preserve"> </w:t>
      </w:r>
      <w:r>
        <w:t xml:space="preserve">zonas de gran amplitud (vientres) separadas por</w:t>
      </w:r>
      <w:r>
        <w:t xml:space="preserve"> </w:t>
      </w:r>
      <m:oMath>
        <m:r>
          <m:t>n</m:t>
        </m:r>
        <m:r>
          <m:rPr>
            <m:sty m:val="p"/>
          </m:rPr>
          <m:t>−</m:t>
        </m:r>
        <m:r>
          <m:t>1</m:t>
        </m:r>
      </m:oMath>
      <w:r>
        <w:t xml:space="preserve"> </w:t>
      </w:r>
      <w:r>
        <w:t xml:space="preserve">puntos casi quietos (nodos).</w:t>
      </w:r>
    </w:p>
    <w:bookmarkEnd w:id="22"/>
    <w:bookmarkStart w:id="26" w:name="montaje-experimental"/>
    <w:p>
      <w:pPr>
        <w:pStyle w:val="Heading2"/>
        <w:numPr>
          <w:ilvl w:val="0"/>
          <w:numId w:val="0"/>
        </w:numPr>
      </w:pPr>
      <w:r>
        <w:rPr>
          <w:sz w:val="36"/>
        </w:rPr>
        <w:t xml:space="preserve">Montaje experimental</w:t>
      </w:r>
    </w:p>
    <w:p>
      <w:pPr>
        <w:pStyle w:val="CaptionedFigure"/>
        <w:jc w:val="center"/>
      </w:pPr>
      <w:r>
        <w:drawing>
          <wp:inline>
            <wp:extent cx="1655999" cy="1765622"/>
            <wp:effectExtent b="0" l="0" r="0" t="0"/>
            <wp:docPr descr="Figura 1. Muelle entre el vibrador y un soporte fijo." title="" id="24" name="Picture"/>
            <a:graphic>
              <a:graphicData uri="http://schemas.openxmlformats.org/drawingml/2006/picture">
                <pic:pic>
                  <pic:nvPicPr>
                    <pic:cNvPr descr="fig/vibrador.png" id="25" name="Picture"/>
                    <pic:cNvPicPr>
                      <a:picLocks noChangeArrowheads="1" noChangeAspect="1"/>
                    </pic:cNvPicPr>
                  </pic:nvPicPr>
                  <pic:blipFill>
                    <a:blip r:embed="rId23"/>
                    <a:stretch>
                      <a:fillRect/>
                    </a:stretch>
                  </pic:blipFill>
                  <pic:spPr bwMode="auto">
                    <a:xfrm>
                      <a:off x="0" y="0"/>
                      <a:ext cx="1655999" cy="1765622"/>
                    </a:xfrm>
                    <a:prstGeom prst="rect">
                      <a:avLst/>
                    </a:prstGeom>
                    <a:noFill/>
                    <a:ln w="9525">
                      <a:noFill/>
                      <a:headEnd/>
                      <a:tailEnd/>
                    </a:ln>
                  </pic:spPr>
                </pic:pic>
              </a:graphicData>
            </a:graphic>
          </wp:inline>
        </w:drawing>
      </w:r>
    </w:p>
    <w:p>
      <w:pPr>
        <w:pStyle w:val="ImageCaption"/>
        <w:jc w:val="center"/>
      </w:pPr>
      <w:r>
        <w:t xml:space="preserve">Figura 1. Muelle entre el vibrador y un soporte fijo.</w:t>
      </w:r>
    </w:p>
    <w:p>
      <w:pPr>
        <w:pStyle w:val="BodyText"/>
        <w:jc w:val="both"/>
      </w:pPr>
      <w:r>
        <w:t xml:space="preserve">El muelle cuelga del vástago del vibrador mecánico y su extremo inferior se sujeta a un soporte fijo, de modo que quede estirado. El vibrador se conecta a la salida del generador de funciones (onda senoidal). La frecuencia se lee en el generador. Empezar con amplitud baja y subirla solo lo necesario para ver los modos.</w:t>
      </w:r>
    </w:p>
    <w:bookmarkEnd w:id="26"/>
    <w:bookmarkStart w:id="27" w:name="resultados"/>
    <w:p>
      <w:pPr>
        <w:pStyle w:val="Heading2"/>
        <w:numPr>
          <w:ilvl w:val="0"/>
          <w:numId w:val="0"/>
        </w:numPr>
      </w:pPr>
      <w:r>
        <w:rPr>
          <w:sz w:val="36"/>
        </w:rPr>
        <w:t xml:space="preserve">Resultados</w:t>
      </w:r>
    </w:p>
    <w:p>
      <w:pPr>
        <w:pStyle w:val="FirstParagraph"/>
        <w:jc w:val="both"/>
      </w:pPr>
      <w:r>
        <w:rPr>
          <w:bCs/>
          <w:b/>
        </w:rPr>
        <w:t xml:space="preserve">Parte A. Constante y masa del muelle.</w:t>
      </w:r>
      <w:r>
        <w:t xml:space="preserve"> </w:t>
      </w:r>
      <w:r>
        <w:t xml:space="preserve">Medir la masa</w:t>
      </w:r>
      <w:r>
        <w:t xml:space="preserve"> </w:t>
      </w:r>
      <m:oMath>
        <m:r>
          <m:t>M</m:t>
        </m:r>
      </m:oMath>
      <w:r>
        <w:t xml:space="preserve"> </w:t>
      </w:r>
      <w:r>
        <w:t xml:space="preserve">del muelle con la balanza. Colgarlo de un soporte y medir su alargamiento con tres masas para obtener</w:t>
      </w:r>
      <w:r>
        <w:t xml:space="preserve"> </w:t>
      </w:r>
      <m:oMath>
        <m:r>
          <m:t>k</m:t>
        </m:r>
      </m:oMath>
      <w:r>
        <w:t xml:space="preserve"> </w:t>
      </w:r>
      <w:r>
        <w:t xml:space="preserve">(pendiente de</w:t>
      </w:r>
      <w:r>
        <w:t xml:space="preserve"> </w:t>
      </w:r>
      <m:oMath>
        <m:r>
          <m:t>m</m:t>
        </m:r>
        <m:r>
          <m:t>g</m:t>
        </m:r>
      </m:oMath>
      <w:r>
        <w:t xml:space="preserve"> </w:t>
      </w:r>
      <w:r>
        <w:t xml:space="preserve">frente a</w:t>
      </w:r>
      <w:r>
        <w:t xml:space="preserve"> </w:t>
      </w:r>
      <m:oMath>
        <m:r>
          <m:t>Δ</m:t>
        </m:r>
        <m:r>
          <m:t>y</m:t>
        </m:r>
      </m:oMath>
      <w:r>
        <w:t xml:space="preserve">).</w:t>
      </w:r>
    </w:p>
    <w:p>
      <w:pPr>
        <w:pStyle w:val="BodyText"/>
        <w:jc w:val="both"/>
      </w:pPr>
      <m:oMath>
        <m:r>
          <m:t>M</m:t>
        </m:r>
      </m:oMath>
      <w:r>
        <w:t xml:space="preserve"> </w:t>
      </w:r>
      <w:r>
        <w:t xml:space="preserve">= __________</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Medida estática de la constante del muelle."/>
      </w:tblPr>
      <w:tblGrid>
        <w:gridCol w:w="2640"/>
        <w:gridCol w:w="2640"/>
        <w:gridCol w:w="2640"/>
      </w:tblGrid>
      <w:tr>
        <w:trPr>
          <w:trHeight w:val="510" w:hRule="atLeast"/>
          <w:tblHeader w:val="true"/>
        </w:trPr>
        <w:tc>
          <w:tcPr>
            <w:shd w:val="clear" w:color="auto" w:fill="FFF0C1"/>
            <w:vAlign w:val="center"/>
          </w:tcPr>
          <w:p>
            <w:pPr>
              <w:pStyle w:val="Compact"/>
              <w:jc w:val="center"/>
            </w:pPr>
            <m:oMath>
              <m:r>
                <m:t>m</m:t>
              </m:r>
            </m:oMath>
            <w:r>
              <w:rPr>
                <w:sz w:val="20"/>
              </w:rPr>
              <w:t xml:space="preserve"> </w:t>
            </w:r>
            <w:r>
              <w:rPr>
                <w:sz w:val="20"/>
              </w:rPr>
              <w:t xml:space="preserve">(kg)</w:t>
            </w:r>
          </w:p>
        </w:tc>
        <w:tc>
          <w:tcPr>
            <w:shd w:val="clear" w:color="auto" w:fill="FFF0C1"/>
            <w:vAlign w:val="center"/>
          </w:tcPr>
          <w:p>
            <w:pPr>
              <w:pStyle w:val="Compact"/>
              <w:jc w:val="center"/>
            </w:pPr>
            <m:oMath>
              <m:r>
                <m:t>m</m:t>
              </m:r>
              <m:r>
                <m:t>g</m:t>
              </m:r>
            </m:oMath>
            <w:r>
              <w:rPr>
                <w:sz w:val="20"/>
              </w:rPr>
              <w:t xml:space="preserve"> </w:t>
            </w:r>
            <w:r>
              <w:rPr>
                <w:sz w:val="20"/>
              </w:rPr>
              <w:t xml:space="preserve">(N)</w:t>
            </w:r>
          </w:p>
        </w:tc>
        <w:tc>
          <w:tcPr>
            <w:shd w:val="clear" w:color="auto" w:fill="FFF0C1"/>
            <w:vAlign w:val="center"/>
          </w:tcPr>
          <w:p>
            <w:pPr>
              <w:pStyle w:val="Compact"/>
              <w:jc w:val="center"/>
            </w:pPr>
            <m:oMath>
              <m:r>
                <m:t>Δ</m:t>
              </m:r>
              <m:r>
                <m:t>y</m:t>
              </m:r>
            </m:oMath>
            <w:r>
              <w:rPr>
                <w:sz w:val="20"/>
              </w:rPr>
              <w:t xml:space="preserve"> </w:t>
            </w:r>
            <w:r>
              <w:rPr>
                <w:sz w:val="20"/>
              </w:rPr>
              <w:t xml:space="preserve">(m)</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jc w:val="center"/>
      </w:pPr>
      <w:r>
        <w:t xml:space="preserve">Tabla 1. Medida estática de la constante del muelle.</w:t>
      </w:r>
    </w:p>
    <w:p>
      <w:pPr>
        <w:pStyle w:val="BodyText"/>
        <w:jc w:val="both"/>
      </w:pPr>
      <w:r>
        <w:rPr>
          <w:bCs/>
          <w:b/>
        </w:rPr>
        <w:t xml:space="preserve">Parte B. Modos normales.</w:t>
      </w:r>
      <w:r>
        <w:t xml:space="preserve"> </w:t>
      </w:r>
      <w:r>
        <w:t xml:space="preserve">Montar el muelle en el vibrador y medir su longitud</w:t>
      </w:r>
      <w:r>
        <w:t xml:space="preserve"> </w:t>
      </w:r>
      <m:oMath>
        <m:r>
          <m:t>L</m:t>
        </m:r>
      </m:oMath>
      <w:r>
        <w:t xml:space="preserve">. Subir la frecuencia lentamente desde 1 Hz y, para cada modo, ajustar la frecuencia hasta que la amplitud de los vientres sea máxima y anotar</w:t>
      </w:r>
      <w:r>
        <w:t xml:space="preserve"> </w:t>
      </w:r>
      <m:oMath>
        <m:sSub>
          <m:e>
            <m:r>
              <m:t>f</m:t>
            </m:r>
          </m:e>
          <m:sub>
            <m:r>
              <m:t>n</m:t>
            </m:r>
          </m:sub>
        </m:sSub>
      </m:oMath>
      <w:r>
        <w:t xml:space="preserve"> </w:t>
      </w:r>
      <w:r>
        <w:t xml:space="preserve">y el número de vientres. Medir hasta</w:t>
      </w:r>
      <w:r>
        <w:t xml:space="preserve"> </w:t>
      </w:r>
      <m:oMath>
        <m:r>
          <m:t>n</m:t>
        </m:r>
        <m:r>
          <m:rPr>
            <m:sty m:val="p"/>
          </m:rPr>
          <m:t>=</m:t>
        </m:r>
        <m:r>
          <m:t>6</m:t>
        </m:r>
      </m:oMath>
      <w:r>
        <w:t xml:space="preserve"> </w:t>
      </w:r>
      <w:r>
        <w:t xml:space="preserve">o hasta donde se distingan. Repetir para una segunda longitud del muelle.</w:t>
      </w:r>
    </w:p>
    <w:p>
      <w:pPr>
        <w:pStyle w:val="BodyText"/>
        <w:jc w:val="both"/>
      </w:pPr>
      <m:oMath>
        <m:sSub>
          <m:e>
            <m:r>
              <m:t>L</m:t>
            </m:r>
          </m:e>
          <m:sub>
            <m:r>
              <m:t>1</m:t>
            </m:r>
          </m:sub>
        </m:sSub>
      </m:oMath>
      <w:r>
        <w:t xml:space="preserve"> </w:t>
      </w:r>
      <w:r>
        <w:t xml:space="preserve">= __________</w:t>
      </w:r>
      <w:r>
        <w:t xml:space="preserve"> </w:t>
      </w:r>
      <m:oMath>
        <m:r>
          <m:t>  </m:t>
        </m:r>
        <m:sSub>
          <m:e>
            <m:r>
              <m:t>L</m:t>
            </m:r>
          </m:e>
          <m:sub>
            <m:r>
              <m:t>2</m:t>
            </m:r>
          </m:sub>
        </m:sSub>
      </m:oMath>
      <w:r>
        <w:t xml:space="preserve"> </w:t>
      </w:r>
      <w:r>
        <w:t xml:space="preserve">= __________</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Frecuencias de los modos normales."/>
      </w:tblPr>
      <w:tblGrid>
        <w:gridCol w:w="1584"/>
        <w:gridCol w:w="1584"/>
        <w:gridCol w:w="1584"/>
        <w:gridCol w:w="1584"/>
        <w:gridCol w:w="1584"/>
      </w:tblGrid>
      <w:tr>
        <w:trPr>
          <w:trHeight w:val="510" w:hRule="atLeast"/>
          <w:tblHeader w:val="true"/>
        </w:trPr>
        <w:tc>
          <w:tcPr>
            <w:shd w:val="clear" w:color="auto" w:fill="FFF0C1"/>
            <w:vAlign w:val="center"/>
          </w:tcPr>
          <w:p>
            <w:pPr>
              <w:pStyle w:val="Compact"/>
              <w:jc w:val="center"/>
            </w:pPr>
            <m:oMath>
              <m:r>
                <m:t>n</m:t>
              </m:r>
            </m:oMath>
          </w:p>
        </w:tc>
        <w:tc>
          <w:tcPr>
            <w:shd w:val="clear" w:color="auto" w:fill="FFF0C1"/>
            <w:vAlign w:val="center"/>
          </w:tcPr>
          <w:p>
            <w:pPr>
              <w:pStyle w:val="Compact"/>
              <w:jc w:val="center"/>
            </w:pPr>
            <m:oMath>
              <m:sSub>
                <m:e>
                  <m:r>
                    <m:t>f</m:t>
                  </m:r>
                </m:e>
                <m:sub>
                  <m:r>
                    <m:t>n</m:t>
                  </m:r>
                </m:sub>
              </m:sSub>
            </m:oMath>
            <w:r>
              <w:rPr>
                <w:sz w:val="20"/>
              </w:rPr>
              <w:t xml:space="preserve"> </w:t>
            </w:r>
            <w:r>
              <w:rPr>
                <w:sz w:val="20"/>
              </w:rPr>
              <w:t xml:space="preserve">(Hz),</w:t>
            </w:r>
            <w:r>
              <w:rPr>
                <w:sz w:val="20"/>
              </w:rPr>
              <w:t xml:space="preserve"> </w:t>
            </w:r>
            <m:oMath>
              <m:sSub>
                <m:e>
                  <m:r>
                    <m:t>L</m:t>
                  </m:r>
                </m:e>
                <m:sub>
                  <m:r>
                    <m:t>1</m:t>
                  </m:r>
                </m:sub>
              </m:sSub>
            </m:oMath>
          </w:p>
        </w:tc>
        <w:tc>
          <w:tcPr>
            <w:shd w:val="clear" w:color="auto" w:fill="FFF0C1"/>
            <w:vAlign w:val="center"/>
          </w:tcPr>
          <w:p>
            <w:pPr>
              <w:pStyle w:val="Compact"/>
              <w:jc w:val="center"/>
            </w:pPr>
            <m:oMath>
              <m:sSub>
                <m:e>
                  <m:r>
                    <m:t>ε</m:t>
                  </m:r>
                </m:e>
                <m:sub>
                  <m:r>
                    <m:t>f</m:t>
                  </m:r>
                </m:sub>
              </m:sSub>
            </m:oMath>
            <w:r>
              <w:rPr>
                <w:sz w:val="20"/>
              </w:rPr>
              <w:t xml:space="preserve"> </w:t>
            </w:r>
            <w:r>
              <w:rPr>
                <w:sz w:val="20"/>
              </w:rPr>
              <w:t xml:space="preserve">(Hz)</w:t>
            </w:r>
          </w:p>
        </w:tc>
        <w:tc>
          <w:tcPr>
            <w:shd w:val="clear" w:color="auto" w:fill="FFF0C1"/>
            <w:vAlign w:val="center"/>
          </w:tcPr>
          <w:p>
            <w:pPr>
              <w:pStyle w:val="Compact"/>
              <w:jc w:val="center"/>
            </w:pPr>
            <m:oMath>
              <m:sSub>
                <m:e>
                  <m:r>
                    <m:t>f</m:t>
                  </m:r>
                </m:e>
                <m:sub>
                  <m:r>
                    <m:t>n</m:t>
                  </m:r>
                </m:sub>
              </m:sSub>
            </m:oMath>
            <w:r>
              <w:rPr>
                <w:sz w:val="20"/>
              </w:rPr>
              <w:t xml:space="preserve"> </w:t>
            </w:r>
            <w:r>
              <w:rPr>
                <w:sz w:val="20"/>
              </w:rPr>
              <w:t xml:space="preserve">(Hz),</w:t>
            </w:r>
            <w:r>
              <w:rPr>
                <w:sz w:val="20"/>
              </w:rPr>
              <w:t xml:space="preserve"> </w:t>
            </w:r>
            <m:oMath>
              <m:sSub>
                <m:e>
                  <m:r>
                    <m:t>L</m:t>
                  </m:r>
                </m:e>
                <m:sub>
                  <m:r>
                    <m:t>2</m:t>
                  </m:r>
                </m:sub>
              </m:sSub>
            </m:oMath>
          </w:p>
        </w:tc>
        <w:tc>
          <w:tcPr>
            <w:shd w:val="clear" w:color="auto" w:fill="FFF0C1"/>
            <w:vAlign w:val="center"/>
          </w:tcPr>
          <w:p>
            <w:pPr>
              <w:pStyle w:val="Compact"/>
              <w:jc w:val="center"/>
            </w:pPr>
            <m:oMath>
              <m:sSub>
                <m:e>
                  <m:r>
                    <m:t>ε</m:t>
                  </m:r>
                </m:e>
                <m:sub>
                  <m:r>
                    <m:t>f</m:t>
                  </m:r>
                </m:sub>
              </m:sSub>
            </m:oMath>
            <w:r>
              <w:rPr>
                <w:sz w:val="20"/>
              </w:rPr>
              <w:t xml:space="preserve"> </w:t>
            </w:r>
            <w:r>
              <w:rPr>
                <w:sz w:val="20"/>
              </w:rPr>
              <w:t xml:space="preserve">(Hz)</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jc w:val="center"/>
      </w:pPr>
      <w:r>
        <w:t xml:space="preserve">Tabla 2. Frecuencias de los modos normales.</w:t>
      </w:r>
    </w:p>
    <w:bookmarkEnd w:id="27"/>
    <w:bookmarkStart w:id="28" w:name="cuestiones"/>
    <w:p>
      <w:pPr>
        <w:pStyle w:val="Heading2"/>
        <w:numPr>
          <w:ilvl w:val="0"/>
          <w:numId w:val="0"/>
        </w:numPr>
      </w:pPr>
      <w:r>
        <w:rPr>
          <w:sz w:val="36"/>
        </w:rPr>
        <w:t xml:space="preserve">Cuestiones</w:t>
      </w:r>
    </w:p>
    <w:p>
      <w:pPr>
        <w:pStyle w:val="FirstParagraph"/>
        <w:jc w:val="both"/>
      </w:pPr>
      <w:r>
        <w:rPr>
          <w:bCs/>
          <w:b/>
        </w:rPr>
        <w:t xml:space="preserve">1.</w:t>
      </w:r>
      <w:r>
        <w:t xml:space="preserve"> </w:t>
      </w:r>
      <w:r>
        <w:t xml:space="preserve">Calcule</w:t>
      </w:r>
      <w:r>
        <w:t xml:space="preserve"> </w:t>
      </w:r>
      <m:oMath>
        <m:r>
          <m:t>k</m:t>
        </m:r>
      </m:oMath>
      <w:r>
        <w:t xml:space="preserve"> </w:t>
      </w:r>
      <w:r>
        <w:t xml:space="preserve">con su error a partir de la Tabla 1.</w:t>
      </w:r>
    </w:p>
    <w:p>
      <w:pPr>
        <w:pStyle w:val="BodyText"/>
        <w:jc w:val="both"/>
      </w:pPr>
      <m:oMath>
        <m:r>
          <m:t>k</m:t>
        </m:r>
      </m:oMath>
      <w:r>
        <w:t xml:space="preserve"> </w:t>
      </w:r>
      <w:r>
        <w:t xml:space="preserve">= ( __________ ± __________ ) N/m</w:t>
      </w:r>
    </w:p>
    <w:p>
      <w:pPr>
        <w:pStyle w:val="BodyText"/>
        <w:jc w:val="both"/>
      </w:pPr>
      <w:r>
        <w:rPr>
          <w:bCs/>
          <w:b/>
        </w:rPr>
        <w:t xml:space="preserve">2.</w:t>
      </w:r>
      <w:r>
        <w:t xml:space="preserve"> </w:t>
      </w:r>
      <w:r>
        <w:t xml:space="preserve">Inserte en una misma gráfica</w:t>
      </w:r>
      <w:r>
        <w:t xml:space="preserve"> </w:t>
      </w:r>
      <m:oMath>
        <m:sSub>
          <m:e>
            <m:r>
              <m:t>f</m:t>
            </m:r>
          </m:e>
          <m:sub>
            <m:r>
              <m:t>n</m:t>
            </m:r>
          </m:sub>
        </m:sSub>
      </m:oMath>
      <w:r>
        <w:t xml:space="preserve"> </w:t>
      </w:r>
      <w:r>
        <w:t xml:space="preserve">frente a</w:t>
      </w:r>
      <w:r>
        <w:t xml:space="preserve"> </w:t>
      </w:r>
      <m:oMath>
        <m:r>
          <m:t>n</m:t>
        </m:r>
      </m:oMath>
      <w:r>
        <w:t xml:space="preserve"> </w:t>
      </w:r>
      <w:r>
        <w:t xml:space="preserve">para las dos longitudes, con sus rectas de ajuste, y obtenga las pendientes con sus errores.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jc w:val="both"/>
      </w:pPr>
      <w:r>
        <w:rPr>
          <w:bCs/>
          <w:b/>
        </w:rPr>
        <w:t xml:space="preserve">3.</w:t>
      </w:r>
      <w:r>
        <w:t xml:space="preserve"> </w:t>
      </w:r>
      <w:r>
        <w:t xml:space="preserve">Obtenga de cada pendiente la velocidad de propagación</w:t>
      </w:r>
      <w:r>
        <w:t xml:space="preserve"> </w:t>
      </w:r>
      <m:oMath>
        <m:r>
          <m:t>v</m:t>
        </m:r>
        <m:r>
          <m:rPr>
            <m:sty m:val="p"/>
          </m:rPr>
          <m:t>=</m:t>
        </m:r>
        <m:r>
          <m:t>2</m:t>
        </m:r>
        <m:r>
          <m:t>L</m:t>
        </m:r>
        <m:r>
          <m:rPr>
            <m:sty m:val="p"/>
          </m:rPr>
          <m:t>×</m:t>
        </m:r>
      </m:oMath>
      <w:r>
        <w:t xml:space="preserve">pendiente, con su error, y compárela con la teórica</w:t>
      </w:r>
      <w:r>
        <w:t xml:space="preserve"> </w:t>
      </w:r>
      <m:oMath>
        <m:r>
          <m:t>v</m:t>
        </m:r>
        <m:r>
          <m:rPr>
            <m:sty m:val="p"/>
          </m:rPr>
          <m:t>=</m:t>
        </m:r>
        <m:r>
          <m:t>L</m:t>
        </m:r>
        <m:rad>
          <m:radPr>
            <m:degHide m:val="on"/>
          </m:radPr>
          <m:deg/>
          <m:e>
            <m:r>
              <m:t>k</m:t>
            </m:r>
            <m:r>
              <m:rPr>
                <m:sty m:val="p"/>
              </m:rPr>
              <m:t>/</m:t>
            </m:r>
            <m:r>
              <m:t>M</m:t>
            </m:r>
          </m:e>
        </m:rad>
      </m:oMath>
      <w:r>
        <w:t xml:space="preserve">.</w:t>
      </w:r>
    </w:p>
    <w:p>
      <w:pPr>
        <w:pStyle w:val="BodyText"/>
        <w:jc w:val="both"/>
      </w:pPr>
      <m:oMath>
        <m:sSub>
          <m:e>
            <m:r>
              <m:t>v</m:t>
            </m:r>
          </m:e>
          <m:sub>
            <m:r>
              <m:t>1</m:t>
            </m:r>
          </m:sub>
        </m:sSub>
      </m:oMath>
      <w:r>
        <w:t xml:space="preserve"> </w:t>
      </w:r>
      <w:r>
        <w:t xml:space="preserve">= ( __________ ± __________ ) m/s</w:t>
      </w:r>
      <w:r>
        <w:t xml:space="preserve"> </w:t>
      </w:r>
      <m:oMath>
        <m:r>
          <m:t>  </m:t>
        </m:r>
        <m:sSub>
          <m:e>
            <m:r>
              <m:t>v</m:t>
            </m:r>
          </m:e>
          <m:sub>
            <m:r>
              <m:t>2</m:t>
            </m:r>
          </m:sub>
        </m:sSub>
      </m:oMath>
      <w:r>
        <w:t xml:space="preserve"> </w:t>
      </w:r>
      <w:r>
        <w:t xml:space="preserve">= ( __________ ± __________ ) m/s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701" w:hRule="atLeast"/>
        </w:trPr>
        <w:tc>
          <w:tcPr>
            <w:tcW w:type="dxa" w:w="9524"/>
          </w:tcPr>
          <w:p/>
        </w:tc>
      </w:tr>
    </w:tbl>
    <w:p/>
    <w:p>
      <w:pPr>
        <w:pStyle w:val="BodyText"/>
        <w:jc w:val="both"/>
      </w:pPr>
      <w:r>
        <w:rPr>
          <w:bCs/>
          <w:b/>
        </w:rPr>
        <w:t xml:space="preserve">4.</w:t>
      </w:r>
      <w:r>
        <w:t xml:space="preserve"> </w:t>
      </w:r>
      <w:r>
        <w:t xml:space="preserve">¿Depende la frecuencia del modo fundamental de la longitud a la que se estira el muelle? Explíquelo con la fórmula de</w:t>
      </w:r>
      <w:r>
        <w:t xml:space="preserve"> </w:t>
      </w:r>
      <m:oMath>
        <m:sSub>
          <m:e>
            <m:r>
              <m:t>f</m:t>
            </m:r>
          </m:e>
          <m:sub>
            <m:r>
              <m:t>1</m:t>
            </m:r>
          </m:sub>
        </m:sSub>
      </m:oMath>
      <w:r>
        <w:t xml:space="preserv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bookmarkEnd w:id="28"/>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2026-10-30T13:51:41Z</dcterms:created>
  <dcterms:modified xsi:type="dcterms:W3CDTF">2026-10-30T13:51:41Z</dcterms:modified>
</cp:coreProperties>
</file>

<file path=docProps/custom.xml><?xml version="1.0" encoding="utf-8"?>
<Properties xmlns="http://schemas.openxmlformats.org/officeDocument/2006/custom-properties" xmlns:vt="http://schemas.openxmlformats.org/officeDocument/2006/docPropsVTypes"/>
</file>