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0bd3c5bd5fe7573fdf41c0c519afd7885098bb"/>
    <w:p>
      <w:pPr>
        <w:pStyle w:val="Heading2"/>
        <w:numPr>
          <w:ilvl w:val="0"/>
          <w:numId w:val="0"/>
        </w:numPr>
      </w:pPr>
      <w:r>
        <w:rPr>
          <w:sz w:val="40"/>
        </w:rPr>
        <w:t xml:space="preserve">Péndulo simple: aceleración de la gravedad y periodo frente a la amplitud</w:t>
      </w:r>
    </w:p>
    <w:bookmarkEnd w:id="20"/>
    <w:bookmarkStart w:id="21" w:name="objetivo"/>
    <w:p>
      <w:pPr>
        <w:pStyle w:val="Heading2"/>
        <w:numPr>
          <w:ilvl w:val="0"/>
          <w:numId w:val="0"/>
        </w:numPr>
      </w:pPr>
      <w:r>
        <w:rPr>
          <w:sz w:val="36"/>
        </w:rPr>
        <w:t xml:space="preserve">Objetivo</w:t>
      </w:r>
    </w:p>
    <w:p>
      <w:pPr>
        <w:pStyle w:val="FirstParagraph"/>
        <w:jc w:val="both"/>
      </w:pPr>
      <w:r>
        <w:t xml:space="preserve">Medir el periodo de un péndulo simple en función de su longitud para obtener la aceleración de la gravedad</w:t>
      </w:r>
      <w:r>
        <w:t xml:space="preserve"> </w:t>
      </w:r>
      <m:oMath>
        <m:r>
          <m:t>g</m:t>
        </m:r>
      </m:oMath>
      <w:r>
        <w:t xml:space="preserve">, y estudiar cómo aumenta el periodo cuando la amplitud deja de ser pequeña.</w:t>
      </w:r>
    </w:p>
    <w:bookmarkEnd w:id="21"/>
    <w:bookmarkStart w:id="22" w:name="fundamento-teórico"/>
    <w:p>
      <w:pPr>
        <w:pStyle w:val="Heading2"/>
        <w:numPr>
          <w:ilvl w:val="0"/>
          <w:numId w:val="0"/>
        </w:numPr>
      </w:pPr>
      <w:r>
        <w:rPr>
          <w:sz w:val="36"/>
        </w:rPr>
        <w:t xml:space="preserve">Fundamento teórico</w:t>
      </w:r>
    </w:p>
    <w:p>
      <w:pPr>
        <w:pStyle w:val="FirstParagraph"/>
        <w:jc w:val="both"/>
      </w:pPr>
      <w:r>
        <w:t xml:space="preserve">Un péndulo simple es una masa puntual</w:t>
      </w:r>
      <w:r>
        <w:t xml:space="preserve"> </w:t>
      </w:r>
      <m:oMath>
        <m:r>
          <m:t>m</m:t>
        </m:r>
      </m:oMath>
      <w:r>
        <w:t xml:space="preserve"> </w:t>
      </w:r>
      <w:r>
        <w:t xml:space="preserve">colgada de un hilo inextensible de longitud</w:t>
      </w:r>
      <w:r>
        <w:t xml:space="preserve"> </w:t>
      </w:r>
      <m:oMath>
        <m:r>
          <m:t>L</m:t>
        </m:r>
      </m:oMath>
      <w:r>
        <w:t xml:space="preserve">. Si</w:t>
      </w:r>
      <w:r>
        <w:t xml:space="preserve"> </w:t>
      </w:r>
      <m:oMath>
        <m:r>
          <m:t>θ</m:t>
        </m:r>
      </m:oMath>
      <w:r>
        <w:t xml:space="preserve"> </w:t>
      </w:r>
      <w:r>
        <w:t xml:space="preserve">es el ángulo del hilo con la vertical, la segunda ley de Newton en la dirección del movimiento da</w:t>
      </w:r>
    </w:p>
    <w:p>
      <w:pPr>
        <w:pStyle w:val="BodyText"/>
        <w:jc w:val="both"/>
      </w:pPr>
      <m:oMathPara>
        <m:oMathParaPr>
          <m:jc m:val="center"/>
        </m:oMathParaPr>
        <m:oMath>
          <m:acc>
            <m:accPr>
              <m:chr m:val="̈"/>
            </m:accPr>
            <m:e>
              <m:r>
                <m:t>θ</m:t>
              </m:r>
            </m:e>
          </m:acc>
          <m:r>
            <m:rPr>
              <m:sty m:val="p"/>
            </m:rPr>
            <m:t>+</m:t>
          </m:r>
          <m:f>
            <m:fPr>
              <m:type m:val="bar"/>
            </m:fPr>
            <m:num>
              <m:r>
                <m:t>g</m:t>
              </m:r>
            </m:num>
            <m:den>
              <m:r>
                <m:t>L</m:t>
              </m:r>
            </m:den>
          </m:f>
          <m:r>
            <m:rPr>
              <m:sty m:val="p"/>
            </m:rPr>
            <m:t>sin</m:t>
          </m:r>
          <m:r>
            <m:t>θ</m:t>
          </m:r>
          <m:r>
            <m:rPr>
              <m:sty m:val="p"/>
            </m:rPr>
            <m:t>=</m:t>
          </m:r>
          <m:r>
            <m:t>0</m:t>
          </m:r>
          <m:r>
            <m:rPr>
              <m:sty m:val="p"/>
            </m:rPr>
            <m:t>.</m:t>
          </m:r>
        </m:oMath>
      </m:oMathPara>
    </w:p>
    <w:p>
      <w:pPr>
        <w:pStyle w:val="FirstParagraph"/>
        <w:jc w:val="both"/>
      </w:pPr>
      <w:r>
        <w:t xml:space="preserve">Para amplitudes pequeñas,</w:t>
      </w:r>
      <w:r>
        <w:t xml:space="preserve"> </w:t>
      </w:r>
      <m:oMath>
        <m:r>
          <m:rPr>
            <m:sty m:val="p"/>
          </m:rPr>
          <m:t>sin</m:t>
        </m:r>
        <m:r>
          <m:t>θ</m:t>
        </m:r>
        <m:r>
          <m:rPr>
            <m:sty m:val="p"/>
          </m:rPr>
          <m:t>≃</m:t>
        </m:r>
        <m:r>
          <m:t>θ</m:t>
        </m:r>
      </m:oMath>
      <w:r>
        <w:t xml:space="preserve"> </w:t>
      </w:r>
      <w:r>
        <w:t xml:space="preserve">y el movimiento es armónico simple con periodo</w:t>
      </w:r>
    </w:p>
    <w:p>
      <w:pPr>
        <w:pStyle w:val="BodyText"/>
        <w:jc w:val="both"/>
      </w:pPr>
      <m:oMathPara>
        <m:oMathParaPr>
          <m:jc m:val="center"/>
        </m:oMathParaPr>
        <m:oMath>
          <m:sSub>
            <m:e>
              <m:r>
                <m:t>T</m:t>
              </m:r>
            </m:e>
            <m:sub>
              <m:r>
                <m:t>0</m:t>
              </m:r>
            </m:sub>
          </m:sSub>
          <m:r>
            <m:rPr>
              <m:sty m:val="p"/>
            </m:rPr>
            <m:t>=</m:t>
          </m:r>
          <m:r>
            <m:t>2</m:t>
          </m:r>
          <m:r>
            <m:t>π</m:t>
          </m:r>
          <m:rad>
            <m:radPr>
              <m:degHide m:val="on"/>
            </m:radPr>
            <m:deg/>
            <m:e>
              <m:f>
                <m:fPr>
                  <m:type m:val="bar"/>
                </m:fPr>
                <m:num>
                  <m:r>
                    <m:t>L</m:t>
                  </m:r>
                </m:num>
                <m:den>
                  <m:r>
                    <m:t>g</m:t>
                  </m:r>
                </m:den>
              </m:f>
            </m:e>
          </m:rad>
          <m:r>
            <m:t>  </m:t>
          </m:r>
          <m:r>
            <m:rPr>
              <m:sty m:val="p"/>
            </m:rPr>
            <m:t>⇒</m:t>
          </m:r>
          <m:r>
            <m:t>  </m:t>
          </m:r>
          <m:sSubSup>
            <m:e>
              <m:r>
                <m:t>T</m:t>
              </m:r>
            </m:e>
            <m:sub>
              <m:r>
                <m:t>0</m:t>
              </m:r>
            </m:sub>
            <m:sup>
              <m:r>
                <m:t>2</m:t>
              </m:r>
            </m:sup>
          </m:sSubSup>
          <m:r>
            <m:rPr>
              <m:sty m:val="p"/>
            </m:rPr>
            <m:t>=</m:t>
          </m:r>
          <m:f>
            <m:fPr>
              <m:type m:val="bar"/>
            </m:fPr>
            <m:num>
              <m:r>
                <m:t>4</m:t>
              </m:r>
              <m:sSup>
                <m:e>
                  <m:r>
                    <m:t>π</m:t>
                  </m:r>
                </m:e>
                <m:sup>
                  <m:r>
                    <m:t>2</m:t>
                  </m:r>
                </m:sup>
              </m:sSup>
            </m:num>
            <m:den>
              <m:r>
                <m:t>g</m:t>
              </m:r>
            </m:den>
          </m:f>
          <m:r>
            <m:t> </m:t>
          </m:r>
          <m:r>
            <m:t>L</m:t>
          </m:r>
          <m:r>
            <m:rPr>
              <m:sty m:val="p"/>
            </m:rPr>
            <m:t>.</m:t>
          </m:r>
        </m:oMath>
      </m:oMathPara>
    </w:p>
    <w:p>
      <w:pPr>
        <w:pStyle w:val="FirstParagraph"/>
        <w:jc w:val="both"/>
      </w:pPr>
      <w:r>
        <w:t xml:space="preserve">Si la amplitud angular</w:t>
      </w:r>
      <w:r>
        <w:t xml:space="preserve"> </w:t>
      </w:r>
      <m:oMath>
        <m:sSub>
          <m:e>
            <m:r>
              <m:t>θ</m:t>
            </m:r>
          </m:e>
          <m:sub>
            <m:r>
              <m:t>0</m:t>
            </m:r>
          </m:sub>
        </m:sSub>
      </m:oMath>
      <w:r>
        <w:t xml:space="preserve"> </w:t>
      </w:r>
      <w:r>
        <w:t xml:space="preserve">no es pequeña, el péndulo se comporta como un oscilador no armónico (muelle blando) y su periodo crece con la amplitud. Para amplitudes moderadas</w:t>
      </w:r>
    </w:p>
    <w:p>
      <w:pPr>
        <w:pStyle w:val="BodyText"/>
        <w:jc w:val="both"/>
      </w:pPr>
      <m:oMathPara>
        <m:oMathParaPr>
          <m:jc m:val="center"/>
        </m:oMathParaPr>
        <m:oMath>
          <m:f>
            <m:fPr>
              <m:type m:val="bar"/>
            </m:fPr>
            <m:num>
              <m:r>
                <m:t>T</m:t>
              </m:r>
            </m:num>
            <m:den>
              <m:sSub>
                <m:e>
                  <m:r>
                    <m:t>T</m:t>
                  </m:r>
                </m:e>
                <m:sub>
                  <m:r>
                    <m:t>0</m:t>
                  </m:r>
                </m:sub>
              </m:sSub>
            </m:den>
          </m:f>
          <m:r>
            <m:rPr>
              <m:sty m:val="p"/>
            </m:rPr>
            <m:t>≃</m:t>
          </m:r>
          <m:r>
            <m:t>1</m:t>
          </m:r>
          <m:r>
            <m:rPr>
              <m:sty m:val="p"/>
            </m:rPr>
            <m:t>+</m:t>
          </m:r>
          <m:f>
            <m:fPr>
              <m:type m:val="bar"/>
            </m:fPr>
            <m:num>
              <m:r>
                <m:t>1</m:t>
              </m:r>
            </m:num>
            <m:den>
              <m:r>
                <m:t>16</m:t>
              </m:r>
            </m:den>
          </m:f>
          <m:r>
            <m:t> </m:t>
          </m:r>
          <m:sSubSup>
            <m:e>
              <m:r>
                <m:t>θ</m:t>
              </m:r>
            </m:e>
            <m:sub>
              <m:r>
                <m:t>0</m:t>
              </m:r>
            </m:sub>
            <m:sup>
              <m:r>
                <m:t>2</m:t>
              </m:r>
            </m:sup>
          </m:sSubSup>
          <m:r>
            <m:rPr>
              <m:sty m:val="p"/>
            </m:rPr>
            <m:t>,</m:t>
          </m:r>
          <m:r>
            <m:t>  </m:t>
          </m:r>
          <m:d>
            <m:dPr>
              <m:begChr m:val="("/>
              <m:endChr m:val=")"/>
              <m:sepChr m:val=""/>
              <m:grow/>
            </m:dPr>
            <m:e>
              <m:sSub>
                <m:e>
                  <m:r>
                    <m:t>θ</m:t>
                  </m:r>
                </m:e>
                <m:sub>
                  <m:r>
                    <m:t>0</m:t>
                  </m:r>
                </m:sub>
              </m:sSub>
              <m:r>
                <m:t> </m:t>
              </m:r>
              <m:r>
                <m:rPr>
                  <m:nor/>
                  <m:sty m:val="p"/>
                </m:rPr>
                <m:t>en radianes</m:t>
              </m:r>
            </m:e>
          </m:d>
          <m:r>
            <m:rPr>
              <m:sty m:val="p"/>
            </m:rPr>
            <m:t>.</m:t>
          </m:r>
        </m:oMath>
      </m:oMathPara>
    </w:p>
    <w:p>
      <w:pPr>
        <w:pStyle w:val="FirstParagraph"/>
        <w:jc w:val="both"/>
      </w:pPr>
      <w:r>
        <w:t xml:space="preserve">Como no disponemos de transportador, la amplitud se obtiene midiendo el triángulo de la Figura 1: la longitud</w:t>
      </w:r>
      <w:r>
        <w:t xml:space="preserve"> </w:t>
      </w:r>
      <m:oMath>
        <m:r>
          <m:t>L</m:t>
        </m:r>
      </m:oMath>
      <w:r>
        <w:t xml:space="preserve"> </w:t>
      </w:r>
      <w:r>
        <w:t xml:space="preserve">y el cateto horizontal</w:t>
      </w:r>
      <w:r>
        <w:t xml:space="preserve"> </w:t>
      </w:r>
      <m:oMath>
        <m:r>
          <m:t>x</m:t>
        </m:r>
      </m:oMath>
      <w:r>
        <w:t xml:space="preserve">, distancia horizontal entre la vertical del punto de suspensión y el centro de la esfera en la posición de partida:</w:t>
      </w:r>
    </w:p>
    <w:p>
      <w:pPr>
        <w:pStyle w:val="BodyText"/>
        <w:jc w:val="both"/>
      </w:pPr>
      <m:oMathPara>
        <m:oMathParaPr>
          <m:jc m:val="center"/>
        </m:oMathParaPr>
        <m:oMath>
          <m:sSub>
            <m:e>
              <m:r>
                <m:t>θ</m:t>
              </m:r>
            </m:e>
            <m:sub>
              <m:r>
                <m:t>0</m:t>
              </m:r>
            </m:sub>
          </m:sSub>
          <m:r>
            <m:rPr>
              <m:sty m:val="p"/>
            </m:rPr>
            <m:t>=</m:t>
          </m:r>
          <m:r>
            <m:rPr>
              <m:sty m:val="p"/>
            </m:rPr>
            <m:t>arcsin</m:t>
          </m:r>
          <m:f>
            <m:fPr>
              <m:type m:val="bar"/>
            </m:fPr>
            <m:num>
              <m:r>
                <m:t>x</m:t>
              </m:r>
            </m:num>
            <m:den>
              <m:r>
                <m:t>L</m:t>
              </m:r>
            </m:den>
          </m:f>
          <m:r>
            <m:rPr>
              <m:sty m:val="p"/>
            </m:rPr>
            <m:t>.</m:t>
          </m:r>
        </m:oMath>
      </m:oMathPara>
    </w:p>
    <w:bookmarkEnd w:id="22"/>
    <w:bookmarkStart w:id="26" w:name="montaje-experimental"/>
    <w:p>
      <w:pPr>
        <w:pStyle w:val="Heading2"/>
        <w:numPr>
          <w:ilvl w:val="0"/>
          <w:numId w:val="0"/>
        </w:numPr>
      </w:pPr>
      <w:r>
        <w:rPr>
          <w:sz w:val="36"/>
        </w:rPr>
        <w:t xml:space="preserve">Montaje experimental</w:t>
      </w:r>
    </w:p>
    <w:p>
      <w:pPr>
        <w:pStyle w:val="CaptionedFigure"/>
        <w:jc w:val="center"/>
      </w:pPr>
      <w:r>
        <w:drawing>
          <wp:inline>
            <wp:extent cx="1979999" cy="2124878"/>
            <wp:effectExtent b="0" l="0" r="0" t="0"/>
            <wp:docPr descr="Figura 1. Péndulo simple y triángulo para medir la amplitud." title="" id="24" name="Picture"/>
            <a:graphic>
              <a:graphicData uri="http://schemas.openxmlformats.org/drawingml/2006/picture">
                <pic:pic>
                  <pic:nvPicPr>
                    <pic:cNvPr descr="fig/pendulo.png" id="25" name="Picture"/>
                    <pic:cNvPicPr>
                      <a:picLocks noChangeArrowheads="1" noChangeAspect="1"/>
                    </pic:cNvPicPr>
                  </pic:nvPicPr>
                  <pic:blipFill>
                    <a:blip r:embed="rId23"/>
                    <a:stretch>
                      <a:fillRect/>
                    </a:stretch>
                  </pic:blipFill>
                  <pic:spPr bwMode="auto">
                    <a:xfrm>
                      <a:off x="0" y="0"/>
                      <a:ext cx="1979999" cy="2124878"/>
                    </a:xfrm>
                    <a:prstGeom prst="rect">
                      <a:avLst/>
                    </a:prstGeom>
                    <a:noFill/>
                    <a:ln w="9525">
                      <a:noFill/>
                      <a:headEnd/>
                      <a:tailEnd/>
                    </a:ln>
                  </pic:spPr>
                </pic:pic>
              </a:graphicData>
            </a:graphic>
          </wp:inline>
        </w:drawing>
      </w:r>
    </w:p>
    <w:p>
      <w:pPr>
        <w:pStyle w:val="ImageCaption"/>
        <w:jc w:val="center"/>
      </w:pPr>
      <w:r>
        <w:t xml:space="preserve">Figura 1. Péndulo simple y triángulo para medir la amplitud.</w:t>
      </w:r>
    </w:p>
    <w:p>
      <w:pPr>
        <w:pStyle w:val="BodyText"/>
        <w:jc w:val="both"/>
      </w:pPr>
      <w:r>
        <w:t xml:space="preserve">La esfera metálica se sujeta al hilo, que se fija al portaplacas. La longitud</w:t>
      </w:r>
      <w:r>
        <w:t xml:space="preserve"> </w:t>
      </w:r>
      <m:oMath>
        <m:r>
          <m:t>L</m:t>
        </m:r>
      </m:oMath>
      <w:r>
        <w:t xml:space="preserve"> </w:t>
      </w:r>
      <w:r>
        <w:t xml:space="preserve">se mide con la cinta métrica desde el punto de fijación hasta el centro de la esfera. El periodo se mide con la puerta fotoeléctrica, colocada en la posición de equilibrio de la esfera, y el contador en modo periodo. El cateto</w:t>
      </w:r>
      <w:r>
        <w:t xml:space="preserve"> </w:t>
      </w:r>
      <m:oMath>
        <m:r>
          <m:t>x</m:t>
        </m:r>
      </m:oMath>
      <w:r>
        <w:t xml:space="preserve"> </w:t>
      </w:r>
      <w:r>
        <w:t xml:space="preserve">se mide con una regla horizontal a la altura de la esfera, desde la vertical del punto de fijación (la posición de la esfera en reposo).</w:t>
      </w:r>
    </w:p>
    <w:bookmarkEnd w:id="26"/>
    <w:bookmarkStart w:id="27" w:name="resultados"/>
    <w:p>
      <w:pPr>
        <w:pStyle w:val="Heading2"/>
        <w:numPr>
          <w:ilvl w:val="0"/>
          <w:numId w:val="0"/>
        </w:numPr>
      </w:pPr>
      <w:r>
        <w:rPr>
          <w:sz w:val="36"/>
        </w:rPr>
        <w:t xml:space="preserve">Resultados</w:t>
      </w:r>
    </w:p>
    <w:p>
      <w:pPr>
        <w:pStyle w:val="FirstParagraph"/>
        <w:jc w:val="both"/>
      </w:pPr>
      <w:r>
        <w:rPr>
          <w:bCs/>
          <w:b/>
        </w:rPr>
        <w:t xml:space="preserve">Parte A. Periodo frente a la longitud.</w:t>
      </w:r>
      <w:r>
        <w:t xml:space="preserve"> </w:t>
      </w:r>
      <w:r>
        <w:t xml:space="preserve">Para siete longitudes, de 20 cm a 80 cm en pasos de 10 cm, separar la esfera una distancia horizontal pequeña (</w:t>
      </w:r>
      <m:oMath>
        <m:r>
          <m:t>x</m:t>
        </m:r>
        <m:r>
          <m:rPr>
            <m:sty m:val="p"/>
          </m:rPr>
          <m:t>≲</m:t>
        </m:r>
        <m:r>
          <m:t>0</m:t>
        </m:r>
        <m:r>
          <m:rPr>
            <m:sty m:val="p"/>
          </m:rPr>
          <m:t>,</m:t>
        </m:r>
        <m:r>
          <m:t>1</m:t>
        </m:r>
        <m:r>
          <m:t> </m:t>
        </m:r>
        <m:r>
          <m:t>L</m:t>
        </m:r>
      </m:oMath>
      <w:r>
        <w:t xml:space="preserve">), soltarla y medir cinco veces el periodo</w:t>
      </w:r>
      <w:r>
        <w:t xml:space="preserve"> </w:t>
      </w:r>
      <m:oMath>
        <m:sSub>
          <m:e>
            <m:r>
              <m:t>T</m:t>
            </m:r>
          </m:e>
          <m:sub>
            <m:r>
              <m:t>0</m:t>
            </m:r>
          </m:sub>
        </m:sSub>
      </m:oMath>
      <w:r>
        <w:t xml:space="preserve"> </w:t>
      </w:r>
      <w:r>
        <w:t xml:space="preserve">con la puerta fotoeléctrica.</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1. Periodo para amplitud pequeña."/>
      </w:tblPr>
      <w:tblGrid>
        <w:gridCol w:w="792"/>
        <w:gridCol w:w="792"/>
        <w:gridCol w:w="792"/>
        <w:gridCol w:w="792"/>
        <w:gridCol w:w="792"/>
        <w:gridCol w:w="792"/>
        <w:gridCol w:w="792"/>
        <w:gridCol w:w="792"/>
        <w:gridCol w:w="792"/>
        <w:gridCol w:w="792"/>
      </w:tblGrid>
      <w:tr>
        <w:trPr>
          <w:trHeight w:val="510" w:hRule="atLeast"/>
          <w:tblHeader w:val="true"/>
        </w:trPr>
        <w:tc>
          <w:tcPr>
            <w:shd w:val="clear" w:color="auto" w:fill="FFF0C1"/>
            <w:vAlign w:val="center"/>
          </w:tcPr>
          <w:p>
            <w:pPr>
              <w:pStyle w:val="Compact"/>
              <w:jc w:val="center"/>
            </w:pPr>
            <m:oMath>
              <m:r>
                <m:t>L</m:t>
              </m:r>
            </m:oMath>
            <w:r>
              <w:rPr>
                <w:sz w:val="20"/>
              </w:rPr>
              <w:t xml:space="preserve"> </w:t>
            </w:r>
            <w:r>
              <w:rPr>
                <w:sz w:val="20"/>
              </w:rPr>
              <w:t xml:space="preserve">(m)</w:t>
            </w:r>
          </w:p>
        </w:tc>
        <w:tc>
          <w:tcPr>
            <w:shd w:val="clear" w:color="auto" w:fill="FFF0C1"/>
            <w:vAlign w:val="center"/>
          </w:tcPr>
          <w:p>
            <w:pPr>
              <w:pStyle w:val="Compact"/>
              <w:jc w:val="center"/>
            </w:pPr>
            <m:oMath>
              <m:sSub>
                <m:e>
                  <m:r>
                    <m:t>T</m:t>
                  </m:r>
                </m:e>
                <m:sub>
                  <m:r>
                    <m:t>0</m:t>
                  </m:r>
                  <m:r>
                    <m:rPr>
                      <m:sty m:val="p"/>
                    </m:rPr>
                    <m:t>,</m:t>
                  </m:r>
                  <m:r>
                    <m:t>1</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0</m:t>
                  </m:r>
                  <m:r>
                    <m:rPr>
                      <m:sty m:val="p"/>
                    </m:rPr>
                    <m:t>,</m:t>
                  </m:r>
                  <m:r>
                    <m:t>2</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0</m:t>
                  </m:r>
                  <m:r>
                    <m:rPr>
                      <m:sty m:val="p"/>
                    </m:rPr>
                    <m:t>,</m:t>
                  </m:r>
                  <m:r>
                    <m:t>3</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0</m:t>
                  </m:r>
                  <m:r>
                    <m:rPr>
                      <m:sty m:val="p"/>
                    </m:rPr>
                    <m:t>,</m:t>
                  </m:r>
                  <m:r>
                    <m:t>4</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0</m:t>
                  </m:r>
                  <m:r>
                    <m:rPr>
                      <m:sty m:val="p"/>
                    </m:rPr>
                    <m:t>,</m:t>
                  </m:r>
                  <m:r>
                    <m:t>5</m:t>
                  </m:r>
                </m:sub>
              </m:sSub>
            </m:oMath>
            <w:r>
              <w:rPr>
                <w:sz w:val="20"/>
              </w:rPr>
              <w:t xml:space="preserve"> </w:t>
            </w:r>
            <w:r>
              <w:rPr>
                <w:sz w:val="20"/>
              </w:rPr>
              <w:t xml:space="preserve">(s)</w:t>
            </w:r>
          </w:p>
        </w:tc>
        <w:tc>
          <w:tcPr>
            <w:shd w:val="clear" w:color="auto" w:fill="FFF0C1"/>
            <w:vAlign w:val="center"/>
          </w:tcPr>
          <w:p>
            <w:pPr>
              <w:pStyle w:val="Compact"/>
              <w:jc w:val="center"/>
            </w:pPr>
            <m:oMath>
              <m:sSub>
                <m:e>
                  <m:acc>
                    <m:accPr>
                      <m:chr m:val="‾"/>
                    </m:accPr>
                    <m:e>
                      <m:r>
                        <m:t>T</m:t>
                      </m:r>
                    </m:e>
                  </m:acc>
                </m:e>
                <m:sub>
                  <m:r>
                    <m:t>0</m:t>
                  </m:r>
                </m:sub>
              </m:sSub>
            </m:oMath>
            <w:r>
              <w:rPr>
                <w:sz w:val="20"/>
              </w:rPr>
              <w:t xml:space="preserve"> </w:t>
            </w:r>
            <w:r>
              <w:rPr>
                <w:sz w:val="20"/>
              </w:rPr>
              <w:t xml:space="preserve">(s)</w:t>
            </w:r>
          </w:p>
        </w:tc>
        <w:tc>
          <w:tcPr>
            <w:shd w:val="clear" w:color="auto" w:fill="FFF0C1"/>
            <w:vAlign w:val="center"/>
          </w:tcPr>
          <w:p>
            <w:pPr>
              <w:pStyle w:val="Compact"/>
              <w:jc w:val="center"/>
            </w:pPr>
            <m:oMath>
              <m:sSub>
                <m:e>
                  <m:r>
                    <m:t>ε</m:t>
                  </m:r>
                </m:e>
                <m:sub>
                  <m:sSub>
                    <m:e>
                      <m:r>
                        <m:t>T</m:t>
                      </m:r>
                    </m:e>
                    <m:sub>
                      <m:r>
                        <m:t>0</m:t>
                      </m:r>
                    </m:sub>
                  </m:sSub>
                </m:sub>
              </m:sSub>
            </m:oMath>
            <w:r>
              <w:rPr>
                <w:sz w:val="20"/>
              </w:rPr>
              <w:t xml:space="preserve"> </w:t>
            </w:r>
            <w:r>
              <w:rPr>
                <w:sz w:val="20"/>
              </w:rPr>
              <w:t xml:space="preserve">(s)</w:t>
            </w:r>
          </w:p>
        </w:tc>
        <w:tc>
          <w:tcPr>
            <w:shd w:val="clear" w:color="auto" w:fill="FFF0C1"/>
            <w:vAlign w:val="center"/>
          </w:tcPr>
          <w:p>
            <w:pPr>
              <w:pStyle w:val="Compact"/>
              <w:jc w:val="center"/>
            </w:pPr>
            <m:oMath>
              <m:sSubSup>
                <m:e>
                  <m:acc>
                    <m:accPr>
                      <m:chr m:val="‾"/>
                    </m:accPr>
                    <m:e>
                      <m:r>
                        <m:t>T</m:t>
                      </m:r>
                    </m:e>
                  </m:acc>
                </m:e>
                <m:sub>
                  <m:r>
                    <m:t>0</m:t>
                  </m:r>
                </m:sub>
                <m:sup>
                  <m:r>
                    <m:t>2</m:t>
                  </m:r>
                </m:sup>
              </m:sSubSup>
            </m:oMath>
            <w:r>
              <w:rPr>
                <w:sz w:val="20"/>
              </w:rPr>
              <w:t xml:space="preserve"> </w:t>
            </w:r>
            <w:r>
              <w:rPr>
                <w:sz w:val="20"/>
              </w:rPr>
              <w:t xml:space="preserve">(s²)</w:t>
            </w:r>
          </w:p>
        </w:tc>
        <w:tc>
          <w:tcPr>
            <w:shd w:val="clear" w:color="auto" w:fill="FFF0C1"/>
            <w:vAlign w:val="center"/>
          </w:tcPr>
          <w:p>
            <w:pPr>
              <w:pStyle w:val="Compact"/>
              <w:jc w:val="center"/>
            </w:pPr>
            <m:oMath>
              <m:sSub>
                <m:e>
                  <m:r>
                    <m:t>ε</m:t>
                  </m:r>
                </m:e>
                <m:sub>
                  <m:sSubSup>
                    <m:e>
                      <m:r>
                        <m:t>T</m:t>
                      </m:r>
                    </m:e>
                    <m:sub>
                      <m:r>
                        <m:t>0</m:t>
                      </m:r>
                    </m:sub>
                    <m:sup>
                      <m:r>
                        <m:t>2</m:t>
                      </m:r>
                    </m:sup>
                  </m:sSubSup>
                </m:sub>
              </m:sSub>
            </m:oMath>
            <w:r>
              <w:rPr>
                <w:sz w:val="20"/>
              </w:rPr>
              <w:t xml:space="preserve"> </w:t>
            </w:r>
            <w:r>
              <w:rPr>
                <w:sz w:val="20"/>
              </w:rPr>
              <w:t xml:space="preserve">(s²)</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bl>
    <w:p>
      <w:pPr>
        <w:pStyle w:val="TableCaption"/>
        <w:jc w:val="center"/>
      </w:pPr>
      <w:r>
        <w:t xml:space="preserve">Tabla 1. Periodo para amplitud pequeña.</w:t>
      </w:r>
    </w:p>
    <w:p>
      <w:pPr>
        <w:pStyle w:val="BodyText"/>
        <w:jc w:val="both"/>
      </w:pPr>
      <w:r>
        <w:rPr>
          <w:bCs/>
          <w:b/>
        </w:rPr>
        <w:t xml:space="preserve">Parte B. Periodo frente a la amplitud.</w:t>
      </w:r>
      <w:r>
        <w:t xml:space="preserve"> </w:t>
      </w:r>
      <w:r>
        <w:t xml:space="preserve">Fijar la longitud en 80 cm y medir con precisión</w:t>
      </w:r>
      <w:r>
        <w:t xml:space="preserve"> </w:t>
      </w:r>
      <m:oMath>
        <m:r>
          <m:t>L</m:t>
        </m:r>
      </m:oMath>
      <w:r>
        <w:t xml:space="preserve">. Para seis amplitudes, con</w:t>
      </w:r>
      <w:r>
        <w:t xml:space="preserve"> </w:t>
      </w:r>
      <m:oMath>
        <m:r>
          <m:t>x</m:t>
        </m:r>
      </m:oMath>
      <w:r>
        <w:t xml:space="preserve"> </w:t>
      </w:r>
      <w:r>
        <w:t xml:space="preserve">= 5, 15, 25, 35, 45 y 55 cm, soltar la esfera sin velocidad desde esa posición y medir tres veces el periodo de la primera oscilación (en pocas oscilaciones la amplitud apenas disminuye). Calcular</w:t>
      </w:r>
      <w:r>
        <w:t xml:space="preserve"> </w:t>
      </w:r>
      <m:oMath>
        <m:sSub>
          <m:e>
            <m:r>
              <m:t>θ</m:t>
            </m:r>
          </m:e>
          <m:sub>
            <m:r>
              <m:t>0</m:t>
            </m:r>
          </m:sub>
        </m:sSub>
      </m:oMath>
      <w:r>
        <w:t xml:space="preserve"> </w:t>
      </w:r>
      <w:r>
        <w:t xml:space="preserve">y</w:t>
      </w:r>
      <w:r>
        <w:t xml:space="preserve"> </w:t>
      </w:r>
      <m:oMath>
        <m:sSubSup>
          <m:e>
            <m:r>
              <m:t>θ</m:t>
            </m:r>
          </m:e>
          <m:sub>
            <m:r>
              <m:t>0</m:t>
            </m:r>
          </m:sub>
          <m:sup>
            <m:r>
              <m:t>2</m:t>
            </m:r>
          </m:sup>
        </m:sSubSup>
      </m:oMath>
      <w:r>
        <w:t xml:space="preserve"> </w:t>
      </w:r>
      <w:r>
        <w:t xml:space="preserve">con su error. Tomar como</w:t>
      </w:r>
      <w:r>
        <w:t xml:space="preserve"> </w:t>
      </w:r>
      <m:oMath>
        <m:sSub>
          <m:e>
            <m:r>
              <m:t>T</m:t>
            </m:r>
          </m:e>
          <m:sub>
            <m:r>
              <m:t>0</m:t>
            </m:r>
          </m:sub>
        </m:sSub>
      </m:oMath>
      <w:r>
        <w:t xml:space="preserve"> </w:t>
      </w:r>
      <w:r>
        <w:t xml:space="preserve">el periodo medido con</w:t>
      </w:r>
      <w:r>
        <w:t xml:space="preserve"> </w:t>
      </w:r>
      <m:oMath>
        <m:r>
          <m:t>x</m:t>
        </m:r>
      </m:oMath>
      <w:r>
        <w:t xml:space="preserve"> </w:t>
      </w:r>
      <w:r>
        <w:t xml:space="preserve">= 5 cm.</w:t>
      </w:r>
    </w:p>
    <w:p>
      <w:pPr>
        <w:pStyle w:val="BodyText"/>
        <w:jc w:val="both"/>
      </w:pPr>
      <m:oMath>
        <m:r>
          <m:t>L</m:t>
        </m:r>
      </m:oMath>
      <w:r>
        <w:t xml:space="preserve"> </w:t>
      </w:r>
      <w:r>
        <w:t xml:space="preserve">= ______________________</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2. Periodo para amplitudes crecientes."/>
      </w:tblPr>
      <w:tblGrid>
        <w:gridCol w:w="879"/>
        <w:gridCol w:w="879"/>
        <w:gridCol w:w="879"/>
        <w:gridCol w:w="879"/>
        <w:gridCol w:w="879"/>
        <w:gridCol w:w="879"/>
        <w:gridCol w:w="879"/>
        <w:gridCol w:w="879"/>
        <w:gridCol w:w="879"/>
      </w:tblGrid>
      <w:tr>
        <w:trPr>
          <w:trHeight w:val="510" w:hRule="atLeast"/>
          <w:tblHeader w:val="true"/>
        </w:trPr>
        <w:tc>
          <w:tcPr>
            <w:shd w:val="clear" w:color="auto" w:fill="FFF0C1"/>
            <w:vAlign w:val="center"/>
          </w:tcPr>
          <w:p>
            <w:pPr>
              <w:pStyle w:val="Compact"/>
              <w:jc w:val="center"/>
            </w:pPr>
            <m:oMath>
              <m:r>
                <m:t>x</m:t>
              </m:r>
            </m:oMath>
            <w:r>
              <w:rPr>
                <w:sz w:val="20"/>
              </w:rPr>
              <w:t xml:space="preserve"> </w:t>
            </w:r>
            <w:r>
              <w:rPr>
                <w:sz w:val="20"/>
              </w:rPr>
              <w:t xml:space="preserve">(m)</w:t>
            </w:r>
          </w:p>
        </w:tc>
        <w:tc>
          <w:tcPr>
            <w:shd w:val="clear" w:color="auto" w:fill="FFF0C1"/>
            <w:vAlign w:val="center"/>
          </w:tcPr>
          <w:p>
            <w:pPr>
              <w:pStyle w:val="Compact"/>
              <w:jc w:val="center"/>
            </w:pPr>
            <m:oMath>
              <m:sSub>
                <m:e>
                  <m:r>
                    <m:t>θ</m:t>
                  </m:r>
                </m:e>
                <m:sub>
                  <m:r>
                    <m:t>0</m:t>
                  </m:r>
                </m:sub>
              </m:sSub>
            </m:oMath>
            <w:r>
              <w:rPr>
                <w:sz w:val="20"/>
              </w:rPr>
              <w:t xml:space="preserve"> </w:t>
            </w:r>
            <w:r>
              <w:rPr>
                <w:sz w:val="20"/>
              </w:rPr>
              <w:t xml:space="preserve">(rad)</w:t>
            </w:r>
          </w:p>
        </w:tc>
        <w:tc>
          <w:tcPr>
            <w:shd w:val="clear" w:color="auto" w:fill="FFF0C1"/>
            <w:vAlign w:val="center"/>
          </w:tcPr>
          <w:p>
            <w:pPr>
              <w:pStyle w:val="Compact"/>
              <w:jc w:val="center"/>
            </w:pPr>
            <m:oMath>
              <m:sSub>
                <m:e>
                  <m:r>
                    <m:t>ε</m:t>
                  </m:r>
                </m:e>
                <m:sub>
                  <m:sSub>
                    <m:e>
                      <m:r>
                        <m:t>θ</m:t>
                      </m:r>
                    </m:e>
                    <m:sub>
                      <m:r>
                        <m:t>0</m:t>
                      </m:r>
                    </m:sub>
                  </m:sSub>
                </m:sub>
              </m:sSub>
            </m:oMath>
            <w:r>
              <w:rPr>
                <w:sz w:val="20"/>
              </w:rPr>
              <w:t xml:space="preserve"> </w:t>
            </w:r>
            <w:r>
              <w:rPr>
                <w:sz w:val="20"/>
              </w:rPr>
              <w:t xml:space="preserve">(rad)</w:t>
            </w:r>
          </w:p>
        </w:tc>
        <w:tc>
          <w:tcPr>
            <w:shd w:val="clear" w:color="auto" w:fill="FFF0C1"/>
            <w:vAlign w:val="center"/>
          </w:tcPr>
          <w:p>
            <w:pPr>
              <w:pStyle w:val="Compact"/>
              <w:jc w:val="center"/>
            </w:pPr>
            <m:oMath>
              <m:sSubSup>
                <m:e>
                  <m:r>
                    <m:t>θ</m:t>
                  </m:r>
                </m:e>
                <m:sub>
                  <m:r>
                    <m:t>0</m:t>
                  </m:r>
                </m:sub>
                <m:sup>
                  <m:r>
                    <m:t>2</m:t>
                  </m:r>
                </m:sup>
              </m:sSubSup>
            </m:oMath>
            <w:r>
              <w:rPr>
                <w:sz w:val="20"/>
              </w:rPr>
              <w:t xml:space="preserve"> </w:t>
            </w:r>
            <w:r>
              <w:rPr>
                <w:sz w:val="20"/>
              </w:rPr>
              <w:t xml:space="preserve">(rad²)</w:t>
            </w:r>
          </w:p>
        </w:tc>
        <w:tc>
          <w:tcPr>
            <w:shd w:val="clear" w:color="auto" w:fill="FFF0C1"/>
            <w:vAlign w:val="center"/>
          </w:tcPr>
          <w:p>
            <w:pPr>
              <w:pStyle w:val="Compact"/>
              <w:jc w:val="center"/>
            </w:pPr>
            <m:oMath>
              <m:sSub>
                <m:e>
                  <m:r>
                    <m:t>T</m:t>
                  </m:r>
                </m:e>
                <m:sub>
                  <m:r>
                    <m:t>1</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2</m:t>
                  </m:r>
                </m:sub>
              </m:sSub>
            </m:oMath>
            <w:r>
              <w:rPr>
                <w:sz w:val="20"/>
              </w:rPr>
              <w:t xml:space="preserve"> </w:t>
            </w:r>
            <w:r>
              <w:rPr>
                <w:sz w:val="20"/>
              </w:rPr>
              <w:t xml:space="preserve">(s)</w:t>
            </w:r>
          </w:p>
        </w:tc>
        <w:tc>
          <w:tcPr>
            <w:shd w:val="clear" w:color="auto" w:fill="FFF0C1"/>
            <w:vAlign w:val="center"/>
          </w:tcPr>
          <w:p>
            <w:pPr>
              <w:pStyle w:val="Compact"/>
              <w:jc w:val="center"/>
            </w:pPr>
            <m:oMath>
              <m:sSub>
                <m:e>
                  <m:r>
                    <m:t>T</m:t>
                  </m:r>
                </m:e>
                <m:sub>
                  <m:r>
                    <m:t>3</m:t>
                  </m:r>
                </m:sub>
              </m:sSub>
            </m:oMath>
            <w:r>
              <w:rPr>
                <w:sz w:val="20"/>
              </w:rPr>
              <w:t xml:space="preserve"> </w:t>
            </w:r>
            <w:r>
              <w:rPr>
                <w:sz w:val="20"/>
              </w:rPr>
              <w:t xml:space="preserve">(s)</w:t>
            </w:r>
          </w:p>
        </w:tc>
        <w:tc>
          <w:tcPr>
            <w:shd w:val="clear" w:color="auto" w:fill="FFF0C1"/>
            <w:vAlign w:val="center"/>
          </w:tcPr>
          <w:p>
            <w:pPr>
              <w:pStyle w:val="Compact"/>
              <w:jc w:val="center"/>
            </w:pPr>
            <m:oMath>
              <m:acc>
                <m:accPr>
                  <m:chr m:val="‾"/>
                </m:accPr>
                <m:e>
                  <m:r>
                    <m:t>T</m:t>
                  </m:r>
                </m:e>
              </m:acc>
            </m:oMath>
            <w:r>
              <w:rPr>
                <w:sz w:val="20"/>
              </w:rPr>
              <w:t xml:space="preserve"> </w:t>
            </w:r>
            <w:r>
              <w:rPr>
                <w:sz w:val="20"/>
              </w:rPr>
              <w:t xml:space="preserve">(s)</w:t>
            </w:r>
          </w:p>
        </w:tc>
        <w:tc>
          <w:tcPr>
            <w:shd w:val="clear" w:color="auto" w:fill="FFF0C1"/>
            <w:vAlign w:val="center"/>
          </w:tcPr>
          <w:p>
            <w:pPr>
              <w:pStyle w:val="Compact"/>
              <w:jc w:val="center"/>
            </w:pPr>
            <m:oMath>
              <m:acc>
                <m:accPr>
                  <m:chr m:val="‾"/>
                </m:accPr>
                <m:e>
                  <m:r>
                    <m:t>T</m:t>
                  </m:r>
                </m:e>
              </m:acc>
              <m:r>
                <m:rPr>
                  <m:sty m:val="p"/>
                </m:rPr>
                <m:t>/</m:t>
              </m:r>
              <m:sSub>
                <m:e>
                  <m:r>
                    <m:t>T</m:t>
                  </m:r>
                </m:e>
                <m:sub>
                  <m:r>
                    <m:t>0</m:t>
                  </m:r>
                </m:sub>
              </m:sSub>
            </m:oMath>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r>
        <w:trPr>
          <w:trHeight w:val="425" w:hRule="atLeast"/>
        </w:trPr>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c>
          <w:tcPr>
            <w:vAlign w:val="center"/>
          </w:tcPr>
          <w:p>
            <w:pPr>
              <w:pStyle w:val="Compact"/>
              <w:jc w:val="center"/>
            </w:pPr>
            <w:r>
              <w:rPr>
                <w:sz w:val="20"/>
              </w:rPr>
              <w:t xml:space="preserve"> </w:t>
            </w:r>
          </w:p>
        </w:tc>
      </w:tr>
    </w:tbl>
    <w:p>
      <w:pPr>
        <w:pStyle w:val="TableCaption"/>
        <w:jc w:val="center"/>
      </w:pPr>
      <w:r>
        <w:t xml:space="preserve">Tabla 2. Periodo para amplitudes crecientes.</w:t>
      </w:r>
    </w:p>
    <w:bookmarkEnd w:id="27"/>
    <w:bookmarkStart w:id="28" w:name="cuestiones"/>
    <w:p>
      <w:pPr>
        <w:pStyle w:val="Heading2"/>
        <w:numPr>
          <w:ilvl w:val="0"/>
          <w:numId w:val="0"/>
        </w:numPr>
      </w:pPr>
      <w:r>
        <w:rPr>
          <w:sz w:val="36"/>
        </w:rPr>
        <w:t xml:space="preserve">Cuestiones</w:t>
      </w:r>
    </w:p>
    <w:p>
      <w:pPr>
        <w:pStyle w:val="FirstParagraph"/>
        <w:jc w:val="both"/>
      </w:pPr>
      <w:r>
        <w:rPr>
          <w:bCs/>
          <w:b/>
        </w:rPr>
        <w:t xml:space="preserve">1.</w:t>
      </w:r>
      <w:r>
        <w:t xml:space="preserve"> </w:t>
      </w:r>
      <w:r>
        <w:t xml:space="preserve">Inserte la gráfica de</w:t>
      </w:r>
      <w:r>
        <w:t xml:space="preserve"> </w:t>
      </w:r>
      <m:oMath>
        <m:sSubSup>
          <m:e>
            <m:r>
              <m:t>T</m:t>
            </m:r>
          </m:e>
          <m:sub>
            <m:r>
              <m:t>0</m:t>
            </m:r>
          </m:sub>
          <m:sup>
            <m:r>
              <m:t>2</m:t>
            </m:r>
          </m:sup>
        </m:sSubSup>
      </m:oMath>
      <w:r>
        <w:t xml:space="preserve"> </w:t>
      </w:r>
      <w:r>
        <w:t xml:space="preserve">frente a</w:t>
      </w:r>
      <w:r>
        <w:t xml:space="preserve"> </w:t>
      </w:r>
      <m:oMath>
        <m:r>
          <m:t>L</m:t>
        </m:r>
      </m:oMath>
      <w:r>
        <w:t xml:space="preserve"> </w:t>
      </w:r>
      <w:r>
        <w:t xml:space="preserve">(Tabla 1) con la recta de ajuste lineal.</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p>
      <w:pPr>
        <w:pStyle w:val="BodyText"/>
        <w:jc w:val="both"/>
      </w:pPr>
      <w:r>
        <w:rPr>
          <w:bCs/>
          <w:b/>
        </w:rPr>
        <w:t xml:space="preserve">2.</w:t>
      </w:r>
      <w:r>
        <w:t xml:space="preserve"> </w:t>
      </w:r>
      <w:r>
        <w:t xml:space="preserve">Calcule la pendiente, la ordenada en el origen, sus errores y el coeficiente de correlación lineal mediante ajuste por mínimos cuadrados.</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p>
      <w:pPr>
        <w:pStyle w:val="BodyText"/>
        <w:jc w:val="both"/>
      </w:pPr>
      <w:r>
        <w:rPr>
          <w:bCs/>
          <w:b/>
        </w:rPr>
        <w:t xml:space="preserve">3.</w:t>
      </w:r>
      <w:r>
        <w:t xml:space="preserve"> </w:t>
      </w:r>
      <w:r>
        <w:t xml:space="preserve">Con la pendiente obtenga</w:t>
      </w:r>
      <w:r>
        <w:t xml:space="preserve"> </w:t>
      </w:r>
      <m:oMath>
        <m:r>
          <m:t>g</m:t>
        </m:r>
      </m:oMath>
      <w:r>
        <w:t xml:space="preserve"> </w:t>
      </w:r>
      <w:r>
        <w:t xml:space="preserve">con su error y compárelo con</w:t>
      </w:r>
      <w:r>
        <w:t xml:space="preserve"> </w:t>
      </w:r>
      <m:oMath>
        <m:r>
          <m:t>g</m:t>
        </m:r>
        <m:r>
          <m:rPr>
            <m:sty m:val="p"/>
          </m:rPr>
          <m:t>=</m:t>
        </m:r>
        <m:r>
          <m:t>9</m:t>
        </m:r>
        <m:r>
          <m:rPr>
            <m:sty m:val="p"/>
          </m:rPr>
          <m:t>,</m:t>
        </m:r>
        <m:r>
          <m:t>81</m:t>
        </m:r>
      </m:oMath>
      <w:r>
        <w:t xml:space="preserve"> </w:t>
      </w:r>
      <w:r>
        <w:t xml:space="preserve">m/s².</w:t>
      </w:r>
    </w:p>
    <w:p>
      <w:pPr>
        <w:pStyle w:val="BodyText"/>
        <w:jc w:val="both"/>
      </w:pPr>
      <m:oMath>
        <m:r>
          <m:t>g</m:t>
        </m:r>
      </m:oMath>
      <w:r>
        <w:t xml:space="preserve"> </w:t>
      </w:r>
      <w:r>
        <w:t xml:space="preserve">= ( __________ ± __________ ) m/s²</w:t>
      </w:r>
    </w:p>
    <w:p>
      <w:pPr>
        <w:pStyle w:val="BodyText"/>
        <w:jc w:val="both"/>
      </w:pPr>
      <w:r>
        <w:rPr>
          <w:bCs/>
          <w:b/>
        </w:rPr>
        <w:t xml:space="preserve">4.</w:t>
      </w:r>
      <w:r>
        <w:t xml:space="preserve"> </w:t>
      </w:r>
      <w:r>
        <w:t xml:space="preserve">Inserte la gráfica de</w:t>
      </w:r>
      <w:r>
        <w:t xml:space="preserve"> </w:t>
      </w:r>
      <m:oMath>
        <m:r>
          <m:t>T</m:t>
        </m:r>
        <m:r>
          <m:rPr>
            <m:sty m:val="p"/>
          </m:rPr>
          <m:t>/</m:t>
        </m:r>
        <m:sSub>
          <m:e>
            <m:r>
              <m:t>T</m:t>
            </m:r>
          </m:e>
          <m:sub>
            <m:r>
              <m:t>0</m:t>
            </m:r>
          </m:sub>
        </m:sSub>
      </m:oMath>
      <w:r>
        <w:t xml:space="preserve"> </w:t>
      </w:r>
      <w:r>
        <w:t xml:space="preserve">frente a</w:t>
      </w:r>
      <w:r>
        <w:t xml:space="preserve"> </w:t>
      </w:r>
      <m:oMath>
        <m:sSubSup>
          <m:e>
            <m:r>
              <m:t>θ</m:t>
            </m:r>
          </m:e>
          <m:sub>
            <m:r>
              <m:t>0</m:t>
            </m:r>
          </m:sub>
          <m:sup>
            <m:r>
              <m:t>2</m:t>
            </m:r>
          </m:sup>
        </m:sSubSup>
      </m:oMath>
      <w:r>
        <w:t xml:space="preserve"> </w:t>
      </w:r>
      <w:r>
        <w:t xml:space="preserve">(Tabla 2) con la recta de ajuste.</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p>
      <w:pPr>
        <w:pStyle w:val="BodyText"/>
        <w:jc w:val="both"/>
      </w:pPr>
      <w:r>
        <w:rPr>
          <w:bCs/>
          <w:b/>
        </w:rPr>
        <w:t xml:space="preserve">5.</w:t>
      </w:r>
      <w:r>
        <w:t xml:space="preserve"> </w:t>
      </w:r>
      <w:r>
        <w:t xml:space="preserve">Obtenga la pendiente con su error y compárela con el valor teórico</w:t>
      </w:r>
      <w:r>
        <w:t xml:space="preserve"> </w:t>
      </w:r>
      <m:oMath>
        <m:r>
          <m:t>1</m:t>
        </m:r>
        <m:r>
          <m:rPr>
            <m:sty m:val="p"/>
          </m:rPr>
          <m:t>/</m:t>
        </m:r>
        <m:r>
          <m:t>16</m:t>
        </m:r>
        <m:r>
          <m:rPr>
            <m:sty m:val="p"/>
          </m:rPr>
          <m:t>=</m:t>
        </m:r>
        <m:r>
          <m:t>0</m:t>
        </m:r>
        <m:r>
          <m:rPr>
            <m:sty m:val="p"/>
          </m:rPr>
          <m:t>,</m:t>
        </m:r>
        <m:r>
          <m:t>0625</m:t>
        </m:r>
      </m:oMath>
      <w:r>
        <w:t xml:space="preserve">. ¿A partir de qué amplitud la diferencia entre</w:t>
      </w:r>
      <w:r>
        <w:t xml:space="preserve"> </w:t>
      </w:r>
      <m:oMath>
        <m:r>
          <m:t>T</m:t>
        </m:r>
      </m:oMath>
      <w:r>
        <w:t xml:space="preserve"> </w:t>
      </w:r>
      <w:r>
        <w:t xml:space="preserve">y</w:t>
      </w:r>
      <w:r>
        <w:t xml:space="preserve"> </w:t>
      </w:r>
      <m:oMath>
        <m:sSub>
          <m:e>
            <m:r>
              <m:t>T</m:t>
            </m:r>
          </m:e>
          <m:sub>
            <m:r>
              <m:t>0</m:t>
            </m:r>
          </m:sub>
        </m:sSub>
      </m:oMath>
      <w:r>
        <w:t xml:space="preserve"> </w:t>
      </w:r>
      <w:r>
        <w:t xml:space="preserve">supera el error de sus medidas?</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701" w:hRule="atLeast"/>
        </w:trPr>
        <w:tc>
          <w:tcPr>
            <w:tcW w:type="dxa" w:w="9524"/>
          </w:tcPr>
          <w:p/>
        </w:tc>
      </w:tr>
    </w:tbl>
    <w:p/>
    <w:bookmarkEnd w:id="28"/>
    <w:sectPr>
      <w:headerReference w:type="default" r:id="rId9"/>
      <w:footerReference w:type="default" r:id="rId10"/>
      <w:pgSz w:w="12240" w:h="15840"/>
      <w:pgMar w:left="1276" w:right="1440" w:top="1134" w:bottom="1247" w:header="45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3402" w:val="left"/>
        <w:tab w:pos="6803" w:val="left"/>
      </w:tabs>
    </w:pPr>
    <w:r/>
    <w:r>
      <w:rPr>
        <w:rFonts w:ascii="Times New Roman" w:hAnsi="Times New Roman"/>
        <w:color w:val="FF0000"/>
        <w:sz w:val="22"/>
      </w:rPr>
      <w:t>Alumno 1:</w:t>
      <w:tab/>
      <w:t>Alumno 2:</w:t>
      <w:tab/>
      <w:t>Alumno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pPr>
      <w:spacing w:before="60" w:after="60"/>
    </w:pPr>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hAnsi="Arial" w:cs="Arial"/>
      <w:b/>
      <w:bCs/>
      <w:i/>
      <w:color w:val="000000"/>
      <w:sz w:val="36"/>
      <w:szCs w:val="32"/>
    </w:rPr>
  </w:style>
  <w:style w:styleId="Heading2" w:type="paragraph">
    <w:name w:val="Heading 2"/>
    <w:basedOn w:val="Normal"/>
    <w:next w:val="BodyText"/>
    <w:uiPriority w:val="9"/>
    <w:unhideWhenUsed/>
    <w:qFormat/>
    <w:pPr>
      <w:keepNext/>
      <w:keepLines/>
      <w:spacing w:after="80" w:before="240"/>
      <w:outlineLvl w:val="1"/>
    </w:pPr>
    <w:rPr>
      <w:rFonts w:ascii="Arial" w:hAnsi="Arial" w:cs="Arial"/>
      <w:b/>
      <w:bCs/>
      <w:i/>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sz w:val="22"/>
    </w:rPr>
  </w:style>
  <w:style w:customStyle="1" w:styleId="TableCaption" w:type="paragraph">
    <w:name w:val="Table Caption"/>
    <w:basedOn w:val="Caption"/>
    <w:pPr>
      <w:keepNext/>
    </w:pPr>
    <w:rPr>
      <w:i/>
      <w:sz w:val="22"/>
    </w:rPr>
  </w:style>
  <w:style w:customStyle="1" w:styleId="ImageCaption" w:type="paragraph">
    <w:name w:val="Image Caption"/>
    <w:basedOn w:val="Caption"/>
    <w:rPr>
      <w: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2026-10-30T13:51:40Z</dcterms:created>
  <dcterms:modified xsi:type="dcterms:W3CDTF">2026-10-30T13:51:40Z</dcterms:modified>
</cp:coreProperties>
</file>

<file path=docProps/custom.xml><?xml version="1.0" encoding="utf-8"?>
<Properties xmlns="http://schemas.openxmlformats.org/officeDocument/2006/custom-properties" xmlns:vt="http://schemas.openxmlformats.org/officeDocument/2006/docPropsVTypes"/>
</file>