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5da41e754efb2abeedf75ba639ab2bbd4414de4"/>
    <w:p>
      <w:pPr>
        <w:pStyle w:val="Heading2"/>
        <w:numPr>
          <w:ilvl w:val="0"/>
          <w:numId w:val="0"/>
        </w:numPr>
      </w:pPr>
      <w:r>
        <w:rPr>
          <w:sz w:val="40"/>
        </w:rPr>
        <w:t xml:space="preserve">Péndulo de Pohl II: oscilaciones forzadas y resonancia</w:t>
      </w:r>
    </w:p>
    <w:bookmarkEnd w:id="20"/>
    <w:bookmarkStart w:id="21" w:name="objetivo"/>
    <w:p>
      <w:pPr>
        <w:pStyle w:val="Heading2"/>
        <w:numPr>
          <w:ilvl w:val="0"/>
          <w:numId w:val="0"/>
        </w:numPr>
      </w:pPr>
      <w:r>
        <w:rPr>
          <w:sz w:val="36"/>
        </w:rPr>
        <w:t xml:space="preserve">Objetivo</w:t>
      </w:r>
    </w:p>
    <w:p>
      <w:pPr>
        <w:pStyle w:val="FirstParagraph"/>
        <w:jc w:val="both"/>
      </w:pPr>
      <w:r>
        <w:t xml:space="preserve">Construir la curva de resonancia del péndulo de Pohl forzado por un motor y obtener de ella la frecuencia de resonancia, la anchura de la curva y el factor de calidad. Comparar el ritmo de amortiguamiento obtenido de la anchura con el que se obtiene de las oscilaciones libres.</w:t>
      </w:r>
    </w:p>
    <w:bookmarkEnd w:id="21"/>
    <w:bookmarkStart w:id="22" w:name="fundamento-teórico"/>
    <w:p>
      <w:pPr>
        <w:pStyle w:val="Heading2"/>
        <w:numPr>
          <w:ilvl w:val="0"/>
          <w:numId w:val="0"/>
        </w:numPr>
      </w:pPr>
      <w:r>
        <w:rPr>
          <w:sz w:val="36"/>
        </w:rPr>
        <w:t xml:space="preserve">Fundamento teórico</w:t>
      </w:r>
    </w:p>
    <w:p>
      <w:pPr>
        <w:pStyle w:val="FirstParagraph"/>
        <w:jc w:val="both"/>
      </w:pPr>
      <w:r>
        <w:t xml:space="preserve">El motor mueve periódicamente el extremo del muelle espiral, lo que equivale a un momento externo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r>
              <m:t>ω</m:t>
            </m:r>
            <m:r>
              <m:t>t</m:t>
            </m:r>
          </m:e>
        </m:d>
      </m:oMath>
      <w:r>
        <w:t xml:space="preserve"> </w:t>
      </w:r>
      <w:r>
        <w:t xml:space="preserve">sobre la rueda, con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la frecuencia impulsora:</w:t>
      </w:r>
    </w:p>
    <w:p>
      <w:pPr>
        <w:pStyle w:val="BodyText"/>
        <w:jc w:val="both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φ</m:t>
              </m:r>
            </m:e>
          </m:acc>
          <m:r>
            <m:rPr>
              <m:sty m:val="p"/>
            </m:rPr>
            <m:t>+</m:t>
          </m:r>
          <m:r>
            <m:t>γ</m:t>
          </m:r>
          <m:r>
            <m:t> </m:t>
          </m:r>
          <m:acc>
            <m:accPr>
              <m:chr m:val="̇"/>
            </m:accPr>
            <m:e>
              <m:r>
                <m:t>φ</m:t>
              </m:r>
            </m:e>
          </m:acc>
          <m:r>
            <m:rPr>
              <m:sty m:val="p"/>
            </m:rPr>
            <m:t>+</m:t>
          </m:r>
          <m:sSubSup>
            <m:e>
              <m:r>
                <m:t>ω</m:t>
              </m:r>
            </m:e>
            <m:sub>
              <m:r>
                <m:t>0</m:t>
              </m:r>
            </m:sub>
            <m:sup>
              <m:r>
                <m:t>2</m:t>
              </m:r>
            </m:sup>
          </m:sSubSup>
          <m:r>
            <m:t> </m:t>
          </m:r>
          <m:r>
            <m:t>φ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J</m:t>
              </m:r>
            </m:den>
          </m:f>
          <m:r>
            <m:rPr>
              <m:sty m:val="p"/>
            </m:rPr>
            <m:t>cos</m:t>
          </m:r>
          <m:d>
            <m:dPr>
              <m:begChr m:val="("/>
              <m:endChr m:val=")"/>
              <m:sepChr m:val=""/>
              <m:grow/>
            </m:dPr>
            <m:e>
              <m:r>
                <m:t>ω</m:t>
              </m:r>
              <m:r>
                <m:t>t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  <w:jc w:val="both"/>
      </w:pPr>
      <w:r>
        <w:t xml:space="preserve">Tras un transitorio, la rueda oscila con la frecuencia del motor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y una amplitud estacionaria</w:t>
      </w:r>
    </w:p>
    <w:p>
      <w:pPr>
        <w:pStyle w:val="BodyText"/>
        <w:jc w:val="both"/>
      </w:pPr>
      <m:oMathPara>
        <m:oMathParaPr>
          <m:jc m:val="center"/>
        </m:oMathParaPr>
        <m:oMath>
          <m:r>
            <m:t>A</m:t>
          </m:r>
          <m:d>
            <m:dPr>
              <m:begChr m:val="("/>
              <m:endChr m:val=")"/>
              <m:sepChr m:val=""/>
              <m:grow/>
            </m:dPr>
            <m:e>
              <m:r>
                <m:t>ω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J</m:t>
              </m:r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Sup>
                            <m:e>
                              <m:r>
                                <m:t>ω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ω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γ</m:t>
                          </m:r>
                          <m:r>
                            <m:t>ω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  <w:jc w:val="both"/>
      </w:pPr>
      <w:r>
        <w:t xml:space="preserve">que es máxima cerca de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(exactamente en</w:t>
      </w:r>
      <w:r>
        <w:t xml:space="preserve"> </w:t>
      </w:r>
      <m:oMath>
        <m:sSub>
          <m:e>
            <m:r>
              <m:t>ω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ω</m:t>
                </m:r>
              </m:e>
              <m:sub>
                <m:r>
                  <m:t>0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γ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). Para amortiguamiento débil, la anchura de la curva entre los dos puntos donde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es</w:t>
      </w:r>
    </w:p>
    <w:p>
      <w:pPr>
        <w:pStyle w:val="BodyText"/>
        <w:jc w:val="both"/>
      </w:pPr>
      <m:oMathPara>
        <m:oMathParaPr>
          <m:jc m:val="center"/>
        </m:oMathParaPr>
        <m:oMath>
          <m:r>
            <m:t>Δ</m:t>
          </m:r>
          <m:r>
            <m:t>ω</m:t>
          </m:r>
          <m:r>
            <m:rPr>
              <m:sty m:val="p"/>
            </m:rPr>
            <m:t>≃</m:t>
          </m:r>
          <m:r>
            <m:t>γ</m:t>
          </m:r>
          <m:r>
            <m:rPr>
              <m:sty m:val="p"/>
            </m:rPr>
            <m:t>,</m:t>
          </m:r>
          <m:r>
            <m:t>  </m:t>
          </m:r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γ</m:t>
              </m:r>
            </m:den>
          </m:f>
          <m:r>
            <m:rPr>
              <m:sty m:val="p"/>
            </m:rPr>
            <m:t>≃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Δ</m:t>
              </m:r>
              <m:r>
                <m:t>ω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  <w:jc w:val="both"/>
      </w:pPr>
      <w:r>
        <w:t xml:space="preserve">En resonancia, el desfase entre el excitador y la rueda es de 90°.</w:t>
      </w:r>
    </w:p>
    <w:bookmarkEnd w:id="22"/>
    <w:bookmarkStart w:id="26" w:name="montaje-experimental"/>
    <w:p>
      <w:pPr>
        <w:pStyle w:val="Heading2"/>
        <w:numPr>
          <w:ilvl w:val="0"/>
          <w:numId w:val="0"/>
        </w:numPr>
      </w:pPr>
      <w:r>
        <w:rPr>
          <w:sz w:val="36"/>
        </w:rPr>
        <w:t xml:space="preserve">Montaje experimental</w:t>
      </w:r>
    </w:p>
    <w:p>
      <w:pPr>
        <w:pStyle w:val="CaptionedFigure"/>
        <w:jc w:val="center"/>
      </w:pPr>
      <w:r>
        <w:drawing>
          <wp:inline>
            <wp:extent cx="2519999" cy="2036045"/>
            <wp:effectExtent b="0" l="0" r="0" t="0"/>
            <wp:docPr descr="Figura 1. Péndulo de Pohl con el excitador." title="" id="24" name="Picture"/>
            <a:graphic>
              <a:graphicData uri="http://schemas.openxmlformats.org/drawingml/2006/picture">
                <pic:pic>
                  <pic:nvPicPr>
                    <pic:cNvPr descr="fig/pohl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9999" cy="2036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t xml:space="preserve">Figura 1. Péndulo de Pohl con el excitador.</w:t>
      </w:r>
    </w:p>
    <w:p>
      <w:pPr>
        <w:pStyle w:val="BodyText"/>
        <w:jc w:val="both"/>
      </w:pPr>
      <w:r>
        <w:t xml:space="preserve">El motor se alimenta con el alimentador de 12 V; su velocidad se regula con sus mandos y su periodo</w:t>
      </w:r>
      <w:r>
        <w:t xml:space="preserve"> </w:t>
      </w:r>
      <m:oMath>
        <m:sSub>
          <m:e>
            <m:r>
              <m:t>T</m:t>
            </m:r>
          </m:e>
          <m:sub>
            <m:r>
              <m:t>e</m:t>
            </m:r>
          </m:sub>
        </m:sSub>
      </m:oMath>
      <w:r>
        <w:t xml:space="preserve">, con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2</m:t>
        </m:r>
        <m:r>
          <m:t>π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e</m:t>
            </m:r>
          </m:sub>
        </m:sSub>
      </m:oMath>
      <w:r>
        <w:t xml:space="preserve">, se mide con el cronómetro digital. El freno se alimenta con la fuente de alimentación a corriente fija</w:t>
      </w:r>
      <w:r>
        <w:t xml:space="preserve"> </w:t>
      </w:r>
      <m:oMath>
        <m:r>
          <m:t>I</m:t>
        </m:r>
      </m:oMath>
      <w:r>
        <w:t xml:space="preserve">, leída en el multímetro. La amplitud estacionaria se lee en el anillo graduado, en divisiones. Las marcas del excitador y de la rueda sobre el anillo permiten ver el desfase entre ambos.</w:t>
      </w:r>
    </w:p>
    <w:p>
      <w:pPr>
        <w:pStyle w:val="BodyText"/>
        <w:jc w:val="both"/>
      </w:pPr>
      <w:r>
        <w:rPr>
          <w:bCs/>
          <w:b/>
        </w:rPr>
        <w:t xml:space="preserve">Precaución:</w:t>
      </w:r>
      <w:r>
        <w:t xml:space="preserve"> </w:t>
      </w:r>
      <w:r>
        <w:t xml:space="preserve">no trabaje cerca de la resonancia con el freno apagado, porque la amplitud se sale de la escala. No supere la tensión máxima del motor.</w:t>
      </w:r>
    </w:p>
    <w:bookmarkEnd w:id="26"/>
    <w:bookmarkStart w:id="27" w:name="resultados"/>
    <w:p>
      <w:pPr>
        <w:pStyle w:val="Heading2"/>
        <w:numPr>
          <w:ilvl w:val="0"/>
          <w:numId w:val="0"/>
        </w:numPr>
      </w:pPr>
      <w:r>
        <w:rPr>
          <w:sz w:val="36"/>
        </w:rPr>
        <w:t xml:space="preserve">Resultados</w:t>
      </w:r>
    </w:p>
    <w:p>
      <w:pPr>
        <w:pStyle w:val="FirstParagraph"/>
        <w:jc w:val="both"/>
      </w:pPr>
      <w:r>
        <w:rPr>
          <w:bCs/>
          <w:b/>
        </w:rPr>
        <w:t xml:space="preserve">Parte A. Amortiguamiento libre.</w:t>
      </w:r>
      <w:r>
        <w:t xml:space="preserve"> </w:t>
      </w:r>
      <w:r>
        <w:t xml:space="preserve">Fijar la corriente del freno indicada por el profesor (por ejemplo 0,4 A). Con el motor parado, medir el periodo de 5 oscilaciones y las amplitudes de 5 máximos sucesivos para obtener</w:t>
      </w:r>
      <w:r>
        <w:t xml:space="preserve"> </w:t>
      </w:r>
      <m:oMath>
        <m:sSub>
          <m:e>
            <m:r>
              <m:t>γ</m:t>
            </m:r>
          </m:e>
          <m:sub>
            <m:r>
              <m:t>l</m:t>
            </m:r>
            <m:r>
              <m:t>i</m:t>
            </m:r>
            <m:r>
              <m:t>b</m:t>
            </m:r>
            <m:r>
              <m:t>r</m:t>
            </m:r>
            <m:r>
              <m:t>e</m:t>
            </m:r>
          </m:sub>
        </m:sSub>
      </m:oMath>
      <w:r>
        <w:t xml:space="preserve"> </w:t>
      </w:r>
      <w:r>
        <w:t xml:space="preserve">como en la práctica anterior.</w:t>
      </w:r>
    </w:p>
    <w:p>
      <w:pPr>
        <w:pStyle w:val="BodyText"/>
        <w:jc w:val="both"/>
      </w:pPr>
      <m:oMath>
        <m:r>
          <m:t>I</m:t>
        </m:r>
      </m:oMath>
      <w:r>
        <w:t xml:space="preserve"> </w:t>
      </w:r>
      <w:r>
        <w:t xml:space="preserve">= __________</w:t>
      </w:r>
      <w:r>
        <w:t xml:space="preserve"> </w:t>
      </w:r>
      <m:oMath>
        <m:r>
          <m:t>  </m:t>
        </m:r>
        <m:r>
          <m:t>T</m:t>
        </m:r>
      </m:oMath>
      <w:r>
        <w:t xml:space="preserve"> </w:t>
      </w:r>
      <w:r>
        <w:t xml:space="preserve">= __________</w:t>
      </w:r>
    </w:p>
    <w:tbl>
      <w:tblPr>
        <w:tblW w:type="pct" w:w="500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Row="1" w:lastRow="0" w:firstColumn="0" w:lastColumn="0" w:noHBand="0" w:noVBand="0" w:val="0020"/>
        <w:tblCaption w:val="Tabla 1. Amplitudes de los máximos sucesivos (divisiones)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rHeight w:val="510" w:hRule="atLeast"/>
          <w:tblHeader w:val="true"/>
        </w:trPr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0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1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2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3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4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5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</w:tbl>
    <w:p>
      <w:pPr>
        <w:pStyle w:val="TableCaption"/>
        <w:jc w:val="center"/>
      </w:pPr>
      <w:r>
        <w:t xml:space="preserve">Tabla 1. Amplitudes de los máximos sucesivos (divisiones).</w:t>
      </w:r>
    </w:p>
    <w:p>
      <w:pPr>
        <w:pStyle w:val="BodyText"/>
        <w:jc w:val="both"/>
      </w:pPr>
      <w:r>
        <w:rPr>
          <w:bCs/>
          <w:b/>
        </w:rPr>
        <w:t xml:space="preserve">Parte B. Curva de resonancia.</w:t>
      </w:r>
      <w:r>
        <w:t xml:space="preserve"> </w:t>
      </w:r>
      <w:r>
        <w:t xml:space="preserve">Con la misma corriente, encender el motor y elegir unos 12 periodos de excitación, más juntos cerca de la resonancia (cuando la amplitud crece mucho). Para cada uno: medir el tiempo de 5 vueltas del excitador para obtener</w:t>
      </w:r>
      <w:r>
        <w:t xml:space="preserve"> </w:t>
      </w:r>
      <m:oMath>
        <m:sSub>
          <m:e>
            <m:r>
              <m:t>T</m:t>
            </m:r>
          </m:e>
          <m:sub>
            <m:r>
              <m:t>e</m:t>
            </m:r>
          </m:sub>
        </m:sSub>
      </m:oMath>
      <w:r>
        <w:t xml:space="preserve">, esperar a que la amplitud deje de cambiar (cerca de la resonancia, unos 2 o 3 minutos) y anotar la amplitud estacionaria</w:t>
      </w:r>
      <w:r>
        <w:t xml:space="preserve"> </w:t>
      </w:r>
      <m:oMath>
        <m:r>
          <m:t>A</m:t>
        </m:r>
      </m:oMath>
      <w:r>
        <w:t xml:space="preserve">. En la resonancia, observar el desfase entre el excitador y la rueda.</w:t>
      </w:r>
    </w:p>
    <w:tbl>
      <w:tblPr>
        <w:tblW w:type="pct" w:w="500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Row="1" w:lastRow="0" w:firstColumn="0" w:lastColumn="0" w:noHBand="0" w:noVBand="0" w:val="0020"/>
        <w:tblCaption w:val="Tabla 2. Amplitud estacionaria frente a la frecuencia de excitación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rHeight w:val="510" w:hRule="atLeast"/>
          <w:tblHeader w:val="true"/>
        </w:trPr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r>
                <m:t>ω</m:t>
              </m:r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(rad/s)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ω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(rad/s)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(div)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(div)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</w:tbl>
    <w:p>
      <w:pPr>
        <w:pStyle w:val="TableCaption"/>
        <w:jc w:val="center"/>
      </w:pPr>
      <w:r>
        <w:t xml:space="preserve">Tabla 2. Amplitud estacionaria frente a la frecuencia de excitación.</w:t>
      </w:r>
    </w:p>
    <w:bookmarkEnd w:id="27"/>
    <w:bookmarkStart w:id="28" w:name="cuestiones"/>
    <w:p>
      <w:pPr>
        <w:pStyle w:val="Heading2"/>
        <w:numPr>
          <w:ilvl w:val="0"/>
          <w:numId w:val="0"/>
        </w:numPr>
      </w:pPr>
      <w:r>
        <w:rPr>
          <w:sz w:val="36"/>
        </w:rPr>
        <w:t xml:space="preserve">Cuestiones</w:t>
      </w:r>
    </w:p>
    <w:p>
      <w:pPr>
        <w:pStyle w:val="FirstParagraph"/>
        <w:jc w:val="both"/>
      </w:pPr>
      <w:r>
        <w:rPr>
          <w:bCs/>
          <w:b/>
        </w:rPr>
        <w:t xml:space="preserve">1.</w:t>
      </w:r>
      <w:r>
        <w:t xml:space="preserve"> </w:t>
      </w:r>
      <w:r>
        <w:t xml:space="preserve">A partir de la Tabla 1, obtenga el decremento logarítmico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γ</m:t>
            </m:r>
          </m:e>
          <m:sub>
            <m:r>
              <m:t>l</m:t>
            </m:r>
            <m:r>
              <m:t>i</m:t>
            </m:r>
            <m:r>
              <m:t>b</m:t>
            </m:r>
            <m:r>
              <m:t>r</m:t>
            </m:r>
            <m:r>
              <m:t>e</m:t>
            </m:r>
          </m:sub>
        </m:sSub>
        <m:r>
          <m:rPr>
            <m:sty m:val="p"/>
          </m:rPr>
          <m:t>=</m:t>
        </m:r>
        <m:r>
          <m:t>2</m:t>
        </m:r>
        <m:r>
          <m:t>δ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con sus errores.</w:t>
      </w:r>
    </w:p>
    <w:p>
      <w:pPr>
        <w:pStyle w:val="BodyText"/>
        <w:jc w:val="both"/>
      </w:pPr>
      <m:oMath>
        <m:sSub>
          <m:e>
            <m:r>
              <m:t>γ</m:t>
            </m:r>
          </m:e>
          <m:sub>
            <m:r>
              <m:t>l</m:t>
            </m:r>
            <m:r>
              <m:t>i</m:t>
            </m:r>
            <m:r>
              <m:t>b</m:t>
            </m:r>
            <m:r>
              <m:t>r</m:t>
            </m:r>
            <m:r>
              <m:t>e</m:t>
            </m:r>
          </m:sub>
        </m:sSub>
      </m:oMath>
      <w:r>
        <w:t xml:space="preserve"> </w:t>
      </w:r>
      <w:r>
        <w:t xml:space="preserve">= ( __________ ± __________ ) s⁻¹</w:t>
      </w:r>
    </w:p>
    <w:p>
      <w:pPr>
        <w:pStyle w:val="BodyText"/>
        <w:jc w:val="both"/>
      </w:pPr>
      <w:r>
        <w:rPr>
          <w:bCs/>
          <w:b/>
        </w:rPr>
        <w:t xml:space="preserve">2.</w:t>
      </w:r>
      <w:r>
        <w:t xml:space="preserve"> </w:t>
      </w:r>
      <w:r>
        <w:t xml:space="preserve">Inserte la gráfica de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frente a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(curva de resonancia), uniendo los puntos con una curva suave, y marque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y la anchura</w:t>
      </w:r>
      <w:r>
        <w:t xml:space="preserve"> </w:t>
      </w:r>
      <m:oMath>
        <m:r>
          <m:t>Δ</m:t>
        </m:r>
        <m:r>
          <m:t>ω</m:t>
        </m:r>
      </m:oMath>
      <w:r>
        <w:t xml:space="preserve">.</w:t>
      </w:r>
    </w:p>
    <w:tbl>
      <w:tblPr>
        <w:tblW w:type="pct" w:w="500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Column="1" w:firstRow="1" w:lastColumn="0" w:lastRow="0" w:noHBand="0" w:noVBand="1" w:val="04A0"/>
      </w:tblPr>
      <w:tblGrid>
        <w:gridCol w:w="9524"/>
      </w:tblGrid>
      <w:tr>
        <w:trPr>
          <w:trHeight w:val="5103" w:hRule="atLeast"/>
        </w:trPr>
        <w:tc>
          <w:tcPr>
            <w:tcW w:type="dxa" w:w="9524"/>
            <w:vAlign w:val="center"/>
          </w:tcPr>
          <w:p>
            <w:pPr>
              <w:jc w:val="center"/>
            </w:pPr>
            <w:r>
              <w:rPr>
                <w:i/>
                <w:color w:val="999999"/>
                <w:sz w:val="20"/>
              </w:rPr>
              <w:t>Pegue aquí la gráfica</w:t>
            </w:r>
          </w:p>
        </w:tc>
      </w:tr>
    </w:tbl>
    <w:p/>
    <w:p>
      <w:pPr>
        <w:pStyle w:val="BodyText"/>
        <w:jc w:val="both"/>
      </w:pPr>
      <w:r>
        <w:rPr>
          <w:bCs/>
          <w:b/>
        </w:rPr>
        <w:t xml:space="preserve">3.</w:t>
      </w:r>
      <w:r>
        <w:t xml:space="preserve"> </w:t>
      </w:r>
      <w:r>
        <w:t xml:space="preserve">Obtenga de la gráfica la frecuencia de resonancia</w:t>
      </w:r>
      <w:r>
        <w:t xml:space="preserve"> </w:t>
      </w:r>
      <m:oMath>
        <m:sSub>
          <m:e>
            <m:r>
              <m:t>ω</m:t>
            </m:r>
          </m:e>
          <m:sub>
            <m:r>
              <m:t>r</m:t>
            </m:r>
          </m:sub>
        </m:sSub>
      </m:oMath>
      <w:r>
        <w:t xml:space="preserve">, la anchura</w:t>
      </w:r>
      <w:r>
        <w:t xml:space="preserve"> </w:t>
      </w:r>
      <m:oMath>
        <m:r>
          <m:t>Δ</m:t>
        </m:r>
        <m:r>
          <m:t>ω</m:t>
        </m:r>
      </m:oMath>
      <w:r>
        <w:t xml:space="preserve"> </w:t>
      </w:r>
      <w:r>
        <w:t xml:space="preserve">y, a partir de ellas,</w:t>
      </w:r>
      <w:r>
        <w:t xml:space="preserve"> </w:t>
      </w:r>
      <m:oMath>
        <m:sSub>
          <m:e>
            <m:r>
              <m:t>γ</m:t>
            </m:r>
          </m:e>
          <m:sub>
            <m:r>
              <m:t>r</m:t>
            </m:r>
            <m:r>
              <m:t>e</m:t>
            </m:r>
            <m:r>
              <m:t>s</m:t>
            </m:r>
          </m:sub>
        </m:sSub>
        <m:r>
          <m:rPr>
            <m:sty m:val="p"/>
          </m:rPr>
          <m:t>=</m:t>
        </m:r>
        <m:r>
          <m:t>Δ</m:t>
        </m:r>
        <m:r>
          <m:t>ω</m:t>
        </m:r>
      </m:oMath>
      <w:r>
        <w:t xml:space="preserve"> </w:t>
      </w:r>
      <w:r>
        <w:t xml:space="preserve">y el factor de calidad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ω</m:t>
            </m:r>
          </m:e>
          <m:sub>
            <m:r>
              <m:t>r</m:t>
            </m:r>
          </m:sub>
        </m:sSub>
        <m:r>
          <m:rPr>
            <m:sty m:val="p"/>
          </m:rPr>
          <m:t>/</m:t>
        </m:r>
        <m:r>
          <m:t>Δ</m:t>
        </m:r>
        <m:r>
          <m:t>ω</m:t>
        </m:r>
      </m:oMath>
      <w:r>
        <w:t xml:space="preserve">, con sus errores.</w:t>
      </w:r>
    </w:p>
    <w:p>
      <w:pPr>
        <w:pStyle w:val="BodyText"/>
        <w:jc w:val="both"/>
      </w:pPr>
      <m:oMath>
        <m:sSub>
          <m:e>
            <m:r>
              <m:t>ω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= ( __________ ± __________ ) rad/s</w:t>
      </w:r>
      <w:r>
        <w:t xml:space="preserve"> </w:t>
      </w:r>
      <m:oMath>
        <m:r>
          <m:t>  </m:t>
        </m:r>
        <m:r>
          <m:t>Δ</m:t>
        </m:r>
        <m:r>
          <m:t>ω</m:t>
        </m:r>
      </m:oMath>
      <w:r>
        <w:t xml:space="preserve"> </w:t>
      </w:r>
      <w:r>
        <w:t xml:space="preserve">= ( __________ ± __________ ) rad/s</w:t>
      </w:r>
    </w:p>
    <w:p>
      <w:pPr>
        <w:pStyle w:val="BodyText"/>
        <w:jc w:val="both"/>
      </w:pPr>
      <m:oMath>
        <m:sSub>
          <m:e>
            <m:r>
              <m:t>γ</m:t>
            </m:r>
          </m:e>
          <m:sub>
            <m:r>
              <m:t>r</m:t>
            </m:r>
            <m:r>
              <m:t>e</m:t>
            </m:r>
            <m:r>
              <m:t>s</m:t>
            </m:r>
          </m:sub>
        </m:sSub>
      </m:oMath>
      <w:r>
        <w:t xml:space="preserve"> </w:t>
      </w:r>
      <w:r>
        <w:t xml:space="preserve">= ( __________ ± __________ ) s⁻¹</w:t>
      </w:r>
      <w:r>
        <w:t xml:space="preserve"> </w:t>
      </w:r>
      <m:oMath>
        <m:r>
          <m:t>  </m:t>
        </m:r>
        <m:r>
          <m:t>Q</m:t>
        </m:r>
      </m:oMath>
      <w:r>
        <w:t xml:space="preserve"> </w:t>
      </w:r>
      <w:r>
        <w:t xml:space="preserve">= ( __________ ± __________ )</w:t>
      </w:r>
    </w:p>
    <w:p>
      <w:pPr>
        <w:pStyle w:val="BodyText"/>
        <w:jc w:val="both"/>
      </w:pPr>
      <w:r>
        <w:rPr>
          <w:bCs/>
          <w:b/>
        </w:rPr>
        <w:t xml:space="preserve">4.</w:t>
      </w:r>
      <w:r>
        <w:t xml:space="preserve"> </w:t>
      </w:r>
      <w:r>
        <w:t xml:space="preserve">Compare</w:t>
      </w:r>
      <w:r>
        <w:t xml:space="preserve"> </w:t>
      </w:r>
      <m:oMath>
        <m:sSub>
          <m:e>
            <m:r>
              <m:t>γ</m:t>
            </m:r>
          </m:e>
          <m:sub>
            <m:r>
              <m:t>r</m:t>
            </m:r>
            <m:r>
              <m:t>e</m:t>
            </m:r>
            <m:r>
              <m:t>s</m:t>
            </m:r>
          </m:sub>
        </m:sSub>
      </m:oMath>
      <w:r>
        <w:t xml:space="preserve"> </w:t>
      </w:r>
      <w:r>
        <w:t xml:space="preserve">con</w:t>
      </w:r>
      <w:r>
        <w:t xml:space="preserve"> </w:t>
      </w:r>
      <m:oMath>
        <m:sSub>
          <m:e>
            <m:r>
              <m:t>γ</m:t>
            </m:r>
          </m:e>
          <m:sub>
            <m:r>
              <m:t>l</m:t>
            </m:r>
            <m:r>
              <m:t>i</m:t>
            </m:r>
            <m:r>
              <m:t>b</m:t>
            </m:r>
            <m:r>
              <m:t>r</m:t>
            </m:r>
            <m:r>
              <m:t>e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ω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con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 ¿Qué desfase observó en la resonancia?</w:t>
      </w:r>
    </w:p>
    <w:tbl>
      <w:tblPr>
        <w:tblW w:type="pct" w:w="500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Column="1" w:firstRow="1" w:lastColumn="0" w:lastRow="0" w:noHBand="0" w:noVBand="1" w:val="04A0"/>
      </w:tblPr>
      <w:tblGrid>
        <w:gridCol w:w="9524"/>
      </w:tblGrid>
      <w:tr>
        <w:trPr>
          <w:trHeight w:val="1701" w:hRule="atLeast"/>
        </w:trPr>
        <w:tc>
          <w:tcPr>
            <w:tcW w:type="dxa" w:w="9524"/>
          </w:tcPr>
          <w:p/>
        </w:tc>
      </w:tr>
    </w:tbl>
    <w:p/>
    <w:bookmarkEnd w:id="28"/>
    <w:sectPr>
      <w:headerReference w:type="default" r:id="rId9"/>
      <w:footerReference w:type="default" r:id="rId10"/>
      <w:pgSz w:w="12240" w:h="15840"/>
      <w:pgMar w:left="1276" w:right="1440" w:top="1134" w:bottom="1247" w:header="454" w:footer="56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3402" w:val="left"/>
        <w:tab w:pos="6803" w:val="left"/>
      </w:tabs>
    </w:pPr>
    <w:r/>
    <w:r>
      <w:rPr>
        <w:rFonts w:ascii="Times New Roman" w:hAnsi="Times New Roman"/>
        <w:color w:val="FF0000"/>
        <w:sz w:val="22"/>
      </w:rPr>
      <w:t>Alumno 1:</w:t>
      <w:tab/>
      <w:t>Alumno 2:</w:t>
      <w:tab/>
      <w:t>Alumno 3: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cs="Times New Roman"/>
      <w:color w:val="000000"/>
      <w:sz w:val="24"/>
    </w:rPr>
  </w:style>
  <w:style w:styleId="BodyText" w:type="paragraph">
    <w:name w:val="Body Text"/>
    <w:basedOn w:val="Normal"/>
    <w:link w:val="BodyTextChar"/>
    <w:pPr>
      <w:spacing w:after="60" w:before="60"/>
    </w:pPr>
    <w:qFormat/>
  </w:style>
  <w:style w:customStyle="1" w:styleId="FirstParagraph" w:type="paragraph">
    <w:name w:val="First Paragraph"/>
    <w:basedOn w:val="BodyText"/>
    <w:next w:val="BodyText"/>
    <w:qFormat/>
    <w:pPr>
      <w:spacing w:before="60" w:after="60"/>
    </w:pPr>
  </w:style>
  <w:style w:customStyle="1" w:styleId="Compact" w:type="paragraph">
    <w:name w:val="Compact"/>
    <w:basedOn w:val="BodyText"/>
    <w:qFormat/>
    <w:pPr>
      <w:spacing w:after="0" w:before="0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80" w:before="240"/>
      <w:outlineLvl w:val="0"/>
    </w:pPr>
    <w:rPr>
      <w:rFonts w:ascii="Arial" w:hAnsi="Arial" w:cs="Arial"/>
      <w:b/>
      <w:bCs/>
      <w:i/>
      <w:color w:val="000000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240"/>
      <w:outlineLvl w:val="1"/>
    </w:pPr>
    <w:rPr>
      <w:rFonts w:ascii="Arial" w:hAnsi="Arial" w:cs="Arial"/>
      <w:b/>
      <w:bCs/>
      <w:i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  <w:sz w:val="22"/>
    </w:rPr>
  </w:style>
  <w:style w:customStyle="1" w:styleId="TableCaption" w:type="paragraph">
    <w:name w:val="Table Caption"/>
    <w:basedOn w:val="Caption"/>
    <w:pPr>
      <w:keepNext/>
    </w:pPr>
    <w:rPr>
      <w:i/>
      <w:sz w:val="22"/>
    </w:rPr>
  </w:style>
  <w:style w:customStyle="1" w:styleId="ImageCaption" w:type="paragraph">
    <w:name w:val="Image Caption"/>
    <w:basedOn w:val="Caption"/>
    <w:rPr>
      <w:i/>
      <w:sz w:val="22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image" Target="media/rId23.png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2026-10-30T13:51:40Z</dcterms:created>
  <dcterms:modified xsi:type="dcterms:W3CDTF">2026-10-30T13:51:40Z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