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tulo1"/>
        <w:keepNext/>
        <w:spacing w:after="80"/>
      </w:pPr>
      <w:r>
        <w:rPr>
          <w:rFonts w:ascii="Times New Roman" w:hAnsi="Times New Roman"/>
          <w:b/>
          <w:i w:val="0"/>
          <w:color w:val="000000"/>
          <w:sz w:val="24"/>
        </w:rPr>
        <w:t>Coeficiente adiabático de los gases</w:t>
      </w:r>
    </w:p>
    <w:p>
      <w:pPr>
        <w:pStyle w:val="Ttulo2"/>
        <w:keepNext/>
        <w:spacing w:before="100" w:after="40"/>
      </w:pPr>
      <w:r>
        <w:rPr>
          <w:b/>
          <w:i/>
          <w:color w:val="000000"/>
          <w:sz w:val="20"/>
        </w:rPr>
        <w:t>Objetivo</w:t>
      </w:r>
    </w:p>
    <w:p>
      <w:pPr>
        <w:pStyle w:val="Textoindependiente"/>
        <w:keepNext w:val="0"/>
        <w:spacing w:before="0" w:after="60" w:line="240" w:lineRule="auto"/>
        <w:ind w:firstLine="0"/>
        <w:jc w:val="both"/>
      </w:pPr>
      <w:r>
        <w:rPr>
          <w:rFonts w:ascii="Times New Roman" w:hAnsi="Times New Roman"/>
          <w:b w:val="0"/>
          <w:i w:val="0"/>
          <w:color w:val="000000"/>
          <w:sz w:val="19"/>
        </w:rPr>
        <w:t>Un cilindro oscila en el aire dentro de un tubo de vidrio de precisión con un movimiento aproximadamente armónico simple. A partir del periodo de este oscilador de Flammersfeld se determinarán el coeficiente adiabático del aire y el número de grados de libertad activos de sus moléculas.</w:t>
      </w:r>
    </w:p>
    <w:p>
      <w:pPr>
        <w:pStyle w:val="Ttulo2"/>
        <w:keepNext/>
        <w:spacing w:before="100" w:after="40"/>
      </w:pPr>
      <w:r>
        <w:rPr>
          <w:b/>
          <w:i/>
          <w:color w:val="000000"/>
          <w:sz w:val="20"/>
        </w:rPr>
        <w:t>Fundamento teórico</w:t>
      </w:r>
    </w:p>
    <w:p>
      <w:pPr>
        <w:pStyle w:val="Textoindependiente"/>
        <w:keepNext w:val="0"/>
        <w:spacing w:before="0" w:after="60" w:line="240" w:lineRule="auto"/>
        <w:ind w:firstLine="0"/>
        <w:jc w:val="both"/>
      </w:pPr>
      <w:r>
        <w:rPr>
          <w:rFonts w:ascii="Times New Roman" w:hAnsi="Times New Roman"/>
          <w:b w:val="0"/>
          <w:i w:val="0"/>
          <w:color w:val="000000"/>
          <w:sz w:val="19"/>
        </w:rPr>
        <w:t>La presión del aire procedente de una bomba eleva un cilindro cuyo radio es casi igual al radio interior del tubo. Una pequeña abertura permite liberar periódicamente el exceso de presión, de modo que el cilindro cae y el proceso se repite. El gas que se escapa por el pequeño hueco entre el cilindro y el tubo vuelve al sistema desde una botella que actúa como amortiguador.</w:t>
      </w:r>
    </w:p>
    <w:p>
      <w:pPr>
        <w:pStyle w:val="Textoindependiente"/>
        <w:keepNext w:val="0"/>
        <w:spacing w:before="0" w:after="60" w:line="240" w:lineRule="auto"/>
        <w:ind w:firstLine="0"/>
        <w:jc w:val="both"/>
      </w:pPr>
      <w:r>
        <w:rPr>
          <w:rFonts w:ascii="Times New Roman" w:hAnsi="Times New Roman"/>
          <w:b w:val="0"/>
          <w:i w:val="0"/>
          <w:color w:val="000000"/>
          <w:sz w:val="19"/>
        </w:rPr>
        <w:t>Si el cilindro, de masa m y radio r, se desplaza una distancia x respecto a su posición de equilibrio, la variación de presión Δp produce una fuerza πr²Δp. La segunda ley de Newton conduce a:</w:t>
      </w:r>
    </w:p>
    <w:tbl>
      <w:tblPr>
        <w:tblW w:type="auto" w:w="0"/>
        <w:jc w:val="center"/>
        <w:tblLayout w:type="fixed"/>
        <w:tblLook w:firstColumn="1" w:firstRow="1" w:lastColumn="0" w:lastRow="0" w:noHBand="0" w:noVBand="1" w:val="04A0"/>
      </w:tblPr>
      <w:tblGrid>
        <w:gridCol w:w="4680"/>
        <w:gridCol w:w="4680"/>
      </w:tblGrid>
      <w:tr>
        <w:tc>
          <w:tcPr>
            <w:tcW w:type="dxa" w:w="7600"/>
            <w:vAlign w:val="center"/>
            <w:tcMar>
              <w:top w:w="0" w:type="dxa"/>
              <w:start w:w="0" w:type="dxa"/>
              <w:bottom w:w="0" w:type="dxa"/>
              <w:end w:w="0" w:type="dxa"/>
            </w:tcMar>
            <w:tcBorders>
              <w:top w:val="nil"/>
              <w:left w:val="nil"/>
              <w:bottom w:val="nil"/>
              <w:right w:val="nil"/>
              <w:insideH w:val="nil"/>
              <w:insideV w:val="nil"/>
            </w:tcBorders>
          </w:tcPr>
          <w:p>
            <w:pPr>
              <w:spacing w:before="40" w:after="40"/>
              <w:jc w:val="center"/>
            </w:pPr>
            <w:r>
              <w:rPr>
                <w:rFonts w:ascii="Cambria Math" w:hAnsi="Cambria Math"/>
                <w:b w:val="0"/>
                <w:i/>
                <w:color w:val="000000"/>
                <w:sz w:val="21"/>
              </w:rPr>
              <w:t>m</w:t>
            </w:r>
            <w:r>
              <w:rPr>
                <w:rFonts w:ascii="Cambria Math" w:hAnsi="Cambria Math"/>
                <w:b w:val="0"/>
                <w:i w:val="0"/>
                <w:color w:val="000000"/>
                <w:sz w:val="21"/>
              </w:rPr>
              <w:t xml:space="preserve"> · </w:t>
            </w:r>
            <w:r>
              <w:rPr>
                <w:rFonts w:ascii="Cambria Math" w:hAnsi="Cambria Math"/>
                <w:b w:val="0"/>
                <w:i/>
                <w:color w:val="000000"/>
                <w:sz w:val="21"/>
              </w:rPr>
              <w:t>d²x/dt²</w:t>
            </w:r>
            <w:r>
              <w:rPr>
                <w:rFonts w:ascii="Cambria Math" w:hAnsi="Cambria Math"/>
                <w:b w:val="0"/>
                <w:i w:val="0"/>
                <w:color w:val="000000"/>
                <w:sz w:val="21"/>
              </w:rPr>
              <w:t xml:space="preserve"> = </w:t>
            </w:r>
            <w:r>
              <w:rPr>
                <w:rFonts w:ascii="Cambria Math" w:hAnsi="Cambria Math"/>
                <w:b w:val="0"/>
                <w:i/>
                <w:color w:val="000000"/>
                <w:sz w:val="21"/>
              </w:rPr>
              <w:t>πr²</w:t>
            </w:r>
            <w:r>
              <w:rPr>
                <w:rFonts w:ascii="Cambria Math" w:hAnsi="Cambria Math"/>
                <w:b w:val="0"/>
                <w:i/>
                <w:color w:val="000000"/>
                <w:sz w:val="21"/>
              </w:rPr>
              <w:t>Δp</w:t>
            </w:r>
          </w:p>
        </w:tc>
        <w:tc>
          <w:tcPr>
            <w:tcW w:type="dxa" w:w="1400"/>
            <w:vAlign w:val="center"/>
            <w:tcMar>
              <w:top w:w="0" w:type="dxa"/>
              <w:start w:w="0" w:type="dxa"/>
              <w:bottom w:w="0" w:type="dxa"/>
              <w:end w:w="0" w:type="dxa"/>
            </w:tcMar>
            <w:tcBorders>
              <w:top w:val="nil"/>
              <w:left w:val="nil"/>
              <w:bottom w:val="nil"/>
              <w:right w:val="nil"/>
              <w:insideH w:val="nil"/>
              <w:insideV w:val="nil"/>
            </w:tcBorders>
          </w:tcPr>
          <w:p>
            <w:pPr>
              <w:jc w:val="right"/>
            </w:pPr>
            <w:r>
              <w:rPr>
                <w:rFonts w:ascii="Times New Roman" w:hAnsi="Times New Roman"/>
                <w:b w:val="0"/>
                <w:i w:val="0"/>
                <w:color w:val="000000"/>
                <w:sz w:val="19"/>
              </w:rPr>
              <w:t>(4.1)</w:t>
            </w:r>
          </w:p>
        </w:tc>
      </w:tr>
    </w:tbl>
    <w:p>
      <w:pPr>
        <w:pStyle w:val="Textoindependiente"/>
        <w:keepNext w:val="0"/>
        <w:spacing w:before="0" w:after="60" w:line="240" w:lineRule="auto"/>
        <w:ind w:firstLine="0"/>
        <w:jc w:val="both"/>
      </w:pPr>
      <w:r>
        <w:rPr>
          <w:rFonts w:ascii="Times New Roman" w:hAnsi="Times New Roman"/>
          <w:b w:val="0"/>
          <w:i w:val="0"/>
          <w:color w:val="000000"/>
          <w:sz w:val="19"/>
        </w:rPr>
        <w:t>Como la oscilación es rápida, el intercambio de calor con el entorno resulta pequeño y el proceso puede considerarse adiabático:</w:t>
      </w:r>
    </w:p>
    <w:tbl>
      <w:tblPr>
        <w:tblW w:type="auto" w:w="0"/>
        <w:jc w:val="center"/>
        <w:tblLayout w:type="fixed"/>
        <w:tblLook w:firstColumn="1" w:firstRow="1" w:lastColumn="0" w:lastRow="0" w:noHBand="0" w:noVBand="1" w:val="04A0"/>
      </w:tblPr>
      <w:tblGrid>
        <w:gridCol w:w="4680"/>
        <w:gridCol w:w="4680"/>
      </w:tblGrid>
      <w:tr>
        <w:tc>
          <w:tcPr>
            <w:tcW w:type="dxa" w:w="7600"/>
            <w:vAlign w:val="center"/>
            <w:tcMar>
              <w:top w:w="0" w:type="dxa"/>
              <w:start w:w="0" w:type="dxa"/>
              <w:bottom w:w="0" w:type="dxa"/>
              <w:end w:w="0" w:type="dxa"/>
            </w:tcMar>
            <w:tcBorders>
              <w:top w:val="nil"/>
              <w:left w:val="nil"/>
              <w:bottom w:val="nil"/>
              <w:right w:val="nil"/>
              <w:insideH w:val="nil"/>
              <w:insideV w:val="nil"/>
            </w:tcBorders>
          </w:tcPr>
          <w:p>
            <w:pPr>
              <w:spacing w:before="40" w:after="40"/>
              <w:jc w:val="center"/>
            </w:pPr>
            <w:r>
              <w:rPr>
                <w:rFonts w:ascii="Cambria Math" w:hAnsi="Cambria Math"/>
                <w:b w:val="0"/>
                <w:i/>
                <w:color w:val="000000"/>
                <w:sz w:val="21"/>
              </w:rPr>
              <w:t>p</w:t>
            </w:r>
            <w:r>
              <w:rPr>
                <w:rFonts w:ascii="Cambria Math" w:hAnsi="Cambria Math"/>
                <w:b w:val="0"/>
                <w:i/>
                <w:color w:val="000000"/>
                <w:sz w:val="21"/>
              </w:rPr>
              <w:t>V</w:t>
            </w:r>
            <w:r>
              <w:rPr>
                <w:rFonts w:ascii="Cambria Math" w:hAnsi="Cambria Math"/>
                <w:b w:val="0"/>
                <w:i/>
                <w:color w:val="000000"/>
                <w:sz w:val="21"/>
                <w:vertAlign w:val="superscript"/>
              </w:rPr>
              <w:t>γ</w:t>
            </w:r>
            <w:r>
              <w:rPr>
                <w:rFonts w:ascii="Cambria Math" w:hAnsi="Cambria Math"/>
                <w:b w:val="0"/>
                <w:i w:val="0"/>
                <w:color w:val="000000"/>
                <w:sz w:val="21"/>
              </w:rPr>
              <w:t xml:space="preserve"> = constante</w:t>
            </w:r>
          </w:p>
        </w:tc>
        <w:tc>
          <w:tcPr>
            <w:tcW w:type="dxa" w:w="1400"/>
            <w:vAlign w:val="center"/>
            <w:tcMar>
              <w:top w:w="0" w:type="dxa"/>
              <w:start w:w="0" w:type="dxa"/>
              <w:bottom w:w="0" w:type="dxa"/>
              <w:end w:w="0" w:type="dxa"/>
            </w:tcMar>
            <w:tcBorders>
              <w:top w:val="nil"/>
              <w:left w:val="nil"/>
              <w:bottom w:val="nil"/>
              <w:right w:val="nil"/>
              <w:insideH w:val="nil"/>
              <w:insideV w:val="nil"/>
            </w:tcBorders>
          </w:tcPr>
          <w:p>
            <w:pPr>
              <w:jc w:val="right"/>
            </w:pPr>
            <w:r>
              <w:rPr>
                <w:rFonts w:ascii="Times New Roman" w:hAnsi="Times New Roman"/>
                <w:b w:val="0"/>
                <w:i w:val="0"/>
                <w:color w:val="000000"/>
                <w:sz w:val="19"/>
              </w:rPr>
              <w:t>(4.2)</w:t>
            </w:r>
          </w:p>
        </w:tc>
      </w:tr>
    </w:tbl>
    <w:p>
      <w:pPr>
        <w:pStyle w:val="Textoindependiente"/>
        <w:keepNext w:val="0"/>
        <w:spacing w:before="0" w:after="60" w:line="240" w:lineRule="auto"/>
        <w:ind w:firstLine="0"/>
        <w:jc w:val="both"/>
      </w:pPr>
      <w:r>
        <w:rPr>
          <w:rFonts w:ascii="Times New Roman" w:hAnsi="Times New Roman"/>
          <w:b w:val="0"/>
          <w:i w:val="0"/>
          <w:color w:val="000000"/>
          <w:sz w:val="19"/>
        </w:rPr>
        <w:t>Para pequeñas variaciones de presión y volumen se obtiene:</w:t>
      </w:r>
    </w:p>
    <w:tbl>
      <w:tblPr>
        <w:tblW w:type="auto" w:w="0"/>
        <w:jc w:val="center"/>
        <w:tblLayout w:type="fixed"/>
        <w:tblLook w:firstColumn="1" w:firstRow="1" w:lastColumn="0" w:lastRow="0" w:noHBand="0" w:noVBand="1" w:val="04A0"/>
      </w:tblPr>
      <w:tblGrid>
        <w:gridCol w:w="4680"/>
        <w:gridCol w:w="4680"/>
      </w:tblGrid>
      <w:tr>
        <w:tc>
          <w:tcPr>
            <w:tcW w:type="dxa" w:w="7600"/>
            <w:vAlign w:val="center"/>
            <w:tcMar>
              <w:top w:w="0" w:type="dxa"/>
              <w:start w:w="0" w:type="dxa"/>
              <w:bottom w:w="0" w:type="dxa"/>
              <w:end w:w="0" w:type="dxa"/>
            </w:tcMar>
            <w:tcBorders>
              <w:top w:val="nil"/>
              <w:left w:val="nil"/>
              <w:bottom w:val="nil"/>
              <w:right w:val="nil"/>
              <w:insideH w:val="nil"/>
              <w:insideV w:val="nil"/>
            </w:tcBorders>
          </w:tcPr>
          <w:p>
            <w:pPr>
              <w:spacing w:before="40" w:after="40"/>
              <w:jc w:val="center"/>
            </w:pPr>
            <w:r>
              <w:rPr>
                <w:rFonts w:ascii="Cambria Math" w:hAnsi="Cambria Math"/>
                <w:b w:val="0"/>
                <w:i/>
                <w:color w:val="000000"/>
                <w:sz w:val="21"/>
              </w:rPr>
              <w:t>Δp</w:t>
            </w:r>
            <w:r>
              <w:rPr>
                <w:rFonts w:ascii="Cambria Math" w:hAnsi="Cambria Math"/>
                <w:b w:val="0"/>
                <w:i w:val="0"/>
                <w:color w:val="000000"/>
                <w:sz w:val="21"/>
              </w:rPr>
              <w:t xml:space="preserve"> = −(</w:t>
            </w:r>
            <w:r>
              <w:rPr>
                <w:rFonts w:ascii="Cambria Math" w:hAnsi="Cambria Math"/>
                <w:b w:val="0"/>
                <w:i/>
                <w:color w:val="000000"/>
                <w:sz w:val="21"/>
              </w:rPr>
              <w:t>pγ/V</w:t>
            </w:r>
            <w:r>
              <w:rPr>
                <w:rFonts w:ascii="Cambria Math" w:hAnsi="Cambria Math"/>
                <w:b w:val="0"/>
                <w:i w:val="0"/>
                <w:color w:val="000000"/>
                <w:sz w:val="21"/>
              </w:rPr>
              <w:t>)</w:t>
            </w:r>
            <w:r>
              <w:rPr>
                <w:rFonts w:ascii="Cambria Math" w:hAnsi="Cambria Math"/>
                <w:b w:val="0"/>
                <w:i/>
                <w:color w:val="000000"/>
                <w:sz w:val="21"/>
              </w:rPr>
              <w:t>ΔV</w:t>
            </w:r>
            <w:r>
              <w:rPr>
                <w:rFonts w:ascii="Cambria Math" w:hAnsi="Cambria Math"/>
                <w:b w:val="0"/>
                <w:i w:val="0"/>
                <w:color w:val="000000"/>
                <w:sz w:val="21"/>
              </w:rPr>
              <w:t xml:space="preserve">     con     </w:t>
            </w:r>
            <w:r>
              <w:rPr>
                <w:rFonts w:ascii="Cambria Math" w:hAnsi="Cambria Math"/>
                <w:b w:val="0"/>
                <w:i/>
                <w:color w:val="000000"/>
                <w:sz w:val="21"/>
              </w:rPr>
              <w:t>ΔV</w:t>
            </w:r>
            <w:r>
              <w:rPr>
                <w:rFonts w:ascii="Cambria Math" w:hAnsi="Cambria Math"/>
                <w:b w:val="0"/>
                <w:i w:val="0"/>
                <w:color w:val="000000"/>
                <w:sz w:val="21"/>
              </w:rPr>
              <w:t xml:space="preserve"> = </w:t>
            </w:r>
            <w:r>
              <w:rPr>
                <w:rFonts w:ascii="Cambria Math" w:hAnsi="Cambria Math"/>
                <w:b w:val="0"/>
                <w:i/>
                <w:color w:val="000000"/>
                <w:sz w:val="21"/>
              </w:rPr>
              <w:t>πr²x</w:t>
            </w:r>
          </w:p>
        </w:tc>
        <w:tc>
          <w:tcPr>
            <w:tcW w:type="dxa" w:w="1400"/>
            <w:vAlign w:val="center"/>
            <w:tcMar>
              <w:top w:w="0" w:type="dxa"/>
              <w:start w:w="0" w:type="dxa"/>
              <w:bottom w:w="0" w:type="dxa"/>
              <w:end w:w="0" w:type="dxa"/>
            </w:tcMar>
            <w:tcBorders>
              <w:top w:val="nil"/>
              <w:left w:val="nil"/>
              <w:bottom w:val="nil"/>
              <w:right w:val="nil"/>
              <w:insideH w:val="nil"/>
              <w:insideV w:val="nil"/>
            </w:tcBorders>
          </w:tcPr>
          <w:p>
            <w:pPr>
              <w:jc w:val="right"/>
            </w:pPr>
            <w:r>
              <w:rPr>
                <w:rFonts w:ascii="Times New Roman" w:hAnsi="Times New Roman"/>
                <w:b w:val="0"/>
                <w:i w:val="0"/>
                <w:color w:val="000000"/>
                <w:sz w:val="19"/>
              </w:rPr>
              <w:t>(4.3)</w:t>
            </w:r>
          </w:p>
        </w:tc>
      </w:tr>
    </w:tbl>
    <w:p>
      <w:pPr>
        <w:pStyle w:val="Textoindependiente"/>
        <w:keepNext w:val="0"/>
        <w:spacing w:before="0" w:after="60" w:line="240" w:lineRule="auto"/>
        <w:ind w:firstLine="0"/>
        <w:jc w:val="both"/>
      </w:pPr>
      <w:r>
        <w:rPr>
          <w:rFonts w:ascii="Times New Roman" w:hAnsi="Times New Roman"/>
          <w:b w:val="0"/>
          <w:i w:val="0"/>
          <w:color w:val="000000"/>
          <w:sz w:val="19"/>
        </w:rPr>
        <w:t>Al sustituir estas relaciones en la ecuación de movimiento se obtiene un oscilador armónico cuya frecuencia angular y periodo cumplen:</w:t>
      </w:r>
    </w:p>
    <w:tbl>
      <w:tblPr>
        <w:tblW w:type="auto" w:w="0"/>
        <w:jc w:val="center"/>
        <w:tblLayout w:type="fixed"/>
        <w:tblLook w:firstColumn="1" w:firstRow="1" w:lastColumn="0" w:lastRow="0" w:noHBand="0" w:noVBand="1" w:val="04A0"/>
      </w:tblPr>
      <w:tblGrid>
        <w:gridCol w:w="4680"/>
        <w:gridCol w:w="4680"/>
      </w:tblGrid>
      <w:tr>
        <w:tc>
          <w:tcPr>
            <w:tcW w:type="dxa" w:w="7600"/>
            <w:vAlign w:val="center"/>
            <w:tcMar>
              <w:top w:w="0" w:type="dxa"/>
              <w:start w:w="0" w:type="dxa"/>
              <w:bottom w:w="0" w:type="dxa"/>
              <w:end w:w="0" w:type="dxa"/>
            </w:tcMar>
            <w:tcBorders>
              <w:top w:val="nil"/>
              <w:left w:val="nil"/>
              <w:bottom w:val="nil"/>
              <w:right w:val="nil"/>
              <w:insideH w:val="nil"/>
              <w:insideV w:val="nil"/>
            </w:tcBorders>
          </w:tcPr>
          <w:p>
            <w:pPr>
              <w:spacing w:before="40" w:after="40"/>
              <w:jc w:val="center"/>
            </w:pPr>
            <w:r>
              <w:rPr>
                <w:rFonts w:ascii="Cambria Math" w:hAnsi="Cambria Math"/>
                <w:b w:val="0"/>
                <w:i/>
                <w:color w:val="000000"/>
                <w:sz w:val="21"/>
              </w:rPr>
              <w:t>ω²</w:t>
            </w:r>
            <w:r>
              <w:rPr>
                <w:rFonts w:ascii="Cambria Math" w:hAnsi="Cambria Math"/>
                <w:b w:val="0"/>
                <w:i w:val="0"/>
                <w:color w:val="000000"/>
                <w:sz w:val="21"/>
              </w:rPr>
              <w:t xml:space="preserve"> = </w:t>
            </w:r>
            <w:r>
              <w:rPr>
                <w:rFonts w:ascii="Cambria Math" w:hAnsi="Cambria Math"/>
                <w:b w:val="0"/>
                <w:i/>
                <w:color w:val="000000"/>
                <w:sz w:val="21"/>
              </w:rPr>
              <w:t>γπ²r⁴p/(mV)</w:t>
            </w:r>
            <w:r>
              <w:rPr>
                <w:rFonts w:ascii="Cambria Math" w:hAnsi="Cambria Math"/>
                <w:b w:val="0"/>
                <w:i w:val="0"/>
                <w:color w:val="000000"/>
                <w:sz w:val="21"/>
              </w:rPr>
              <w:t xml:space="preserve">     y     </w:t>
            </w:r>
            <w:r>
              <w:rPr>
                <w:rFonts w:ascii="Cambria Math" w:hAnsi="Cambria Math"/>
                <w:b w:val="0"/>
                <w:i/>
                <w:color w:val="000000"/>
                <w:sz w:val="21"/>
              </w:rPr>
              <w:t>T</w:t>
            </w:r>
            <w:r>
              <w:rPr>
                <w:rFonts w:ascii="Cambria Math" w:hAnsi="Cambria Math"/>
                <w:b w:val="0"/>
                <w:i w:val="0"/>
                <w:color w:val="000000"/>
                <w:sz w:val="21"/>
              </w:rPr>
              <w:t xml:space="preserve"> = </w:t>
            </w:r>
            <w:r>
              <w:rPr>
                <w:rFonts w:ascii="Cambria Math" w:hAnsi="Cambria Math"/>
                <w:b w:val="0"/>
                <w:i/>
                <w:color w:val="000000"/>
                <w:sz w:val="21"/>
              </w:rPr>
              <w:t>2π/ω</w:t>
            </w:r>
          </w:p>
        </w:tc>
        <w:tc>
          <w:tcPr>
            <w:tcW w:type="dxa" w:w="1400"/>
            <w:vAlign w:val="center"/>
            <w:tcMar>
              <w:top w:w="0" w:type="dxa"/>
              <w:start w:w="0" w:type="dxa"/>
              <w:bottom w:w="0" w:type="dxa"/>
              <w:end w:w="0" w:type="dxa"/>
            </w:tcMar>
            <w:tcBorders>
              <w:top w:val="nil"/>
              <w:left w:val="nil"/>
              <w:bottom w:val="nil"/>
              <w:right w:val="nil"/>
              <w:insideH w:val="nil"/>
              <w:insideV w:val="nil"/>
            </w:tcBorders>
          </w:tcPr>
          <w:p>
            <w:pPr>
              <w:jc w:val="right"/>
            </w:pPr>
            <w:r>
              <w:rPr>
                <w:rFonts w:ascii="Times New Roman" w:hAnsi="Times New Roman"/>
                <w:b w:val="0"/>
                <w:i w:val="0"/>
                <w:color w:val="000000"/>
                <w:sz w:val="19"/>
              </w:rPr>
              <w:t>(4.4)</w:t>
            </w:r>
          </w:p>
        </w:tc>
      </w:tr>
    </w:tbl>
    <w:p>
      <w:pPr>
        <w:pStyle w:val="Textoindependiente"/>
        <w:keepNext w:val="0"/>
        <w:spacing w:before="0" w:after="60" w:line="240" w:lineRule="auto"/>
        <w:ind w:firstLine="0"/>
        <w:jc w:val="both"/>
      </w:pPr>
      <w:r>
        <w:rPr>
          <w:rFonts w:ascii="Times New Roman" w:hAnsi="Times New Roman"/>
          <w:b w:val="0"/>
          <w:i w:val="0"/>
          <w:color w:val="000000"/>
          <w:sz w:val="19"/>
        </w:rPr>
        <w:t>Por tanto, el coeficiente adiabático se calcula mediante:</w:t>
      </w:r>
    </w:p>
    <w:tbl>
      <w:tblPr>
        <w:tblW w:type="auto" w:w="0"/>
        <w:jc w:val="center"/>
        <w:tblLayout w:type="fixed"/>
        <w:tblLook w:firstColumn="1" w:firstRow="1" w:lastColumn="0" w:lastRow="0" w:noHBand="0" w:noVBand="1" w:val="04A0"/>
      </w:tblPr>
      <w:tblGrid>
        <w:gridCol w:w="4680"/>
        <w:gridCol w:w="4680"/>
      </w:tblGrid>
      <w:tr>
        <w:tc>
          <w:tcPr>
            <w:tcW w:type="dxa" w:w="7600"/>
            <w:vAlign w:val="center"/>
            <w:tcMar>
              <w:top w:w="0" w:type="dxa"/>
              <w:start w:w="0" w:type="dxa"/>
              <w:bottom w:w="0" w:type="dxa"/>
              <w:end w:w="0" w:type="dxa"/>
            </w:tcMar>
            <w:tcBorders>
              <w:top w:val="nil"/>
              <w:left w:val="nil"/>
              <w:bottom w:val="nil"/>
              <w:right w:val="nil"/>
              <w:insideH w:val="nil"/>
              <w:insideV w:val="nil"/>
            </w:tcBorders>
          </w:tcPr>
          <w:p>
            <w:pPr>
              <w:spacing w:before="40" w:after="40"/>
              <w:jc w:val="center"/>
            </w:pPr>
            <w:r>
              <w:rPr>
                <w:rFonts w:ascii="Cambria Math" w:hAnsi="Cambria Math"/>
                <w:b w:val="0"/>
                <w:i/>
                <w:color w:val="000000"/>
                <w:sz w:val="21"/>
              </w:rPr>
              <w:t>γ</w:t>
            </w:r>
            <w:r>
              <w:rPr>
                <w:rFonts w:ascii="Cambria Math" w:hAnsi="Cambria Math"/>
                <w:b w:val="0"/>
                <w:i w:val="0"/>
                <w:color w:val="000000"/>
                <w:sz w:val="21"/>
              </w:rPr>
              <w:t xml:space="preserve"> = </w:t>
            </w:r>
            <w:r>
              <w:rPr>
                <w:rFonts w:ascii="Cambria Math" w:hAnsi="Cambria Math"/>
                <w:b w:val="0"/>
                <w:i/>
                <w:color w:val="000000"/>
                <w:sz w:val="21"/>
              </w:rPr>
              <w:t>4mV/(T²pr⁴)</w:t>
            </w:r>
          </w:p>
        </w:tc>
        <w:tc>
          <w:tcPr>
            <w:tcW w:type="dxa" w:w="1400"/>
            <w:vAlign w:val="center"/>
            <w:tcMar>
              <w:top w:w="0" w:type="dxa"/>
              <w:start w:w="0" w:type="dxa"/>
              <w:bottom w:w="0" w:type="dxa"/>
              <w:end w:w="0" w:type="dxa"/>
            </w:tcMar>
            <w:tcBorders>
              <w:top w:val="nil"/>
              <w:left w:val="nil"/>
              <w:bottom w:val="nil"/>
              <w:right w:val="nil"/>
              <w:insideH w:val="nil"/>
              <w:insideV w:val="nil"/>
            </w:tcBorders>
          </w:tcPr>
          <w:p>
            <w:pPr>
              <w:jc w:val="right"/>
            </w:pPr>
            <w:r>
              <w:rPr>
                <w:rFonts w:ascii="Times New Roman" w:hAnsi="Times New Roman"/>
                <w:b w:val="0"/>
                <w:i w:val="0"/>
                <w:color w:val="000000"/>
                <w:sz w:val="19"/>
              </w:rPr>
              <w:t>(4.5)</w:t>
            </w:r>
          </w:p>
        </w:tc>
      </w:tr>
    </w:tbl>
    <w:p>
      <w:r>
        <w:br w:type="page"/>
      </w:r>
    </w:p>
    <w:p>
      <w:pPr>
        <w:pStyle w:val="Ttulo2"/>
        <w:keepNext/>
        <w:spacing w:before="100" w:after="40"/>
      </w:pPr>
      <w:r>
        <w:rPr>
          <w:b/>
          <w:i/>
          <w:color w:val="000000"/>
          <w:sz w:val="20"/>
        </w:rPr>
        <w:t>Presión y grados de libertad</w:t>
      </w:r>
    </w:p>
    <w:p>
      <w:pPr>
        <w:pStyle w:val="Textoindependiente"/>
        <w:keepNext w:val="0"/>
        <w:spacing w:before="0" w:after="60" w:line="240" w:lineRule="auto"/>
        <w:ind w:firstLine="0"/>
        <w:jc w:val="both"/>
      </w:pPr>
      <w:r>
        <w:rPr>
          <w:rFonts w:ascii="Times New Roman" w:hAnsi="Times New Roman"/>
          <w:b w:val="0"/>
          <w:i w:val="0"/>
          <w:color w:val="000000"/>
          <w:sz w:val="19"/>
        </w:rPr>
        <w:t>La presión p del gas bajo el cilindro se obtiene igualando el peso del oscilador y la fuerza debida al exceso de presión respecto a la atmósfera:</w:t>
      </w:r>
    </w:p>
    <w:tbl>
      <w:tblPr>
        <w:tblW w:type="auto" w:w="0"/>
        <w:jc w:val="center"/>
        <w:tblLayout w:type="fixed"/>
        <w:tblLook w:firstColumn="1" w:firstRow="1" w:lastColumn="0" w:lastRow="0" w:noHBand="0" w:noVBand="1" w:val="04A0"/>
      </w:tblPr>
      <w:tblGrid>
        <w:gridCol w:w="4680"/>
        <w:gridCol w:w="4680"/>
      </w:tblGrid>
      <w:tr>
        <w:tc>
          <w:tcPr>
            <w:tcW w:type="dxa" w:w="7600"/>
            <w:vAlign w:val="center"/>
            <w:tcMar>
              <w:top w:w="0" w:type="dxa"/>
              <w:start w:w="0" w:type="dxa"/>
              <w:bottom w:w="0" w:type="dxa"/>
              <w:end w:w="0" w:type="dxa"/>
            </w:tcMar>
            <w:tcBorders>
              <w:top w:val="nil"/>
              <w:left w:val="nil"/>
              <w:bottom w:val="nil"/>
              <w:right w:val="nil"/>
              <w:insideH w:val="nil"/>
              <w:insideV w:val="nil"/>
            </w:tcBorders>
          </w:tcPr>
          <w:p>
            <w:pPr>
              <w:spacing w:before="40" w:after="40"/>
              <w:jc w:val="center"/>
            </w:pPr>
            <w:r>
              <w:rPr>
                <w:rFonts w:ascii="Cambria Math" w:hAnsi="Cambria Math"/>
                <w:b w:val="0"/>
                <w:i/>
                <w:color w:val="000000"/>
                <w:sz w:val="21"/>
              </w:rPr>
              <w:t>(p − p₀)πr²</w:t>
            </w:r>
            <w:r>
              <w:rPr>
                <w:rFonts w:ascii="Cambria Math" w:hAnsi="Cambria Math"/>
                <w:b w:val="0"/>
                <w:i w:val="0"/>
                <w:color w:val="000000"/>
                <w:sz w:val="21"/>
              </w:rPr>
              <w:t xml:space="preserve"> = </w:t>
            </w:r>
            <w:r>
              <w:rPr>
                <w:rFonts w:ascii="Cambria Math" w:hAnsi="Cambria Math"/>
                <w:b w:val="0"/>
                <w:i/>
                <w:color w:val="000000"/>
                <w:sz w:val="21"/>
              </w:rPr>
              <w:t>mg</w:t>
            </w:r>
            <w:r>
              <w:rPr>
                <w:rFonts w:ascii="Cambria Math" w:hAnsi="Cambria Math"/>
                <w:b w:val="0"/>
                <w:i w:val="0"/>
                <w:color w:val="000000"/>
                <w:sz w:val="21"/>
              </w:rPr>
              <w:t xml:space="preserve">     ⇒     </w:t>
            </w:r>
            <w:r>
              <w:rPr>
                <w:rFonts w:ascii="Cambria Math" w:hAnsi="Cambria Math"/>
                <w:b w:val="0"/>
                <w:i/>
                <w:color w:val="000000"/>
                <w:sz w:val="21"/>
              </w:rPr>
              <w:t>p</w:t>
            </w:r>
            <w:r>
              <w:rPr>
                <w:rFonts w:ascii="Cambria Math" w:hAnsi="Cambria Math"/>
                <w:b w:val="0"/>
                <w:i w:val="0"/>
                <w:color w:val="000000"/>
                <w:sz w:val="21"/>
              </w:rPr>
              <w:t xml:space="preserve"> = </w:t>
            </w:r>
            <w:r>
              <w:rPr>
                <w:rFonts w:ascii="Cambria Math" w:hAnsi="Cambria Math"/>
                <w:b w:val="0"/>
                <w:i/>
                <w:color w:val="000000"/>
                <w:sz w:val="21"/>
              </w:rPr>
              <w:t>p₀ + mg/(πr²)</w:t>
            </w:r>
          </w:p>
        </w:tc>
        <w:tc>
          <w:tcPr>
            <w:tcW w:type="dxa" w:w="1400"/>
            <w:vAlign w:val="center"/>
            <w:tcMar>
              <w:top w:w="0" w:type="dxa"/>
              <w:start w:w="0" w:type="dxa"/>
              <w:bottom w:w="0" w:type="dxa"/>
              <w:end w:w="0" w:type="dxa"/>
            </w:tcMar>
            <w:tcBorders>
              <w:top w:val="nil"/>
              <w:left w:val="nil"/>
              <w:bottom w:val="nil"/>
              <w:right w:val="nil"/>
              <w:insideH w:val="nil"/>
              <w:insideV w:val="nil"/>
            </w:tcBorders>
          </w:tcPr>
          <w:p>
            <w:pPr>
              <w:jc w:val="right"/>
            </w:pPr>
            <w:r>
              <w:rPr>
                <w:rFonts w:ascii="Times New Roman" w:hAnsi="Times New Roman"/>
                <w:b w:val="0"/>
                <w:i w:val="0"/>
                <w:color w:val="000000"/>
                <w:sz w:val="19"/>
              </w:rPr>
              <w:t>(4.6)</w:t>
            </w:r>
          </w:p>
        </w:tc>
      </w:tr>
    </w:tbl>
    <w:p>
      <w:pPr>
        <w:pStyle w:val="Textoindependiente"/>
        <w:keepNext w:val="0"/>
        <w:spacing w:before="0" w:after="60" w:line="240" w:lineRule="auto"/>
        <w:ind w:firstLine="0"/>
        <w:jc w:val="both"/>
      </w:pPr>
      <w:r>
        <w:rPr>
          <w:rFonts w:ascii="Times New Roman" w:hAnsi="Times New Roman"/>
          <w:b w:val="0"/>
          <w:i w:val="0"/>
          <w:color w:val="000000"/>
          <w:sz w:val="19"/>
        </w:rPr>
        <w:t>Según la teoría cinética de los gases, γ es el cociente entre las capacidades caloríficas a presión constante y a volumen constante. Para un gas ideal con ν grados de libertad activos por molécula:</w:t>
      </w:r>
    </w:p>
    <w:tbl>
      <w:tblPr>
        <w:tblW w:type="auto" w:w="0"/>
        <w:jc w:val="center"/>
        <w:tblLayout w:type="fixed"/>
        <w:tblLook w:firstColumn="1" w:firstRow="1" w:lastColumn="0" w:lastRow="0" w:noHBand="0" w:noVBand="1" w:val="04A0"/>
      </w:tblPr>
      <w:tblGrid>
        <w:gridCol w:w="4680"/>
        <w:gridCol w:w="4680"/>
      </w:tblGrid>
      <w:tr>
        <w:tc>
          <w:tcPr>
            <w:tcW w:type="dxa" w:w="7600"/>
            <w:vAlign w:val="center"/>
            <w:tcMar>
              <w:top w:w="0" w:type="dxa"/>
              <w:start w:w="0" w:type="dxa"/>
              <w:bottom w:w="0" w:type="dxa"/>
              <w:end w:w="0" w:type="dxa"/>
            </w:tcMar>
            <w:tcBorders>
              <w:top w:val="nil"/>
              <w:left w:val="nil"/>
              <w:bottom w:val="nil"/>
              <w:right w:val="nil"/>
              <w:insideH w:val="nil"/>
              <w:insideV w:val="nil"/>
            </w:tcBorders>
          </w:tcPr>
          <w:p>
            <w:pPr>
              <w:spacing w:before="40" w:after="40"/>
              <w:jc w:val="center"/>
            </w:pPr>
            <w:r>
              <w:rPr>
                <w:rFonts w:ascii="Cambria Math" w:hAnsi="Cambria Math"/>
                <w:b w:val="0"/>
                <w:i/>
                <w:color w:val="000000"/>
                <w:sz w:val="21"/>
              </w:rPr>
              <w:t>γ</w:t>
            </w:r>
            <w:r>
              <w:rPr>
                <w:rFonts w:ascii="Cambria Math" w:hAnsi="Cambria Math"/>
                <w:b w:val="0"/>
                <w:i w:val="0"/>
                <w:color w:val="000000"/>
                <w:sz w:val="21"/>
              </w:rPr>
              <w:t xml:space="preserve"> = </w:t>
            </w:r>
            <w:r>
              <w:rPr>
                <w:rFonts w:ascii="Cambria Math" w:hAnsi="Cambria Math"/>
                <w:b w:val="0"/>
                <w:i/>
                <w:color w:val="000000"/>
                <w:sz w:val="21"/>
              </w:rPr>
              <w:t>Cₚ/Cᵥ</w:t>
            </w:r>
            <w:r>
              <w:rPr>
                <w:rFonts w:ascii="Cambria Math" w:hAnsi="Cambria Math"/>
                <w:b w:val="0"/>
                <w:i w:val="0"/>
                <w:color w:val="000000"/>
                <w:sz w:val="21"/>
              </w:rPr>
              <w:t xml:space="preserve"> = 1 + </w:t>
            </w:r>
            <w:r>
              <w:rPr>
                <w:rFonts w:ascii="Cambria Math" w:hAnsi="Cambria Math"/>
                <w:b w:val="0"/>
                <w:i/>
                <w:color w:val="000000"/>
                <w:sz w:val="21"/>
              </w:rPr>
              <w:t>2/ν</w:t>
            </w:r>
            <w:r>
              <w:rPr>
                <w:rFonts w:ascii="Cambria Math" w:hAnsi="Cambria Math"/>
                <w:b w:val="0"/>
                <w:i w:val="0"/>
                <w:color w:val="000000"/>
                <w:sz w:val="21"/>
              </w:rPr>
              <w:t xml:space="preserve">     ⇒     </w:t>
            </w:r>
            <w:r>
              <w:rPr>
                <w:rFonts w:ascii="Cambria Math" w:hAnsi="Cambria Math"/>
                <w:b w:val="0"/>
                <w:i/>
                <w:color w:val="000000"/>
                <w:sz w:val="21"/>
              </w:rPr>
              <w:t>ν</w:t>
            </w:r>
            <w:r>
              <w:rPr>
                <w:rFonts w:ascii="Cambria Math" w:hAnsi="Cambria Math"/>
                <w:b w:val="0"/>
                <w:i w:val="0"/>
                <w:color w:val="000000"/>
                <w:sz w:val="21"/>
              </w:rPr>
              <w:t xml:space="preserve"> = </w:t>
            </w:r>
            <w:r>
              <w:rPr>
                <w:rFonts w:ascii="Cambria Math" w:hAnsi="Cambria Math"/>
                <w:b w:val="0"/>
                <w:i/>
                <w:color w:val="000000"/>
                <w:sz w:val="21"/>
              </w:rPr>
              <w:t>2/(γ − 1)</w:t>
            </w:r>
          </w:p>
        </w:tc>
        <w:tc>
          <w:tcPr>
            <w:tcW w:type="dxa" w:w="1400"/>
            <w:vAlign w:val="center"/>
            <w:tcMar>
              <w:top w:w="0" w:type="dxa"/>
              <w:start w:w="0" w:type="dxa"/>
              <w:bottom w:w="0" w:type="dxa"/>
              <w:end w:w="0" w:type="dxa"/>
            </w:tcMar>
            <w:tcBorders>
              <w:top w:val="nil"/>
              <w:left w:val="nil"/>
              <w:bottom w:val="nil"/>
              <w:right w:val="nil"/>
              <w:insideH w:val="nil"/>
              <w:insideV w:val="nil"/>
            </w:tcBorders>
          </w:tcPr>
          <w:p>
            <w:pPr>
              <w:jc w:val="right"/>
            </w:pPr>
            <w:r>
              <w:rPr>
                <w:rFonts w:ascii="Times New Roman" w:hAnsi="Times New Roman"/>
                <w:b w:val="0"/>
                <w:i w:val="0"/>
                <w:color w:val="000000"/>
                <w:sz w:val="19"/>
              </w:rPr>
              <w:t>(4.7)</w:t>
            </w:r>
          </w:p>
        </w:tc>
      </w:tr>
    </w:tbl>
    <w:p>
      <w:pPr>
        <w:pStyle w:val="Textoindependiente"/>
        <w:keepNext w:val="0"/>
        <w:spacing w:before="0" w:after="60" w:line="240" w:lineRule="auto"/>
        <w:ind w:firstLine="0"/>
        <w:jc w:val="both"/>
      </w:pPr>
      <w:r>
        <w:rPr>
          <w:rFonts w:ascii="Times New Roman" w:hAnsi="Times New Roman"/>
          <w:b w:val="0"/>
          <w:i w:val="0"/>
          <w:color w:val="000000"/>
          <w:sz w:val="19"/>
        </w:rPr>
        <w:t>Un gas monoatómico posee tres grados de libertad traslacionales, mientras que un gas diatómico presenta, en condiciones ordinarias, tres grados traslacionales y dos rotacionales.</w:t>
      </w:r>
    </w:p>
    <w:p>
      <w:pPr>
        <w:pStyle w:val="Ttulo2"/>
        <w:keepNext/>
        <w:spacing w:before="100" w:after="40"/>
      </w:pPr>
      <w:r>
        <w:rPr>
          <w:b/>
          <w:i/>
          <w:color w:val="000000"/>
          <w:sz w:val="20"/>
        </w:rPr>
        <w:t>Montaje experimental</w:t>
      </w:r>
    </w:p>
    <w:p>
      <w:pPr>
        <w:spacing w:after="40"/>
        <w:jc w:val="center"/>
      </w:pPr>
      <w:r>
        <w:drawing>
          <wp:inline xmlns:a="http://schemas.openxmlformats.org/drawingml/2006/main" xmlns:pic="http://schemas.openxmlformats.org/drawingml/2006/picture">
            <wp:extent cx="3886200" cy="2949414"/>
            <wp:docPr id="1" name="Picture 1"/>
            <wp:cNvGraphicFramePr>
              <a:graphicFrameLocks noChangeAspect="1"/>
            </wp:cNvGraphicFramePr>
            <a:graphic>
              <a:graphicData uri="http://schemas.openxmlformats.org/drawingml/2006/picture">
                <pic:pic>
                  <pic:nvPicPr>
                    <pic:cNvPr id="0" name="img-000.jpg"/>
                    <pic:cNvPicPr/>
                  </pic:nvPicPr>
                  <pic:blipFill>
                    <a:blip r:embed="rId17"/>
                    <a:stretch>
                      <a:fillRect/>
                    </a:stretch>
                  </pic:blipFill>
                  <pic:spPr>
                    <a:xfrm>
                      <a:off x="0" y="0"/>
                      <a:ext cx="3886200" cy="2949414"/>
                    </a:xfrm>
                    <a:prstGeom prst="rect"/>
                  </pic:spPr>
                </pic:pic>
              </a:graphicData>
            </a:graphic>
          </wp:inline>
        </w:drawing>
      </w:r>
    </w:p>
    <w:p>
      <w:pPr>
        <w:pStyle w:val="Descripcin"/>
        <w:spacing w:after="80"/>
        <w:jc w:val="center"/>
      </w:pPr>
      <w:r>
        <w:rPr>
          <w:rFonts w:ascii="Times New Roman" w:hAnsi="Times New Roman"/>
          <w:b w:val="0"/>
          <w:i/>
          <w:color w:val="000000"/>
          <w:sz w:val="17"/>
        </w:rPr>
        <w:t>Figura 1. Montaje experimental del oscilador de Flammersfeld.</w:t>
      </w:r>
    </w:p>
    <w:p>
      <w:pPr>
        <w:pStyle w:val="Textoindependiente"/>
        <w:keepNext w:val="0"/>
        <w:spacing w:before="0" w:after="60" w:line="240" w:lineRule="auto"/>
        <w:ind w:firstLine="0"/>
        <w:jc w:val="both"/>
      </w:pPr>
      <w:r>
        <w:rPr>
          <w:rFonts w:ascii="Times New Roman" w:hAnsi="Times New Roman"/>
          <w:b w:val="0"/>
          <w:i w:val="0"/>
          <w:color w:val="000000"/>
          <w:sz w:val="19"/>
        </w:rPr>
        <w:t>La bomba genera la presión necesaria. Una botella aspiradora actúa como amortiguador y un tubo con algodón hidrófilo retiene la humedad. El tubo de precisión debe estar limpio y vertical, y la barrera fotodetectora debe colocarse de forma que cuente oscilaciones completas.</w:t>
      </w:r>
    </w:p>
    <w:p>
      <w:pPr>
        <w:pStyle w:val="Textoindependiente"/>
        <w:keepNext w:val="0"/>
        <w:spacing w:before="0" w:after="60" w:line="240" w:lineRule="auto"/>
        <w:ind w:firstLine="0"/>
        <w:jc w:val="both"/>
      </w:pPr>
      <w:r>
        <w:rPr>
          <w:rFonts w:ascii="Times New Roman" w:hAnsi="Times New Roman"/>
          <w:b w:val="0"/>
          <w:i w:val="0"/>
          <w:color w:val="000000"/>
          <w:sz w:val="19"/>
        </w:rPr>
        <w:t>Con la válvula se ajusta el caudal hasta obtener una oscilación de amplitud aproximadamente constante y simétrica respecto a la abertura central, utilizando como referencia los anillos azules.</w:t>
      </w:r>
    </w:p>
    <w:p>
      <w:pPr>
        <w:pStyle w:val="Textoindependiente"/>
        <w:keepNext w:val="0"/>
        <w:spacing w:before="0" w:after="60" w:line="240" w:lineRule="auto"/>
        <w:ind w:firstLine="0"/>
        <w:jc w:val="both"/>
      </w:pPr>
      <w:r>
        <w:rPr>
          <w:rFonts w:ascii="Times New Roman" w:hAnsi="Times New Roman"/>
          <w:b/>
          <w:i w:val="0"/>
          <w:color w:val="000000"/>
          <w:sz w:val="19"/>
        </w:rPr>
        <w:t xml:space="preserve">Advertencia: </w:t>
      </w:r>
      <w:r>
        <w:rPr>
          <w:rFonts w:ascii="Times New Roman" w:hAnsi="Times New Roman"/>
          <w:b w:val="0"/>
          <w:i w:val="0"/>
          <w:color w:val="000000"/>
          <w:sz w:val="19"/>
        </w:rPr>
        <w:t>el cilindro es un elemento de precisión. Debe introducirse después de establecer el flujo de gas, cubriendo suavemente la entrada del tubo hasta estabilizar la amplitud, para evitar que sea expulsado violentamente.</w:t>
      </w:r>
    </w:p>
    <w:p>
      <w:r>
        <w:br w:type="page"/>
      </w:r>
    </w:p>
    <w:p>
      <w:pPr>
        <w:pStyle w:val="Ttulo2"/>
        <w:keepNext/>
        <w:spacing w:before="100" w:after="40"/>
      </w:pPr>
      <w:r>
        <w:rPr>
          <w:b/>
          <w:i/>
          <w:color w:val="000000"/>
          <w:sz w:val="20"/>
        </w:rPr>
        <w:t>Resultados</w:t>
      </w:r>
    </w:p>
    <w:p>
      <w:pPr>
        <w:pStyle w:val="Textoindependiente"/>
        <w:keepNext/>
        <w:spacing w:before="0" w:after="60" w:line="240" w:lineRule="auto"/>
        <w:ind w:firstLine="0"/>
        <w:jc w:val="both"/>
      </w:pPr>
      <w:r>
        <w:rPr>
          <w:rFonts w:ascii="Times New Roman" w:hAnsi="Times New Roman"/>
          <w:b w:val="0"/>
          <w:i w:val="0"/>
          <w:color w:val="000000"/>
          <w:sz w:val="19"/>
        </w:rPr>
        <w:t>1. Mida las magnitudes geométricas y mecánicas del montaje con sus incertidumbres. Mida el diámetro d = 2r con el calibre y calcule el radio r = d/2.</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7"/>
              </w:rPr>
              <w:t>m ± εm (kg)</w:t>
            </w:r>
          </w:p>
        </w:tc>
        <w:tc>
          <w:tcPr>
            <w:tcW w:type="dxa" w:w="23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r>
          </w:p>
        </w:tc>
        <w:tc>
          <w:tcPr>
            <w:tcW w:type="dxa" w:w="22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7"/>
              </w:rPr>
              <w:t>d ± εd (m)</w:t>
            </w:r>
          </w:p>
        </w:tc>
        <w:tc>
          <w:tcPr>
            <w:tcW w:type="dxa" w:w="2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r>
          </w:p>
        </w:tc>
      </w:tr>
      <w:tr>
        <w:tc>
          <w:tcPr>
            <w:tcW w:type="dxa" w:w="2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7"/>
              </w:rPr>
              <w:t>r ± εr (m)</w:t>
            </w:r>
          </w:p>
        </w:tc>
        <w:tc>
          <w:tcPr>
            <w:tcW w:type="dxa" w:w="23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r>
          </w:p>
        </w:tc>
        <w:tc>
          <w:tcPr>
            <w:tcW w:type="dxa" w:w="22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7"/>
              </w:rPr>
              <w:t>V ± εV (m³)</w:t>
            </w:r>
          </w:p>
        </w:tc>
        <w:tc>
          <w:tcPr>
            <w:tcW w:type="dxa" w:w="2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r>
          </w:p>
        </w:tc>
      </w:tr>
      <w:tr>
        <w:tc>
          <w:tcPr>
            <w:tcW w:type="dxa" w:w="2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7"/>
              </w:rPr>
              <w:t>p₀ ± εp₀ (Pa)</w:t>
            </w:r>
          </w:p>
        </w:tc>
        <w:tc>
          <w:tcPr>
            <w:tcW w:type="dxa" w:w="23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r>
          </w:p>
        </w:tc>
        <w:tc>
          <w:tcPr>
            <w:tcW w:type="dxa" w:w="22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7"/>
              </w:rPr>
              <w:t>g (m·s⁻²)</w:t>
            </w:r>
          </w:p>
        </w:tc>
        <w:tc>
          <w:tcPr>
            <w:tcW w:type="dxa" w:w="2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9,81</w:t>
            </w:r>
          </w:p>
        </w:tc>
      </w:tr>
      <w:tr>
        <w:tc>
          <w:tcPr>
            <w:tcW w:type="dxa" w:w="2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7"/>
              </w:rPr>
              <w:t>εcronómetro (s)</w:t>
            </w:r>
          </w:p>
        </w:tc>
        <w:tc>
          <w:tcPr>
            <w:tcW w:type="dxa" w:w="23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r>
          </w:p>
        </w:tc>
        <w:tc>
          <w:tcPr>
            <w:tcW w:type="dxa" w:w="22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7"/>
              </w:rPr>
              <w:t>Número de medidas n</w:t>
            </w:r>
          </w:p>
        </w:tc>
        <w:tc>
          <w:tcPr>
            <w:tcW w:type="dxa" w:w="2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10</w:t>
            </w:r>
          </w:p>
        </w:tc>
      </w:tr>
    </w:tbl>
    <w:p>
      <w:pPr>
        <w:pStyle w:val="Textoindependiente"/>
        <w:keepNext w:val="0"/>
        <w:spacing w:before="0" w:after="60" w:line="240" w:lineRule="auto"/>
        <w:ind w:firstLine="0"/>
        <w:jc w:val="both"/>
      </w:pPr>
    </w:p>
    <w:p>
      <w:pPr>
        <w:pStyle w:val="Textoindependiente"/>
        <w:keepNext w:val="0"/>
        <w:spacing w:before="0" w:after="20" w:line="240" w:lineRule="auto"/>
        <w:ind w:firstLine="0"/>
        <w:jc w:val="both"/>
      </w:pPr>
      <w:r>
        <w:rPr>
          <w:rFonts w:ascii="Times New Roman" w:hAnsi="Times New Roman"/>
          <w:b/>
          <w:i w:val="0"/>
          <w:color w:val="000000"/>
          <w:sz w:val="19"/>
        </w:rPr>
        <w:t xml:space="preserve">Cálculo de r y εr:  </w:t>
      </w:r>
      <w:r>
        <w:rPr>
          <w:rFonts w:ascii="Times New Roman" w:hAnsi="Times New Roman"/>
          <w:b w:val="0"/>
          <w:i w:val="0"/>
          <w:color w:val="000000"/>
          <w:sz w:val="19"/>
        </w:rPr>
        <w:t>r = d/2    y    εr = εd/2</w:t>
      </w:r>
    </w:p>
    <w:p>
      <w:pPr>
        <w:pStyle w:val="Textoindependiente"/>
        <w:keepNext w:val="0"/>
        <w:spacing w:before="0" w:after="320" w:line="240" w:lineRule="auto"/>
        <w:ind w:firstLine="0"/>
        <w:jc w:val="both"/>
      </w:pPr>
    </w:p>
    <w:p>
      <w:pPr>
        <w:pStyle w:val="Textoindependiente"/>
        <w:keepNext/>
        <w:spacing w:before="0" w:after="60" w:line="240" w:lineRule="auto"/>
        <w:ind w:firstLine="0"/>
        <w:jc w:val="both"/>
      </w:pPr>
      <w:r>
        <w:rPr>
          <w:rFonts w:ascii="Times New Roman" w:hAnsi="Times New Roman"/>
          <w:b w:val="0"/>
          <w:i w:val="0"/>
          <w:color w:val="000000"/>
          <w:sz w:val="19"/>
        </w:rPr>
        <w:t>2. Realice un mínimo de diez medidas independientes del tiempo t₃₀₀ necesario para completar 300 oscilaciones.</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4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7"/>
              </w:rPr>
              <w:t>Medida</w:t>
            </w:r>
          </w:p>
        </w:tc>
        <w:tc>
          <w:tcPr>
            <w:tcW w:type="dxa" w:w="3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7"/>
              </w:rPr>
              <w:t>t₃₀₀ (s)</w:t>
            </w:r>
          </w:p>
        </w:tc>
        <w:tc>
          <w:tcPr>
            <w:tcW w:type="dxa" w:w="14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7"/>
              </w:rPr>
              <w:t>Medida</w:t>
            </w:r>
          </w:p>
        </w:tc>
        <w:tc>
          <w:tcPr>
            <w:tcW w:type="dxa" w:w="3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7"/>
              </w:rPr>
              <w:t>t₃₀₀ (s)</w:t>
            </w:r>
          </w:p>
        </w:tc>
      </w:tr>
      <w:tr>
        <w:trPr>
          <w:trHeight w:val="442" w:hRule="atLeast"/>
        </w:trPr>
        <w:tc>
          <w:tcPr>
            <w:tcW w:type="dxa" w:w="14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1</w:t>
            </w:r>
          </w:p>
        </w:tc>
        <w:tc>
          <w:tcPr>
            <w:tcW w:type="dxa" w:w="3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6</w:t>
            </w:r>
          </w:p>
        </w:tc>
        <w:tc>
          <w:tcPr>
            <w:tcW w:type="dxa" w:w="3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442" w:hRule="atLeast"/>
        </w:trPr>
        <w:tc>
          <w:tcPr>
            <w:tcW w:type="dxa" w:w="14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2</w:t>
            </w:r>
          </w:p>
        </w:tc>
        <w:tc>
          <w:tcPr>
            <w:tcW w:type="dxa" w:w="3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7</w:t>
            </w:r>
          </w:p>
        </w:tc>
        <w:tc>
          <w:tcPr>
            <w:tcW w:type="dxa" w:w="3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442" w:hRule="atLeast"/>
        </w:trPr>
        <w:tc>
          <w:tcPr>
            <w:tcW w:type="dxa" w:w="14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3</w:t>
            </w:r>
          </w:p>
        </w:tc>
        <w:tc>
          <w:tcPr>
            <w:tcW w:type="dxa" w:w="3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8</w:t>
            </w:r>
          </w:p>
        </w:tc>
        <w:tc>
          <w:tcPr>
            <w:tcW w:type="dxa" w:w="3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442" w:hRule="atLeast"/>
        </w:trPr>
        <w:tc>
          <w:tcPr>
            <w:tcW w:type="dxa" w:w="14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4</w:t>
            </w:r>
          </w:p>
        </w:tc>
        <w:tc>
          <w:tcPr>
            <w:tcW w:type="dxa" w:w="3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9</w:t>
            </w:r>
          </w:p>
        </w:tc>
        <w:tc>
          <w:tcPr>
            <w:tcW w:type="dxa" w:w="3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442" w:hRule="atLeast"/>
        </w:trPr>
        <w:tc>
          <w:tcPr>
            <w:tcW w:type="dxa" w:w="14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5</w:t>
            </w:r>
          </w:p>
        </w:tc>
        <w:tc>
          <w:tcPr>
            <w:tcW w:type="dxa" w:w="3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10</w:t>
            </w:r>
          </w:p>
        </w:tc>
        <w:tc>
          <w:tcPr>
            <w:tcW w:type="dxa" w:w="30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bl>
    <w:p>
      <w:pPr>
        <w:pStyle w:val="Textoindependiente"/>
        <w:keepNext w:val="0"/>
        <w:spacing w:before="0" w:after="80" w:line="240" w:lineRule="auto"/>
        <w:ind w:firstLine="0"/>
        <w:jc w:val="both"/>
      </w:pPr>
    </w:p>
    <w:p>
      <w:pPr>
        <w:pStyle w:val="Textoindependiente"/>
        <w:keepNext/>
        <w:spacing w:before="0" w:after="60" w:line="240" w:lineRule="auto"/>
        <w:ind w:firstLine="0"/>
        <w:jc w:val="both"/>
      </w:pPr>
      <w:r>
        <w:rPr>
          <w:rFonts w:ascii="Times New Roman" w:hAnsi="Times New Roman"/>
          <w:b w:val="0"/>
          <w:i w:val="0"/>
          <w:color w:val="000000"/>
          <w:sz w:val="19"/>
        </w:rPr>
        <w:t>Calcule el valor medio, la desviación típica y la incertidumbre del tiempo medio.</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t̄₃₀₀ ± εt̄₃₀₀ (s)</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s(t₃₀₀) (s)</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r>
      <w:tr>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T ± εT (s)</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Número de oscilaciones</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t>300</w:t>
            </w:r>
          </w:p>
        </w:tc>
      </w:tr>
    </w:tbl>
    <w:tbl>
      <w:tblPr>
        <w:tblW w:type="auto" w:w="0"/>
        <w:jc w:val="center"/>
        <w:tblLayout w:type="fixed"/>
        <w:tblLook w:firstColumn="1" w:firstRow="1" w:lastColumn="0" w:lastRow="0" w:noHBand="0" w:noVBand="1" w:val="04A0"/>
      </w:tblPr>
      <w:tblGrid>
        <w:gridCol w:w="9360"/>
      </w:tblGrid>
      <w:tr>
        <w:tc>
          <w:tcPr>
            <w:tcW w:type="dxa" w:w="9000"/>
            <w:vAlign w:val="center"/>
            <w:tcMar>
              <w:top w:w="0" w:type="dxa"/>
              <w:start w:w="0" w:type="dxa"/>
              <w:bottom w:w="0" w:type="dxa"/>
              <w:end w:w="0" w:type="dxa"/>
            </w:tcMar>
            <w:tcBorders>
              <w:top w:val="nil"/>
              <w:left w:val="nil"/>
              <w:bottom w:val="nil"/>
              <w:right w:val="nil"/>
              <w:insideH w:val="nil"/>
              <w:insideV w:val="nil"/>
            </w:tcBorders>
          </w:tcPr>
          <w:p>
            <w:pPr>
              <w:spacing w:before="40" w:after="40"/>
              <w:jc w:val="center"/>
            </w:pPr>
            <w:r>
              <w:rPr>
                <w:rFonts w:ascii="Cambria Math" w:hAnsi="Cambria Math"/>
                <w:b w:val="0"/>
                <w:i/>
                <w:color w:val="000000"/>
                <w:sz w:val="21"/>
              </w:rPr>
              <w:t>T</w:t>
            </w:r>
            <w:r>
              <w:rPr>
                <w:rFonts w:ascii="Cambria Math" w:hAnsi="Cambria Math"/>
                <w:b w:val="0"/>
                <w:i w:val="0"/>
                <w:color w:val="000000"/>
                <w:sz w:val="21"/>
              </w:rPr>
              <w:t xml:space="preserve"> = </w:t>
            </w:r>
            <w:r>
              <w:rPr>
                <w:rFonts w:ascii="Cambria Math" w:hAnsi="Cambria Math"/>
                <w:b w:val="0"/>
                <w:i/>
                <w:color w:val="000000"/>
                <w:sz w:val="21"/>
              </w:rPr>
              <w:t>t̄₃₀₀/300</w:t>
            </w:r>
            <w:r>
              <w:rPr>
                <w:rFonts w:ascii="Cambria Math" w:hAnsi="Cambria Math"/>
                <w:b w:val="0"/>
                <w:i w:val="0"/>
                <w:color w:val="000000"/>
                <w:sz w:val="21"/>
              </w:rPr>
              <w:t xml:space="preserve">     y     </w:t>
            </w:r>
            <w:r>
              <w:rPr>
                <w:rFonts w:ascii="Cambria Math" w:hAnsi="Cambria Math"/>
                <w:b w:val="0"/>
                <w:i/>
                <w:color w:val="000000"/>
                <w:sz w:val="21"/>
              </w:rPr>
              <w:t>εT</w:t>
            </w:r>
            <w:r>
              <w:rPr>
                <w:rFonts w:ascii="Cambria Math" w:hAnsi="Cambria Math"/>
                <w:b w:val="0"/>
                <w:i w:val="0"/>
                <w:color w:val="000000"/>
                <w:sz w:val="21"/>
              </w:rPr>
              <w:t xml:space="preserve"> = </w:t>
            </w:r>
            <w:r>
              <w:rPr>
                <w:rFonts w:ascii="Cambria Math" w:hAnsi="Cambria Math"/>
                <w:b w:val="0"/>
                <w:i/>
                <w:color w:val="000000"/>
                <w:sz w:val="21"/>
              </w:rPr>
              <w:t>εt̄₃₀₀/300</w:t>
            </w:r>
          </w:p>
        </w:tc>
      </w:tr>
    </w:tbl>
    <w:p>
      <w:pPr>
        <w:pStyle w:val="Textoindependiente"/>
        <w:keepNext w:val="0"/>
        <w:spacing w:before="0" w:after="20" w:line="240" w:lineRule="auto"/>
        <w:ind w:firstLine="0"/>
        <w:jc w:val="both"/>
      </w:pPr>
      <w:r>
        <w:rPr>
          <w:rFonts w:ascii="Times New Roman" w:hAnsi="Times New Roman"/>
          <w:b/>
          <w:i w:val="0"/>
          <w:color w:val="000000"/>
          <w:sz w:val="19"/>
        </w:rPr>
        <w:t>Cálculo del periodo y de su incertidumbre:</w:t>
      </w:r>
    </w:p>
    <w:p>
      <w:pPr>
        <w:pStyle w:val="Textoindependiente"/>
        <w:keepNext w:val="0"/>
        <w:spacing w:before="0" w:after="680" w:line="240" w:lineRule="auto"/>
        <w:ind w:firstLine="0"/>
        <w:jc w:val="both"/>
      </w:pPr>
    </w:p>
    <w:p>
      <w:r>
        <w:br w:type="page"/>
      </w:r>
    </w:p>
    <w:p>
      <w:pPr>
        <w:pStyle w:val="Ttulo2"/>
        <w:keepNext/>
        <w:spacing w:before="100" w:after="40"/>
      </w:pPr>
      <w:r>
        <w:rPr>
          <w:b/>
          <w:i/>
          <w:color w:val="000000"/>
          <w:sz w:val="20"/>
        </w:rPr>
        <w:t>Cálculo del coeficiente adiabático</w:t>
      </w:r>
    </w:p>
    <w:p>
      <w:pPr>
        <w:pStyle w:val="Textoindependiente"/>
        <w:keepNext/>
        <w:spacing w:before="0" w:after="60" w:line="240" w:lineRule="auto"/>
        <w:ind w:firstLine="0"/>
        <w:jc w:val="both"/>
      </w:pPr>
      <w:r>
        <w:rPr>
          <w:rFonts w:ascii="Times New Roman" w:hAnsi="Times New Roman"/>
          <w:b w:val="0"/>
          <w:i w:val="0"/>
          <w:color w:val="000000"/>
          <w:sz w:val="19"/>
        </w:rPr>
        <w:t>3. Calcule primero la presión del gas bajo el cilindro y su incertidumbre.</w:t>
      </w:r>
    </w:p>
    <w:tbl>
      <w:tblPr>
        <w:tblW w:type="auto" w:w="0"/>
        <w:jc w:val="center"/>
        <w:tblLayout w:type="fixed"/>
        <w:tblLook w:firstColumn="1" w:firstRow="1" w:lastColumn="0" w:lastRow="0" w:noHBand="0" w:noVBand="1" w:val="04A0"/>
      </w:tblPr>
      <w:tblGrid>
        <w:gridCol w:w="9360"/>
      </w:tblGrid>
      <w:tr>
        <w:tc>
          <w:tcPr>
            <w:tcW w:type="dxa" w:w="9000"/>
            <w:vAlign w:val="center"/>
            <w:tcMar>
              <w:top w:w="0" w:type="dxa"/>
              <w:start w:w="0" w:type="dxa"/>
              <w:bottom w:w="0" w:type="dxa"/>
              <w:end w:w="0" w:type="dxa"/>
            </w:tcMar>
            <w:tcBorders>
              <w:top w:val="nil"/>
              <w:left w:val="nil"/>
              <w:bottom w:val="nil"/>
              <w:right w:val="nil"/>
              <w:insideH w:val="nil"/>
              <w:insideV w:val="nil"/>
            </w:tcBorders>
          </w:tcPr>
          <w:p>
            <w:pPr>
              <w:spacing w:before="40" w:after="40"/>
              <w:jc w:val="center"/>
            </w:pPr>
            <w:r>
              <w:rPr>
                <w:rFonts w:ascii="Cambria Math" w:hAnsi="Cambria Math"/>
                <w:b w:val="0"/>
                <w:i/>
                <w:color w:val="000000"/>
                <w:sz w:val="21"/>
              </w:rPr>
              <w:t>p</w:t>
            </w:r>
            <w:r>
              <w:rPr>
                <w:rFonts w:ascii="Cambria Math" w:hAnsi="Cambria Math"/>
                <w:b w:val="0"/>
                <w:i w:val="0"/>
                <w:color w:val="000000"/>
                <w:sz w:val="21"/>
              </w:rPr>
              <w:t xml:space="preserve"> = </w:t>
            </w:r>
            <w:r>
              <w:rPr>
                <w:rFonts w:ascii="Cambria Math" w:hAnsi="Cambria Math"/>
                <w:b w:val="0"/>
                <w:i/>
                <w:color w:val="000000"/>
                <w:sz w:val="21"/>
              </w:rPr>
              <w:t>p₀ + mg/(πr²)</w:t>
            </w:r>
          </w:p>
        </w:tc>
      </w:tr>
    </w:tbl>
    <w:tbl>
      <w:tblPr>
        <w:tblW w:type="auto" w:w="0"/>
        <w:jc w:val="center"/>
        <w:tblLayout w:type="fixed"/>
        <w:tblLook w:firstColumn="1" w:firstRow="1" w:lastColumn="0" w:lastRow="0" w:noHBand="0" w:noVBand="1" w:val="04A0"/>
      </w:tblPr>
      <w:tblGrid>
        <w:gridCol w:w="2340"/>
        <w:gridCol w:w="2340"/>
        <w:gridCol w:w="2340"/>
        <w:gridCol w:w="2340"/>
      </w:tblGrid>
      <w:tr>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p ± εp (Pa)</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p − p₀ (Pa)</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r>
    </w:tbl>
    <w:p>
      <w:pPr>
        <w:pStyle w:val="Textoindependiente"/>
        <w:keepNext w:val="0"/>
        <w:spacing w:before="0" w:after="20" w:line="240" w:lineRule="auto"/>
        <w:ind w:firstLine="0"/>
        <w:jc w:val="both"/>
      </w:pPr>
      <w:r>
        <w:rPr>
          <w:rFonts w:ascii="Times New Roman" w:hAnsi="Times New Roman"/>
          <w:b/>
          <w:i w:val="0"/>
          <w:color w:val="000000"/>
          <w:sz w:val="19"/>
        </w:rPr>
        <w:t xml:space="preserve">Propagación de εp:  </w:t>
      </w:r>
      <w:r>
        <w:rPr>
          <w:rFonts w:ascii="Times New Roman" w:hAnsi="Times New Roman"/>
          <w:b w:val="0"/>
          <w:i w:val="0"/>
          <w:color w:val="000000"/>
          <w:sz w:val="19"/>
        </w:rPr>
        <w:t>εp = √[εp₀² + (g·εm/(πr²))² + (2mg·εr/(πr³))²]</w:t>
      </w:r>
    </w:p>
    <w:p>
      <w:pPr>
        <w:pStyle w:val="Textoindependiente"/>
        <w:keepNext w:val="0"/>
        <w:spacing w:before="0" w:after="360" w:line="240" w:lineRule="auto"/>
        <w:ind w:firstLine="0"/>
        <w:jc w:val="both"/>
      </w:pPr>
    </w:p>
    <w:p>
      <w:pPr>
        <w:pStyle w:val="Textoindependiente"/>
        <w:keepNext/>
        <w:spacing w:before="0" w:after="60" w:line="240" w:lineRule="auto"/>
        <w:ind w:firstLine="0"/>
        <w:jc w:val="both"/>
      </w:pPr>
      <w:r>
        <w:rPr>
          <w:rFonts w:ascii="Times New Roman" w:hAnsi="Times New Roman"/>
          <w:b w:val="0"/>
          <w:i w:val="0"/>
          <w:color w:val="000000"/>
          <w:sz w:val="19"/>
        </w:rPr>
        <w:t>4. Determine el coeficiente adiabático y su incertidumbre.</w:t>
      </w:r>
    </w:p>
    <w:tbl>
      <w:tblPr>
        <w:tblW w:type="auto" w:w="0"/>
        <w:jc w:val="center"/>
        <w:tblLayout w:type="fixed"/>
        <w:tblLook w:firstColumn="1" w:firstRow="1" w:lastColumn="0" w:lastRow="0" w:noHBand="0" w:noVBand="1" w:val="04A0"/>
      </w:tblPr>
      <w:tblGrid>
        <w:gridCol w:w="9360"/>
      </w:tblGrid>
      <w:tr>
        <w:tc>
          <w:tcPr>
            <w:tcW w:type="dxa" w:w="9000"/>
            <w:vAlign w:val="center"/>
            <w:tcMar>
              <w:top w:w="0" w:type="dxa"/>
              <w:start w:w="0" w:type="dxa"/>
              <w:bottom w:w="0" w:type="dxa"/>
              <w:end w:w="0" w:type="dxa"/>
            </w:tcMar>
            <w:tcBorders>
              <w:top w:val="nil"/>
              <w:left w:val="nil"/>
              <w:bottom w:val="nil"/>
              <w:right w:val="nil"/>
              <w:insideH w:val="nil"/>
              <w:insideV w:val="nil"/>
            </w:tcBorders>
          </w:tcPr>
          <w:p>
            <w:pPr>
              <w:spacing w:before="40" w:after="40"/>
              <w:jc w:val="center"/>
            </w:pPr>
            <w:r>
              <w:rPr>
                <w:rFonts w:ascii="Cambria Math" w:hAnsi="Cambria Math"/>
                <w:b w:val="0"/>
                <w:i/>
                <w:color w:val="000000"/>
                <w:sz w:val="21"/>
              </w:rPr>
              <w:t>γ</w:t>
            </w:r>
            <w:r>
              <w:rPr>
                <w:rFonts w:ascii="Cambria Math" w:hAnsi="Cambria Math"/>
                <w:b w:val="0"/>
                <w:i w:val="0"/>
                <w:color w:val="000000"/>
                <w:sz w:val="21"/>
              </w:rPr>
              <w:t xml:space="preserve"> = </w:t>
            </w:r>
            <w:r>
              <w:rPr>
                <w:rFonts w:ascii="Cambria Math" w:hAnsi="Cambria Math"/>
                <w:b w:val="0"/>
                <w:i/>
                <w:color w:val="000000"/>
                <w:sz w:val="21"/>
              </w:rPr>
              <w:t>4mV/(T²pr⁴)</w:t>
            </w:r>
          </w:p>
        </w:tc>
      </w:tr>
    </w:tbl>
    <w:tbl>
      <w:tblPr>
        <w:tblW w:type="auto" w:w="0"/>
        <w:jc w:val="center"/>
        <w:tblLayout w:type="fixed"/>
        <w:tblLook w:firstColumn="1" w:firstRow="1" w:lastColumn="0" w:lastRow="0" w:noHBand="0" w:noVBand="1" w:val="04A0"/>
      </w:tblPr>
      <w:tblGrid>
        <w:gridCol w:w="2340"/>
        <w:gridCol w:w="2340"/>
        <w:gridCol w:w="2340"/>
        <w:gridCol w:w="2340"/>
      </w:tblGrid>
      <w:tr>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γ ± εγ</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Diferencia relativa (%)</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r>
    </w:tbl>
    <w:p>
      <w:pPr>
        <w:pStyle w:val="Textoindependiente"/>
        <w:keepNext w:val="0"/>
        <w:spacing w:before="0" w:after="20" w:line="240" w:lineRule="auto"/>
        <w:ind w:firstLine="0"/>
        <w:jc w:val="both"/>
      </w:pPr>
      <w:r>
        <w:rPr>
          <w:rFonts w:ascii="Times New Roman" w:hAnsi="Times New Roman"/>
          <w:b/>
          <w:i w:val="0"/>
          <w:color w:val="000000"/>
          <w:sz w:val="19"/>
        </w:rPr>
        <w:t xml:space="preserve">Propagación de εγ:  </w:t>
      </w:r>
      <w:r>
        <w:rPr>
          <w:rFonts w:ascii="Times New Roman" w:hAnsi="Times New Roman"/>
          <w:b w:val="0"/>
          <w:i w:val="0"/>
          <w:color w:val="000000"/>
          <w:sz w:val="19"/>
        </w:rPr>
        <w:t>εγ = γ√[(εm/m)² + (εV/V)² + (2εT/T)² + (εp/p)² + (4εr/r)²]</w:t>
      </w:r>
    </w:p>
    <w:p>
      <w:pPr>
        <w:pStyle w:val="Textoindependiente"/>
        <w:keepNext w:val="0"/>
        <w:spacing w:before="0" w:after="360" w:line="240" w:lineRule="auto"/>
        <w:ind w:firstLine="0"/>
        <w:jc w:val="both"/>
      </w:pPr>
    </w:p>
    <w:p>
      <w:pPr>
        <w:pStyle w:val="Ttulo2"/>
        <w:keepNext/>
        <w:spacing w:before="100" w:after="40"/>
      </w:pPr>
      <w:r>
        <w:rPr>
          <w:b/>
          <w:i/>
          <w:color w:val="000000"/>
          <w:sz w:val="20"/>
        </w:rPr>
        <w:t>Contribuciones a la incertidumbre</w:t>
      </w:r>
    </w:p>
    <w:p>
      <w:pPr>
        <w:pStyle w:val="Textoindependiente"/>
        <w:keepNext/>
        <w:spacing w:before="0" w:after="60" w:line="240" w:lineRule="auto"/>
        <w:ind w:firstLine="0"/>
        <w:jc w:val="both"/>
      </w:pPr>
      <w:r>
        <w:rPr>
          <w:rFonts w:ascii="Times New Roman" w:hAnsi="Times New Roman"/>
          <w:b w:val="0"/>
          <w:i w:val="0"/>
          <w:color w:val="000000"/>
          <w:sz w:val="19"/>
        </w:rPr>
        <w:t>Calcule las contribuciones relativas antes de combinarlas cuadráticamente e identifique la que domina el error final.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7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7"/>
              </w:rPr>
              <w:t>Magnitud</w:t>
            </w:r>
          </w:p>
        </w:tc>
        <w:tc>
          <w:tcPr>
            <w:tcW w:type="dxa" w:w="3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7"/>
              </w:rPr>
              <w:t>Contribución relativa</w:t>
            </w:r>
          </w:p>
        </w:tc>
        <w:tc>
          <w:tcPr>
            <w:tcW w:type="dxa" w:w="2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7"/>
              </w:rPr>
              <w:t>Valor</w:t>
            </w:r>
          </w:p>
        </w:tc>
      </w:tr>
      <w:tr>
        <w:trPr>
          <w:trHeight w:val="351" w:hRule="atLeast"/>
        </w:trPr>
        <w:tc>
          <w:tcPr>
            <w:tcW w:type="dxa" w:w="27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Masa m</w:t>
            </w:r>
          </w:p>
        </w:tc>
        <w:tc>
          <w:tcPr>
            <w:tcW w:type="dxa" w:w="3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εm/m</w:t>
            </w:r>
          </w:p>
        </w:tc>
        <w:tc>
          <w:tcPr>
            <w:tcW w:type="dxa" w:w="2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r>
          </w:p>
        </w:tc>
      </w:tr>
      <w:tr>
        <w:trPr>
          <w:trHeight w:val="351" w:hRule="atLeast"/>
        </w:trPr>
        <w:tc>
          <w:tcPr>
            <w:tcW w:type="dxa" w:w="27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Volumen V</w:t>
            </w:r>
          </w:p>
        </w:tc>
        <w:tc>
          <w:tcPr>
            <w:tcW w:type="dxa" w:w="3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εV/V</w:t>
            </w:r>
          </w:p>
        </w:tc>
        <w:tc>
          <w:tcPr>
            <w:tcW w:type="dxa" w:w="2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r>
          </w:p>
        </w:tc>
      </w:tr>
      <w:tr>
        <w:trPr>
          <w:trHeight w:val="351" w:hRule="atLeast"/>
        </w:trPr>
        <w:tc>
          <w:tcPr>
            <w:tcW w:type="dxa" w:w="27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Periodo T</w:t>
            </w:r>
          </w:p>
        </w:tc>
        <w:tc>
          <w:tcPr>
            <w:tcW w:type="dxa" w:w="3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2εT/T</w:t>
            </w:r>
          </w:p>
        </w:tc>
        <w:tc>
          <w:tcPr>
            <w:tcW w:type="dxa" w:w="2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r>
          </w:p>
        </w:tc>
      </w:tr>
      <w:tr>
        <w:trPr>
          <w:trHeight w:val="351" w:hRule="atLeast"/>
        </w:trPr>
        <w:tc>
          <w:tcPr>
            <w:tcW w:type="dxa" w:w="27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Presión p</w:t>
            </w:r>
          </w:p>
        </w:tc>
        <w:tc>
          <w:tcPr>
            <w:tcW w:type="dxa" w:w="3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εp/p</w:t>
            </w:r>
          </w:p>
        </w:tc>
        <w:tc>
          <w:tcPr>
            <w:tcW w:type="dxa" w:w="2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r>
          </w:p>
        </w:tc>
      </w:tr>
      <w:tr>
        <w:trPr>
          <w:trHeight w:val="351" w:hRule="atLeast"/>
        </w:trPr>
        <w:tc>
          <w:tcPr>
            <w:tcW w:type="dxa" w:w="27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Radio r</w:t>
            </w:r>
          </w:p>
        </w:tc>
        <w:tc>
          <w:tcPr>
            <w:tcW w:type="dxa" w:w="3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4εr/r</w:t>
            </w:r>
          </w:p>
        </w:tc>
        <w:tc>
          <w:tcPr>
            <w:tcW w:type="dxa" w:w="2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r>
          </w:p>
        </w:tc>
      </w:tr>
      <w:tr>
        <w:trPr>
          <w:trHeight w:val="351" w:hRule="atLeast"/>
        </w:trPr>
        <w:tc>
          <w:tcPr>
            <w:tcW w:type="dxa" w:w="27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Total</w:t>
            </w:r>
          </w:p>
        </w:tc>
        <w:tc>
          <w:tcPr>
            <w:tcW w:type="dxa" w:w="3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εγ/γ</w:t>
            </w:r>
          </w:p>
        </w:tc>
        <w:tc>
          <w:tcPr>
            <w:tcW w:type="dxa" w:w="2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r>
          </w:p>
        </w:tc>
      </w:tr>
    </w:tbl>
    <w:p>
      <w:pPr>
        <w:pStyle w:val="Textoindependiente"/>
        <w:keepNext w:val="0"/>
        <w:spacing w:before="0" w:after="100" w:line="240" w:lineRule="auto"/>
        <w:ind w:firstLine="0"/>
        <w:jc w:val="both"/>
      </w:pPr>
    </w:p>
    <w:p>
      <w:r>
        <w:br w:type="page"/>
      </w:r>
    </w:p>
    <w:p>
      <w:pPr>
        <w:pStyle w:val="Ttulo2"/>
        <w:keepNext/>
        <w:spacing w:before="100" w:after="40"/>
      </w:pPr>
      <w:r>
        <w:rPr>
          <w:b/>
          <w:i/>
          <w:color w:val="000000"/>
          <w:sz w:val="20"/>
        </w:rPr>
        <w:t>Grados de libertad e interpretación</w:t>
      </w:r>
    </w:p>
    <w:p>
      <w:pPr>
        <w:pStyle w:val="Textoindependiente"/>
        <w:keepNext/>
        <w:spacing w:before="0" w:after="60" w:line="240" w:lineRule="auto"/>
        <w:ind w:firstLine="0"/>
        <w:jc w:val="both"/>
      </w:pPr>
      <w:r>
        <w:rPr>
          <w:rFonts w:ascii="Times New Roman" w:hAnsi="Times New Roman"/>
          <w:b w:val="0"/>
          <w:i w:val="0"/>
          <w:color w:val="000000"/>
          <w:sz w:val="19"/>
        </w:rPr>
        <w:t>5. Obtenga el número de grados de libertad activos y su incertidumbre.</w:t>
      </w:r>
    </w:p>
    <w:tbl>
      <w:tblPr>
        <w:tblW w:type="auto" w:w="0"/>
        <w:jc w:val="center"/>
        <w:tblLayout w:type="fixed"/>
        <w:tblLook w:firstColumn="1" w:firstRow="1" w:lastColumn="0" w:lastRow="0" w:noHBand="0" w:noVBand="1" w:val="04A0"/>
      </w:tblPr>
      <w:tblGrid>
        <w:gridCol w:w="9360"/>
      </w:tblGrid>
      <w:tr>
        <w:tc>
          <w:tcPr>
            <w:tcW w:type="dxa" w:w="9000"/>
            <w:vAlign w:val="center"/>
            <w:tcMar>
              <w:top w:w="0" w:type="dxa"/>
              <w:start w:w="0" w:type="dxa"/>
              <w:bottom w:w="0" w:type="dxa"/>
              <w:end w:w="0" w:type="dxa"/>
            </w:tcMar>
            <w:tcBorders>
              <w:top w:val="nil"/>
              <w:left w:val="nil"/>
              <w:bottom w:val="nil"/>
              <w:right w:val="nil"/>
              <w:insideH w:val="nil"/>
              <w:insideV w:val="nil"/>
            </w:tcBorders>
          </w:tcPr>
          <w:p>
            <w:pPr>
              <w:spacing w:before="40" w:after="40"/>
              <w:jc w:val="center"/>
            </w:pPr>
            <w:r>
              <w:rPr>
                <w:rFonts w:ascii="Cambria Math" w:hAnsi="Cambria Math"/>
                <w:b w:val="0"/>
                <w:i/>
                <w:color w:val="000000"/>
                <w:sz w:val="21"/>
              </w:rPr>
              <w:t>ν</w:t>
            </w:r>
            <w:r>
              <w:rPr>
                <w:rFonts w:ascii="Cambria Math" w:hAnsi="Cambria Math"/>
                <w:b w:val="0"/>
                <w:i w:val="0"/>
                <w:color w:val="000000"/>
                <w:sz w:val="21"/>
              </w:rPr>
              <w:t xml:space="preserve"> = </w:t>
            </w:r>
            <w:r>
              <w:rPr>
                <w:rFonts w:ascii="Cambria Math" w:hAnsi="Cambria Math"/>
                <w:b w:val="0"/>
                <w:i/>
                <w:color w:val="000000"/>
                <w:sz w:val="21"/>
              </w:rPr>
              <w:t>2/(γ − 1)</w:t>
            </w:r>
            <w:r>
              <w:rPr>
                <w:rFonts w:ascii="Cambria Math" w:hAnsi="Cambria Math"/>
                <w:b w:val="0"/>
                <w:i w:val="0"/>
                <w:color w:val="000000"/>
                <w:sz w:val="21"/>
              </w:rPr>
              <w:t xml:space="preserve">     y     </w:t>
            </w:r>
            <w:r>
              <w:rPr>
                <w:rFonts w:ascii="Cambria Math" w:hAnsi="Cambria Math"/>
                <w:b w:val="0"/>
                <w:i/>
                <w:color w:val="000000"/>
                <w:sz w:val="21"/>
              </w:rPr>
              <w:t>εν</w:t>
            </w:r>
            <w:r>
              <w:rPr>
                <w:rFonts w:ascii="Cambria Math" w:hAnsi="Cambria Math"/>
                <w:b w:val="0"/>
                <w:i w:val="0"/>
                <w:color w:val="000000"/>
                <w:sz w:val="21"/>
              </w:rPr>
              <w:t xml:space="preserve"> = </w:t>
            </w:r>
            <w:r>
              <w:rPr>
                <w:rFonts w:ascii="Cambria Math" w:hAnsi="Cambria Math"/>
                <w:b w:val="0"/>
                <w:i/>
                <w:color w:val="000000"/>
                <w:sz w:val="21"/>
              </w:rPr>
              <w:t>2εγ/(γ − 1)²</w:t>
            </w:r>
          </w:p>
        </w:tc>
      </w:tr>
    </w:tbl>
    <w:tbl>
      <w:tblPr>
        <w:tblW w:type="auto" w:w="0"/>
        <w:jc w:val="center"/>
        <w:tblLayout w:type="fixed"/>
        <w:tblLook w:firstColumn="1" w:firstRow="1" w:lastColumn="0" w:lastRow="0" w:noHBand="0" w:noVBand="1" w:val="04A0"/>
      </w:tblPr>
      <w:tblGrid>
        <w:gridCol w:w="2340"/>
        <w:gridCol w:w="2340"/>
        <w:gridCol w:w="2340"/>
        <w:gridCol w:w="2340"/>
      </w:tblGrid>
      <w:tr>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ν ± εν</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Valor esperado</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r>
    </w:tbl>
    <w:p>
      <w:pPr>
        <w:pStyle w:val="Textoindependiente"/>
        <w:keepNext w:val="0"/>
        <w:spacing w:before="0" w:after="160" w:line="240" w:lineRule="auto"/>
        <w:ind w:firstLine="0"/>
        <w:jc w:val="both"/>
      </w:pPr>
    </w:p>
    <w:p>
      <w:pPr>
        <w:pStyle w:val="Textoindependiente"/>
        <w:keepNext w:val="0"/>
        <w:spacing w:before="0" w:after="20" w:line="240" w:lineRule="auto"/>
        <w:ind w:firstLine="0"/>
        <w:jc w:val="both"/>
      </w:pPr>
      <w:r>
        <w:rPr>
          <w:rFonts w:ascii="Times New Roman" w:hAnsi="Times New Roman"/>
          <w:b/>
          <w:i w:val="0"/>
          <w:color w:val="000000"/>
          <w:sz w:val="19"/>
        </w:rPr>
        <w:t>Cálculo de ν y εν:</w:t>
      </w:r>
    </w:p>
    <w:p>
      <w:pPr>
        <w:pStyle w:val="Textoindependiente"/>
        <w:keepNext w:val="0"/>
        <w:spacing w:before="0" w:after="1900" w:line="240" w:lineRule="auto"/>
        <w:ind w:firstLine="0"/>
        <w:jc w:val="both"/>
      </w:pPr>
    </w:p>
    <w:p>
      <w:pPr>
        <w:pStyle w:val="Textoindependiente"/>
        <w:keepNext w:val="0"/>
        <w:spacing w:before="0" w:after="20" w:line="240" w:lineRule="auto"/>
        <w:ind w:firstLine="0"/>
        <w:jc w:val="both"/>
      </w:pPr>
      <w:r>
        <w:rPr>
          <w:rFonts w:ascii="Times New Roman" w:hAnsi="Times New Roman"/>
          <w:b/>
          <w:i w:val="0"/>
          <w:color w:val="000000"/>
          <w:sz w:val="19"/>
        </w:rPr>
        <w:t xml:space="preserve">Interpretación y conclusión:  </w:t>
      </w:r>
      <w:r>
        <w:rPr>
          <w:rFonts w:ascii="Times New Roman" w:hAnsi="Times New Roman"/>
          <w:b w:val="0"/>
          <w:i w:val="0"/>
          <w:color w:val="000000"/>
          <w:sz w:val="19"/>
        </w:rPr>
        <w:t>discuta si γ y ν son compatibles con el comportamiento esperado del aire, qué medida domina la incertidumbre y cómo podría reducirse su contribución.</w:t>
      </w:r>
    </w:p>
    <w:p>
      <w:pPr>
        <w:pStyle w:val="Textoindependiente"/>
        <w:keepNext w:val="0"/>
        <w:spacing w:before="0" w:after="4200" w:line="240" w:lineRule="auto"/>
        <w:ind w:firstLine="0"/>
        <w:jc w:val="both"/>
      </w:pPr>
    </w:p>
    <w:sectPr w:rsidR="007C5844" w:rsidRPr="007C5844" w:rsidSect="008B7D60">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2016" w:left="1440" w:header="567" w:footer="144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BDE51A" w14:textId="77777777" w:rsidR="00486B61" w:rsidRDefault="00486B61">
      <w:r>
        <w:separator/>
      </w:r>
    </w:p>
  </w:endnote>
  <w:endnote w:type="continuationSeparator" w:id="0">
    <w:p w14:paraId="4D249B0F" w14:textId="77777777" w:rsidR="00486B61" w:rsidRDefault="00486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tarSymbol">
    <w:altName w:val="Times New Roman"/>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FB0818" w14:textId="77777777" w:rsidR="007C5844" w:rsidRDefault="007C5844">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D42F9D" w14:textId="7803B428" w:rsidR="007C5844" w:rsidRDefault="007C5844">
    <w:pPr>
      <w:pStyle w:val="Piedepgina"/>
      <w:jc w:val="center"/>
    </w:pPr>
    <w:r>
      <w:fldChar w:fldCharType="begin"/>
    </w:r>
    <w:r>
      <w:instrText xml:space="preserve"> PAGE </w:instrText>
    </w:r>
    <w:r>
      <w:fldChar w:fldCharType="separate"/>
    </w:r>
    <w:r w:rsidR="008B7D60">
      <w:rPr>
        <w:noProof/>
      </w:rPr>
      <w:t>1</w:t>
    </w:r>
    <w:r>
      <w:fldChar w:fldCharType="end"/>
    </w: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9B71B4" w14:textId="77777777" w:rsidR="007C5844" w:rsidRDefault="007C5844">
    <w:pPr>
      <w:pStyle w:val="Piedepgina"/>
      <w:jc w:val="center"/>
    </w:pPr>
    <w:r>
      <w:fldChar w:fldCharType="begin"/>
    </w:r>
    <w:r>
      <w:instrText xml:space="preserve"> PAGE </w:instrText>
    </w:r>
    <w:r>
      <w:fldChar w:fldCharType="separate"/>
    </w:r>
    <w:r>
      <w:t>3</w:t>
    </w:r>
    <w:r>
      <w:fldChar w:fldCharType="end"/>
    </w: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3E0420" w14:textId="77777777" w:rsidR="00486B61" w:rsidRDefault="00486B61">
      <w:r>
        <w:separator/>
      </w:r>
    </w:p>
  </w:footnote>
  <w:footnote w:type="continuationSeparator" w:id="0">
    <w:p w14:paraId="0C211922" w14:textId="77777777" w:rsidR="00486B61" w:rsidRDefault="00486B6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18BE6E" w14:textId="77777777" w:rsidR="008B7D60" w:rsidRDefault="008B7D60">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479A20" w14:textId="238D4597" w:rsidR="008B7D60" w:rsidRPr="008B7D60" w:rsidRDefault="008B7D60">
    <w:pPr>
      <w:pStyle w:val="Encabezado"/>
      <w:rPr>
        <w:color w:val="FF0000"/>
        <w:lang w:val="es-ES"/>
      </w:rPr>
    </w:pPr>
    <w:bookmarkStart w:id="1" w:name="_GoBack"/>
    <w:r w:rsidRPr="008B7D60">
      <w:rPr>
        <w:color w:val="FF0000"/>
      </w:rPr>
      <w:t>Alumno 1:</w:t>
    </w:r>
    <w:r w:rsidRPr="008B7D60">
      <w:rPr>
        <w:color w:val="FF0000"/>
      </w:rPr>
      <w:ptab w:relativeTo="margin" w:alignment="center" w:leader="none"/>
    </w:r>
    <w:r w:rsidRPr="008B7D60">
      <w:rPr>
        <w:color w:val="FF0000"/>
      </w:rPr>
      <w:t>Alumno 2:</w:t>
    </w:r>
    <w:r w:rsidRPr="008B7D60">
      <w:rPr>
        <w:color w:val="FF0000"/>
      </w:rPr>
      <w:ptab w:relativeTo="margin" w:alignment="right" w:leader="none"/>
    </w:r>
    <w:r w:rsidRPr="008B7D60">
      <w:rPr>
        <w:color w:val="FF0000"/>
      </w:rPr>
      <w:t>Alumno 3:</w:t>
    </w:r>
    <w:bookmarkEnd w:id="1"/>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604AE7" w14:textId="77777777" w:rsidR="008B7D60" w:rsidRDefault="008B7D60">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568DD"/>
    <w:multiLevelType w:val="multilevel"/>
    <w:tmpl w:val="4EF20A3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DAF68F1"/>
    <w:multiLevelType w:val="multilevel"/>
    <w:tmpl w:val="7286FBFE"/>
    <w:lvl w:ilvl="0">
      <w:start w:val="1"/>
      <w:numFmt w:val="none"/>
      <w:pStyle w:val="Ttulo1"/>
      <w:suff w:val="nothing"/>
      <w:lvlText w:val="%1"/>
      <w:lvlJc w:val="left"/>
      <w:pPr>
        <w:tabs>
          <w:tab w:val="num" w:pos="0"/>
        </w:tabs>
        <w:ind w:left="0" w:firstLine="0"/>
      </w:pPr>
    </w:lvl>
    <w:lvl w:ilvl="1">
      <w:start w:val="1"/>
      <w:numFmt w:val="none"/>
      <w:pStyle w:val="Ttulo2"/>
      <w:suff w:val="nothing"/>
      <w:lvlText w:val="%2"/>
      <w:lvlJc w:val="left"/>
      <w:pPr>
        <w:tabs>
          <w:tab w:val="num" w:pos="0"/>
        </w:tabs>
        <w:ind w:left="0" w:firstLine="0"/>
      </w:pPr>
    </w:lvl>
    <w:lvl w:ilvl="2">
      <w:start w:val="1"/>
      <w:numFmt w:val="none"/>
      <w:pStyle w:val="Ttulo3"/>
      <w:suff w:val="nothing"/>
      <w:lvlText w:val="%3"/>
      <w:lvlJc w:val="left"/>
      <w:pPr>
        <w:tabs>
          <w:tab w:val="num" w:pos="0"/>
        </w:tabs>
        <w:ind w:left="0" w:firstLine="0"/>
      </w:pPr>
    </w:lvl>
    <w:lvl w:ilvl="3">
      <w:start w:val="1"/>
      <w:numFmt w:val="none"/>
      <w:pStyle w:val="Ttulo4"/>
      <w:suff w:val="nothing"/>
      <w:lvlText w:val="%4"/>
      <w:lvlJc w:val="left"/>
      <w:pPr>
        <w:tabs>
          <w:tab w:val="num" w:pos="0"/>
        </w:tabs>
        <w:ind w:left="0" w:firstLine="0"/>
      </w:pPr>
    </w:lvl>
    <w:lvl w:ilvl="4">
      <w:start w:val="1"/>
      <w:numFmt w:val="none"/>
      <w:pStyle w:val="Ttulo5"/>
      <w:suff w:val="nothing"/>
      <w:lvlText w:val="%5"/>
      <w:lvlJc w:val="left"/>
      <w:pPr>
        <w:tabs>
          <w:tab w:val="num" w:pos="0"/>
        </w:tabs>
        <w:ind w:left="0" w:firstLine="0"/>
      </w:pPr>
    </w:lvl>
    <w:lvl w:ilvl="5">
      <w:start w:val="1"/>
      <w:numFmt w:val="none"/>
      <w:pStyle w:val="Ttulo6"/>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6E0B5CB1"/>
    <w:multiLevelType w:val="multilevel"/>
    <w:tmpl w:val="9BA698D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7EDB7117"/>
    <w:multiLevelType w:val="multilevel"/>
    <w:tmpl w:val="B504CE98"/>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47B0"/>
    <w:rsid w:val="000422D8"/>
    <w:rsid w:val="000501F9"/>
    <w:rsid w:val="000847B0"/>
    <w:rsid w:val="000957FB"/>
    <w:rsid w:val="000A3C1D"/>
    <w:rsid w:val="000C3E1C"/>
    <w:rsid w:val="0010518B"/>
    <w:rsid w:val="00116EC2"/>
    <w:rsid w:val="00130288"/>
    <w:rsid w:val="00137C03"/>
    <w:rsid w:val="0015798E"/>
    <w:rsid w:val="001810C1"/>
    <w:rsid w:val="002048E2"/>
    <w:rsid w:val="00204F0B"/>
    <w:rsid w:val="00231E7F"/>
    <w:rsid w:val="00244EE7"/>
    <w:rsid w:val="002E4362"/>
    <w:rsid w:val="0037724A"/>
    <w:rsid w:val="003F384D"/>
    <w:rsid w:val="00452BEA"/>
    <w:rsid w:val="00486B61"/>
    <w:rsid w:val="005264E9"/>
    <w:rsid w:val="005C55F7"/>
    <w:rsid w:val="005D27B0"/>
    <w:rsid w:val="005D6198"/>
    <w:rsid w:val="005D6C29"/>
    <w:rsid w:val="006240FF"/>
    <w:rsid w:val="00685F77"/>
    <w:rsid w:val="006B0E72"/>
    <w:rsid w:val="006E29E3"/>
    <w:rsid w:val="0071098A"/>
    <w:rsid w:val="00745F45"/>
    <w:rsid w:val="007C42EA"/>
    <w:rsid w:val="007C5844"/>
    <w:rsid w:val="007E4AF4"/>
    <w:rsid w:val="008472F0"/>
    <w:rsid w:val="00853EC7"/>
    <w:rsid w:val="00856052"/>
    <w:rsid w:val="00866814"/>
    <w:rsid w:val="00877279"/>
    <w:rsid w:val="008964E3"/>
    <w:rsid w:val="00897E4F"/>
    <w:rsid w:val="008B7D60"/>
    <w:rsid w:val="00963714"/>
    <w:rsid w:val="00974E18"/>
    <w:rsid w:val="00997E0E"/>
    <w:rsid w:val="009A008B"/>
    <w:rsid w:val="009F76B7"/>
    <w:rsid w:val="00A07C71"/>
    <w:rsid w:val="00A9553C"/>
    <w:rsid w:val="00B51BF5"/>
    <w:rsid w:val="00B80B2C"/>
    <w:rsid w:val="00B87562"/>
    <w:rsid w:val="00BA27E4"/>
    <w:rsid w:val="00BAC888"/>
    <w:rsid w:val="00BE2F30"/>
    <w:rsid w:val="00C4226B"/>
    <w:rsid w:val="00C5215E"/>
    <w:rsid w:val="00C56BEA"/>
    <w:rsid w:val="00C67238"/>
    <w:rsid w:val="00C735C3"/>
    <w:rsid w:val="00C818C7"/>
    <w:rsid w:val="00C92766"/>
    <w:rsid w:val="00D07A6F"/>
    <w:rsid w:val="00D80E21"/>
    <w:rsid w:val="00DB0C8A"/>
    <w:rsid w:val="00DC5C06"/>
    <w:rsid w:val="00E97438"/>
    <w:rsid w:val="00EB5511"/>
    <w:rsid w:val="00EB7398"/>
    <w:rsid w:val="00EF74F4"/>
    <w:rsid w:val="00F05E4E"/>
    <w:rsid w:val="00F67E43"/>
    <w:rsid w:val="00F772B1"/>
    <w:rsid w:val="00F7782F"/>
    <w:rsid w:val="00F865B2"/>
    <w:rsid w:val="00FD1477"/>
    <w:rsid w:val="00FF00BE"/>
    <w:rsid w:val="01965484"/>
    <w:rsid w:val="021AC796"/>
    <w:rsid w:val="02D57A35"/>
    <w:rsid w:val="02E264B2"/>
    <w:rsid w:val="03D8A59A"/>
    <w:rsid w:val="05C117F6"/>
    <w:rsid w:val="05CF95B2"/>
    <w:rsid w:val="05DDEE47"/>
    <w:rsid w:val="06FFC181"/>
    <w:rsid w:val="07EE6836"/>
    <w:rsid w:val="07F9B9B4"/>
    <w:rsid w:val="09A72B30"/>
    <w:rsid w:val="0A0F9D96"/>
    <w:rsid w:val="0A17886A"/>
    <w:rsid w:val="0D51206E"/>
    <w:rsid w:val="0F07FE5B"/>
    <w:rsid w:val="0F8F3251"/>
    <w:rsid w:val="0FE3793D"/>
    <w:rsid w:val="1045D7AE"/>
    <w:rsid w:val="124531C9"/>
    <w:rsid w:val="145B73ED"/>
    <w:rsid w:val="14D1E2EA"/>
    <w:rsid w:val="14E8CF6E"/>
    <w:rsid w:val="1511DB34"/>
    <w:rsid w:val="1698C528"/>
    <w:rsid w:val="174578F9"/>
    <w:rsid w:val="18F586CE"/>
    <w:rsid w:val="193A439E"/>
    <w:rsid w:val="198C67CD"/>
    <w:rsid w:val="1B169016"/>
    <w:rsid w:val="1C60B3E2"/>
    <w:rsid w:val="1C9AC30A"/>
    <w:rsid w:val="1FDD2F77"/>
    <w:rsid w:val="1FF32AAA"/>
    <w:rsid w:val="266B18C6"/>
    <w:rsid w:val="26A15AF0"/>
    <w:rsid w:val="26DEA423"/>
    <w:rsid w:val="276DC7BA"/>
    <w:rsid w:val="285C2456"/>
    <w:rsid w:val="286C7FFD"/>
    <w:rsid w:val="298389FA"/>
    <w:rsid w:val="2ACC1214"/>
    <w:rsid w:val="2BD5DEA0"/>
    <w:rsid w:val="2CEDFA8E"/>
    <w:rsid w:val="2D4BF3F9"/>
    <w:rsid w:val="2F2C3389"/>
    <w:rsid w:val="311F2DBD"/>
    <w:rsid w:val="31B9B49F"/>
    <w:rsid w:val="31DA8A53"/>
    <w:rsid w:val="32266457"/>
    <w:rsid w:val="32646E53"/>
    <w:rsid w:val="3394B4CC"/>
    <w:rsid w:val="34149420"/>
    <w:rsid w:val="359772DE"/>
    <w:rsid w:val="3797CBFF"/>
    <w:rsid w:val="3AEAAC6B"/>
    <w:rsid w:val="3BAD9B7D"/>
    <w:rsid w:val="3C8C835B"/>
    <w:rsid w:val="3E198808"/>
    <w:rsid w:val="3ECA7B12"/>
    <w:rsid w:val="4051F152"/>
    <w:rsid w:val="40CB6E8A"/>
    <w:rsid w:val="42D1E0D8"/>
    <w:rsid w:val="435F673A"/>
    <w:rsid w:val="472D47B1"/>
    <w:rsid w:val="48A7CB4E"/>
    <w:rsid w:val="4974CB37"/>
    <w:rsid w:val="4ABE51DB"/>
    <w:rsid w:val="4E1FD0C7"/>
    <w:rsid w:val="503DC5FB"/>
    <w:rsid w:val="50DF0D66"/>
    <w:rsid w:val="52064E05"/>
    <w:rsid w:val="521F415C"/>
    <w:rsid w:val="5336E652"/>
    <w:rsid w:val="536DC86B"/>
    <w:rsid w:val="5451B944"/>
    <w:rsid w:val="553AD406"/>
    <w:rsid w:val="5691F731"/>
    <w:rsid w:val="576A347D"/>
    <w:rsid w:val="578469C9"/>
    <w:rsid w:val="58708EF2"/>
    <w:rsid w:val="5AA535B8"/>
    <w:rsid w:val="5AA92F6A"/>
    <w:rsid w:val="5B7B3346"/>
    <w:rsid w:val="5BDE7C65"/>
    <w:rsid w:val="5C050ACF"/>
    <w:rsid w:val="5C8F7004"/>
    <w:rsid w:val="5CA7FAB1"/>
    <w:rsid w:val="5FDAB27D"/>
    <w:rsid w:val="6111B2C2"/>
    <w:rsid w:val="62C5C019"/>
    <w:rsid w:val="634CD52F"/>
    <w:rsid w:val="63A54794"/>
    <w:rsid w:val="6421271E"/>
    <w:rsid w:val="642E1241"/>
    <w:rsid w:val="66FCA4E0"/>
    <w:rsid w:val="6839A086"/>
    <w:rsid w:val="6C1FDDBF"/>
    <w:rsid w:val="6FBD8AF6"/>
    <w:rsid w:val="7120B726"/>
    <w:rsid w:val="71CCC33E"/>
    <w:rsid w:val="72084651"/>
    <w:rsid w:val="7270BEF6"/>
    <w:rsid w:val="735C81A1"/>
    <w:rsid w:val="73DA07E0"/>
    <w:rsid w:val="795D5F1B"/>
    <w:rsid w:val="7A3DE76A"/>
    <w:rsid w:val="7ADE7899"/>
    <w:rsid w:val="7AF374DA"/>
    <w:rsid w:val="7B411775"/>
    <w:rsid w:val="7D3427CC"/>
    <w:rsid w:val="7FE873D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F12D1"/>
  <w15:docId w15:val="{7090B955-895D-4823-A236-DB01A7F81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Lucida Sans Unicode" w:hAnsi="Times New Roman" w:cs="Tahoma"/>
        <w:kern w:val="2"/>
        <w:sz w:val="24"/>
        <w:szCs w:val="24"/>
        <w:lang w:val="en-US" w:eastAsia="es-E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overflowPunct w:val="0"/>
    </w:pPr>
    <w:rPr>
      <w:rFonts w:ascii="Times New Roman" w:hAnsi="Times New Roman"/>
      <w:sz w:val="19"/>
    </w:rPr>
  </w:style>
  <w:style w:type="paragraph" w:styleId="Ttulo1">
    <w:name w:val="heading 1"/>
    <w:basedOn w:val="Heading"/>
    <w:next w:val="Textoindependiente"/>
    <w:qFormat/>
    <w:pPr>
      <w:numPr>
        <w:numId w:val="1"/>
      </w:numPr>
      <w:outlineLvl w:val="0"/>
    </w:pPr>
    <w:rPr>
      <w:b/>
      <w:bCs/>
      <w:color w:val="000000"/>
      <w:sz w:val="32"/>
      <w:szCs w:val="32"/>
    </w:rPr>
  </w:style>
  <w:style w:type="paragraph" w:styleId="Ttulo2">
    <w:name w:val="heading 2"/>
    <w:basedOn w:val="Heading"/>
    <w:next w:val="Textoindependiente"/>
    <w:qFormat/>
    <w:pPr>
      <w:numPr>
        <w:ilvl w:val="1"/>
        <w:numId w:val="1"/>
      </w:numPr>
      <w:outlineLvl w:val="1"/>
    </w:pPr>
    <w:rPr>
      <w:b/>
      <w:bCs/>
      <w:i/>
      <w:iCs/>
      <w:color w:val="000000"/>
    </w:rPr>
  </w:style>
  <w:style w:type="paragraph" w:styleId="Ttulo3">
    <w:name w:val="heading 3"/>
    <w:basedOn w:val="Heading"/>
    <w:next w:val="Textoindependiente"/>
    <w:qFormat/>
    <w:pPr>
      <w:numPr>
        <w:ilvl w:val="2"/>
        <w:numId w:val="1"/>
      </w:numPr>
      <w:outlineLvl w:val="2"/>
    </w:pPr>
    <w:rPr>
      <w:b/>
      <w:bCs/>
    </w:rPr>
  </w:style>
  <w:style w:type="paragraph" w:styleId="Ttulo4">
    <w:name w:val="heading 4"/>
    <w:basedOn w:val="Heading"/>
    <w:next w:val="Textoindependiente"/>
    <w:qFormat/>
    <w:pPr>
      <w:numPr>
        <w:ilvl w:val="3"/>
        <w:numId w:val="1"/>
      </w:numPr>
      <w:outlineLvl w:val="3"/>
    </w:pPr>
    <w:rPr>
      <w:b/>
      <w:bCs/>
      <w:i/>
      <w:iCs/>
      <w:sz w:val="24"/>
      <w:szCs w:val="24"/>
    </w:rPr>
  </w:style>
  <w:style w:type="paragraph" w:styleId="Ttulo5">
    <w:name w:val="heading 5"/>
    <w:basedOn w:val="Heading"/>
    <w:next w:val="Textoindependiente"/>
    <w:qFormat/>
    <w:pPr>
      <w:numPr>
        <w:ilvl w:val="4"/>
        <w:numId w:val="1"/>
      </w:numPr>
      <w:outlineLvl w:val="4"/>
    </w:pPr>
    <w:rPr>
      <w:b/>
      <w:bCs/>
      <w:sz w:val="24"/>
      <w:szCs w:val="24"/>
    </w:rPr>
  </w:style>
  <w:style w:type="paragraph" w:styleId="Ttulo6">
    <w:name w:val="heading 6"/>
    <w:basedOn w:val="Heading"/>
    <w:next w:val="Textoindependiente"/>
    <w:qFormat/>
    <w:pPr>
      <w:numPr>
        <w:ilvl w:val="5"/>
        <w:numId w:val="1"/>
      </w:numPr>
      <w:outlineLvl w:val="5"/>
    </w:pPr>
    <w:rPr>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ourceText">
    <w:name w:val="Source_Text"/>
    <w:qFormat/>
    <w:rPr>
      <w:rFonts w:ascii="Courier New" w:eastAsia="Courier New" w:hAnsi="Courier New" w:cs="Courier New"/>
      <w:sz w:val="20"/>
      <w:szCs w:val="20"/>
    </w:rPr>
  </w:style>
  <w:style w:type="character" w:customStyle="1" w:styleId="NumberingSymbols">
    <w:name w:val="Numbering Symbols"/>
    <w:qFormat/>
  </w:style>
  <w:style w:type="character" w:customStyle="1" w:styleId="Bullets">
    <w:name w:val="Bullets"/>
    <w:qFormat/>
    <w:rPr>
      <w:rFonts w:ascii="StarSymbol" w:eastAsia="StarSymbol" w:hAnsi="StarSymbol" w:cs="StarSymbol"/>
      <w:sz w:val="18"/>
      <w:szCs w:val="18"/>
    </w:rPr>
  </w:style>
  <w:style w:type="character" w:styleId="nfasis">
    <w:name w:val="Emphasis"/>
    <w:qFormat/>
    <w:rPr>
      <w:i/>
      <w:iCs/>
    </w:rPr>
  </w:style>
  <w:style w:type="character" w:styleId="Textoennegrita">
    <w:name w:val="Strong"/>
    <w:qFormat/>
    <w:rPr>
      <w:b/>
      <w:bCs/>
    </w:rPr>
  </w:style>
  <w:style w:type="character" w:customStyle="1" w:styleId="Strikeout">
    <w:name w:val="Strikeout"/>
    <w:qFormat/>
    <w:rPr>
      <w:strike/>
    </w:rPr>
  </w:style>
  <w:style w:type="character" w:customStyle="1" w:styleId="Superscript">
    <w:name w:val="Superscript"/>
    <w:qFormat/>
    <w:rPr>
      <w:vertAlign w:val="superscript"/>
    </w:rPr>
  </w:style>
  <w:style w:type="character" w:customStyle="1" w:styleId="Subscript">
    <w:name w:val="Subscript"/>
    <w:qFormat/>
    <w:rPr>
      <w:vertAlign w:val="subscript"/>
    </w:rPr>
  </w:style>
  <w:style w:type="character" w:customStyle="1" w:styleId="Quotation">
    <w:name w:val="Quotation"/>
    <w:qFormat/>
    <w:rPr>
      <w:i/>
      <w:iCs/>
    </w:rPr>
  </w:style>
  <w:style w:type="character" w:customStyle="1" w:styleId="Teletype">
    <w:name w:val="Teletype"/>
    <w:qFormat/>
    <w:rPr>
      <w:rFonts w:ascii="Courier New" w:eastAsia="Courier New" w:hAnsi="Courier New" w:cs="Courier New"/>
    </w:rPr>
  </w:style>
  <w:style w:type="character" w:styleId="Hipervnculo">
    <w:name w:val="Hyperlink"/>
    <w:rPr>
      <w:color w:val="000080"/>
      <w:u w:val="single"/>
    </w:rPr>
  </w:style>
  <w:style w:type="character" w:customStyle="1" w:styleId="FootnoteCharacters">
    <w:name w:val="Footnote Characters"/>
    <w:qFormat/>
    <w:rPr>
      <w:vertAlign w:val="superscript"/>
    </w:rPr>
  </w:style>
  <w:style w:type="character" w:styleId="Refdenotaalpie">
    <w:name w:val="footnote reference"/>
    <w:rPr>
      <w:vertAlign w:val="superscript"/>
    </w:rPr>
  </w:style>
  <w:style w:type="character" w:customStyle="1" w:styleId="Definition">
    <w:name w:val="Definition"/>
    <w:qFormat/>
  </w:style>
  <w:style w:type="paragraph" w:customStyle="1" w:styleId="Heading">
    <w:name w:val="Heading"/>
    <w:basedOn w:val="Normal"/>
    <w:next w:val="Textoindependiente"/>
    <w:qFormat/>
    <w:pPr>
      <w:keepNext/>
      <w:spacing w:before="240" w:after="120"/>
    </w:pPr>
    <w:rPr>
      <w:rFonts w:ascii="Arial" w:hAnsi="Arial"/>
      <w:sz w:val="28"/>
      <w:szCs w:val="28"/>
    </w:rPr>
  </w:style>
  <w:style w:type="paragraph" w:styleId="Textoindependiente">
    <w:name w:val="Body Text"/>
    <w:basedOn w:val="Normal"/>
    <w:link w:val="TextoindependienteCar"/>
    <w:pPr>
      <w:spacing w:before="86" w:after="86"/>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Author">
    <w:name w:val="Author"/>
    <w:basedOn w:val="Normal"/>
    <w:qFormat/>
    <w:pPr>
      <w:jc w:val="center"/>
    </w:pPr>
  </w:style>
  <w:style w:type="paragraph" w:styleId="Fecha">
    <w:name w:val="Date"/>
    <w:basedOn w:val="Normal"/>
    <w:qFormat/>
    <w:pPr>
      <w:jc w:val="center"/>
    </w:pPr>
  </w:style>
  <w:style w:type="paragraph" w:customStyle="1" w:styleId="Abstract">
    <w:name w:val="Abstract"/>
    <w:basedOn w:val="Normal"/>
    <w:qFormat/>
    <w:pPr>
      <w:spacing w:before="144" w:after="144"/>
      <w:ind w:left="567" w:right="567"/>
    </w:pPr>
  </w:style>
  <w:style w:type="paragraph" w:customStyle="1" w:styleId="Table">
    <w:name w:val="Table"/>
    <w:basedOn w:val="Descripcin"/>
    <w:qFormat/>
  </w:style>
  <w:style w:type="paragraph" w:customStyle="1" w:styleId="FigureCaption">
    <w:name w:val="FigureCaption"/>
    <w:basedOn w:val="Descripcin"/>
    <w:qFormat/>
  </w:style>
  <w:style w:type="paragraph" w:customStyle="1" w:styleId="Figure">
    <w:name w:val="Figure"/>
    <w:basedOn w:val="Normal"/>
    <w:qFormat/>
    <w:pPr>
      <w:suppressLineNumbers/>
    </w:pPr>
  </w:style>
  <w:style w:type="paragraph" w:customStyle="1" w:styleId="FigureWithCaption">
    <w:name w:val="FigureWithCaption"/>
    <w:basedOn w:val="Figure"/>
    <w:qFormat/>
    <w:pPr>
      <w:keepNext/>
    </w:pPr>
  </w:style>
  <w:style w:type="paragraph" w:customStyle="1" w:styleId="BlockQuotation">
    <w:name w:val="Block Quotation"/>
    <w:basedOn w:val="Normal"/>
    <w:qFormat/>
    <w:pPr>
      <w:spacing w:before="144" w:after="144"/>
      <w:ind w:left="567" w:right="567"/>
    </w:pPr>
  </w:style>
  <w:style w:type="paragraph" w:customStyle="1" w:styleId="PreformattedText">
    <w:name w:val="Preformatted Text"/>
    <w:basedOn w:val="Normal"/>
    <w:qFormat/>
    <w:rPr>
      <w:rFonts w:ascii="Courier New" w:eastAsia="Courier New" w:hAnsi="Courier New" w:cs="Courier New"/>
      <w:sz w:val="20"/>
      <w:szCs w:val="20"/>
    </w:rPr>
  </w:style>
  <w:style w:type="paragraph" w:customStyle="1" w:styleId="DefinitionTerm">
    <w:name w:val="Definition Term"/>
    <w:basedOn w:val="Normal"/>
    <w:next w:val="DefinitionDefinition"/>
    <w:qFormat/>
    <w:pPr>
      <w:spacing w:before="86" w:after="86"/>
    </w:pPr>
  </w:style>
  <w:style w:type="paragraph" w:customStyle="1" w:styleId="DefinitionDefinition">
    <w:name w:val="Definition Definition"/>
    <w:basedOn w:val="Normal"/>
    <w:next w:val="Textoindependiente"/>
    <w:qFormat/>
    <w:pPr>
      <w:ind w:left="720"/>
    </w:pPr>
  </w:style>
  <w:style w:type="paragraph" w:customStyle="1" w:styleId="TableContents">
    <w:name w:val="Table Contents"/>
    <w:basedOn w:val="Normal"/>
    <w:qFormat/>
    <w:pPr>
      <w:suppressLineNumbers/>
      <w:ind w:left="43" w:right="43"/>
    </w:pPr>
  </w:style>
  <w:style w:type="paragraph" w:customStyle="1" w:styleId="TableHeading">
    <w:name w:val="Table Heading"/>
    <w:basedOn w:val="TableContents"/>
    <w:qFormat/>
    <w:rPr>
      <w:b/>
      <w:bCs/>
    </w:rPr>
  </w:style>
  <w:style w:type="paragraph" w:styleId="Textonotapie">
    <w:name w:val="footnote text"/>
    <w:basedOn w:val="Normal"/>
    <w:pPr>
      <w:suppressLineNumbers/>
      <w:ind w:left="283" w:hanging="283"/>
    </w:pPr>
    <w:rPr>
      <w:sz w:val="20"/>
      <w:szCs w:val="20"/>
    </w:rPr>
  </w:style>
  <w:style w:type="paragraph" w:customStyle="1" w:styleId="HeaderandFooter">
    <w:name w:val="Header and Footer"/>
    <w:basedOn w:val="Normal"/>
    <w:qFormat/>
    <w:pPr>
      <w:suppressLineNumbers/>
      <w:tabs>
        <w:tab w:val="center" w:pos="4819"/>
        <w:tab w:val="right" w:pos="9638"/>
      </w:tabs>
    </w:pPr>
  </w:style>
  <w:style w:type="paragraph" w:styleId="Piedepgina">
    <w:name w:val="footer"/>
    <w:basedOn w:val="Normal"/>
    <w:pPr>
      <w:suppressLineNumbers/>
      <w:tabs>
        <w:tab w:val="center" w:pos="4680"/>
        <w:tab w:val="right" w:pos="9360"/>
      </w:tabs>
    </w:pPr>
  </w:style>
  <w:style w:type="paragraph" w:customStyle="1" w:styleId="DefinitionTermTight">
    <w:name w:val="Definition Term Tight"/>
    <w:basedOn w:val="Normal"/>
    <w:next w:val="DefinitionDefinitionTight"/>
    <w:qFormat/>
    <w:pPr>
      <w:spacing w:before="115" w:after="115"/>
    </w:pPr>
  </w:style>
  <w:style w:type="paragraph" w:customStyle="1" w:styleId="DefinitionDefinitionTight">
    <w:name w:val="Definition Definition Tight"/>
    <w:basedOn w:val="Normal"/>
    <w:qFormat/>
    <w:pPr>
      <w:ind w:left="720"/>
    </w:pPr>
  </w:style>
  <w:style w:type="paragraph" w:customStyle="1" w:styleId="HorizontalLine">
    <w:name w:val="Horizontal Line"/>
    <w:basedOn w:val="Normal"/>
    <w:next w:val="Textoindependiente"/>
    <w:qFormat/>
    <w:pPr>
      <w:suppressLineNumbers/>
      <w:pBdr>
        <w:bottom w:val="double" w:sz="2" w:space="0" w:color="808080"/>
      </w:pBdr>
      <w:spacing w:after="283"/>
    </w:pPr>
    <w:rPr>
      <w:sz w:val="12"/>
      <w:szCs w:val="12"/>
    </w:rPr>
  </w:style>
  <w:style w:type="paragraph" w:customStyle="1" w:styleId="Firstparagraph">
    <w:name w:val="First paragraph"/>
    <w:basedOn w:val="Textoindependiente"/>
    <w:next w:val="Textoindependiente"/>
    <w:qFormat/>
  </w:style>
  <w:style w:type="numbering" w:customStyle="1" w:styleId="Bullet">
    <w:name w:val="Bullet •"/>
    <w:qFormat/>
  </w:style>
  <w:style w:type="numbering" w:customStyle="1" w:styleId="Bullet0">
    <w:name w:val="Bullet –"/>
    <w:qFormat/>
  </w:style>
  <w:style w:type="numbering" w:customStyle="1" w:styleId="Bullet1">
    <w:name w:val="Bullet ☑"/>
    <w:qFormat/>
  </w:style>
  <w:style w:type="numbering" w:customStyle="1" w:styleId="Bullet2">
    <w:name w:val="Bullet ➢"/>
    <w:qFormat/>
  </w:style>
  <w:style w:type="numbering" w:customStyle="1" w:styleId="Bullet3">
    <w:name w:val="Bullet ✗"/>
    <w:qFormat/>
  </w:style>
  <w:style w:type="numbering" w:customStyle="1" w:styleId="Numbering1">
    <w:name w:val="Numbering 1"/>
    <w:qFormat/>
  </w:style>
  <w:style w:type="numbering" w:customStyle="1" w:styleId="Numbering2">
    <w:name w:val="Numbering 2"/>
    <w:qFormat/>
  </w:style>
  <w:style w:type="numbering" w:customStyle="1" w:styleId="Numbering3">
    <w:name w:val="Numbering 3"/>
    <w:qFormat/>
  </w:style>
  <w:style w:type="numbering" w:customStyle="1" w:styleId="Numbering4">
    <w:name w:val="Numbering 4"/>
    <w:qFormat/>
  </w:style>
  <w:style w:type="numbering" w:customStyle="1" w:styleId="Numbering5">
    <w:name w:val="Numbering 5"/>
    <w:qFormat/>
  </w:style>
  <w:style w:type="character" w:styleId="Textodelmarcadordeposicin">
    <w:name w:val="Placeholder Text"/>
    <w:basedOn w:val="Fuentedeprrafopredeter"/>
    <w:uiPriority w:val="99"/>
    <w:semiHidden/>
    <w:rsid w:val="000C3E1C"/>
    <w:rPr>
      <w:color w:val="808080"/>
    </w:rPr>
  </w:style>
  <w:style w:type="paragraph" w:styleId="NormalWeb">
    <w:name w:val="Normal (Web)"/>
    <w:basedOn w:val="Normal"/>
    <w:uiPriority w:val="99"/>
    <w:unhideWhenUsed/>
    <w:rsid w:val="005D27B0"/>
    <w:pPr>
      <w:widowControl/>
      <w:suppressAutoHyphens w:val="0"/>
      <w:overflowPunct/>
      <w:spacing w:before="100" w:beforeAutospacing="1" w:after="100" w:afterAutospacing="1"/>
    </w:pPr>
    <w:rPr>
      <w:rFonts w:eastAsia="Times New Roman" w:cs="Times New Roman"/>
      <w:kern w:val="0"/>
      <w:lang w:val="es-ES"/>
    </w:rPr>
  </w:style>
  <w:style w:type="character" w:customStyle="1" w:styleId="katex-mathml">
    <w:name w:val="katex-mathml"/>
    <w:basedOn w:val="Fuentedeprrafopredeter"/>
    <w:rsid w:val="00A9553C"/>
  </w:style>
  <w:style w:type="character" w:customStyle="1" w:styleId="mopen">
    <w:name w:val="mopen"/>
    <w:basedOn w:val="Fuentedeprrafopredeter"/>
    <w:rsid w:val="00A9553C"/>
  </w:style>
  <w:style w:type="character" w:customStyle="1" w:styleId="mord">
    <w:name w:val="mord"/>
    <w:basedOn w:val="Fuentedeprrafopredeter"/>
    <w:rsid w:val="00A9553C"/>
  </w:style>
  <w:style w:type="character" w:customStyle="1" w:styleId="mbin">
    <w:name w:val="mbin"/>
    <w:basedOn w:val="Fuentedeprrafopredeter"/>
    <w:rsid w:val="00A9553C"/>
  </w:style>
  <w:style w:type="character" w:customStyle="1" w:styleId="vlist-s">
    <w:name w:val="vlist-s"/>
    <w:basedOn w:val="Fuentedeprrafopredeter"/>
    <w:rsid w:val="00A9553C"/>
  </w:style>
  <w:style w:type="character" w:customStyle="1" w:styleId="mclose">
    <w:name w:val="mclose"/>
    <w:basedOn w:val="Fuentedeprrafopredeter"/>
    <w:rsid w:val="00A9553C"/>
  </w:style>
  <w:style w:type="character" w:customStyle="1" w:styleId="TextoindependienteCar">
    <w:name w:val="Texto independiente Car"/>
    <w:basedOn w:val="Fuentedeprrafopredeter"/>
    <w:link w:val="Textoindependiente"/>
    <w:rsid w:val="00EB7398"/>
  </w:style>
  <w:style w:type="character" w:customStyle="1" w:styleId="mpunct">
    <w:name w:val="mpunct"/>
    <w:basedOn w:val="Fuentedeprrafopredeter"/>
    <w:rsid w:val="007E4AF4"/>
  </w:style>
  <w:style w:type="character" w:customStyle="1" w:styleId="mspace">
    <w:name w:val="mspace"/>
    <w:basedOn w:val="Fuentedeprrafopredeter"/>
    <w:rsid w:val="007E4AF4"/>
  </w:style>
  <w:style w:type="table" w:styleId="Tablaconcuadrcula">
    <w:name w:val="Table Grid"/>
    <w:basedOn w:val="Tablanormal"/>
    <w:uiPriority w:val="39"/>
    <w:rsid w:val="00EB55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B7D60"/>
    <w:pPr>
      <w:tabs>
        <w:tab w:val="center" w:pos="4252"/>
        <w:tab w:val="right" w:pos="8504"/>
      </w:tabs>
    </w:pPr>
  </w:style>
  <w:style w:type="character" w:customStyle="1" w:styleId="EncabezadoCar">
    <w:name w:val="Encabezado Car"/>
    <w:basedOn w:val="Fuentedeprrafopredeter"/>
    <w:link w:val="Encabezado"/>
    <w:uiPriority w:val="99"/>
    <w:rsid w:val="008B7D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148261">
      <w:bodyDiv w:val="1"/>
      <w:marLeft w:val="0"/>
      <w:marRight w:val="0"/>
      <w:marTop w:val="0"/>
      <w:marBottom w:val="0"/>
      <w:divBdr>
        <w:top w:val="none" w:sz="0" w:space="0" w:color="auto"/>
        <w:left w:val="none" w:sz="0" w:space="0" w:color="auto"/>
        <w:bottom w:val="none" w:sz="0" w:space="0" w:color="auto"/>
        <w:right w:val="none" w:sz="0" w:space="0" w:color="auto"/>
      </w:divBdr>
    </w:div>
    <w:div w:id="733937883">
      <w:bodyDiv w:val="1"/>
      <w:marLeft w:val="0"/>
      <w:marRight w:val="0"/>
      <w:marTop w:val="0"/>
      <w:marBottom w:val="0"/>
      <w:divBdr>
        <w:top w:val="none" w:sz="0" w:space="0" w:color="auto"/>
        <w:left w:val="none" w:sz="0" w:space="0" w:color="auto"/>
        <w:bottom w:val="none" w:sz="0" w:space="0" w:color="auto"/>
        <w:right w:val="none" w:sz="0" w:space="0" w:color="auto"/>
      </w:divBdr>
    </w:div>
    <w:div w:id="742995374">
      <w:bodyDiv w:val="1"/>
      <w:marLeft w:val="0"/>
      <w:marRight w:val="0"/>
      <w:marTop w:val="0"/>
      <w:marBottom w:val="0"/>
      <w:divBdr>
        <w:top w:val="none" w:sz="0" w:space="0" w:color="auto"/>
        <w:left w:val="none" w:sz="0" w:space="0" w:color="auto"/>
        <w:bottom w:val="none" w:sz="0" w:space="0" w:color="auto"/>
        <w:right w:val="none" w:sz="0" w:space="0" w:color="auto"/>
      </w:divBdr>
    </w:div>
    <w:div w:id="1805392902">
      <w:bodyDiv w:val="1"/>
      <w:marLeft w:val="0"/>
      <w:marRight w:val="0"/>
      <w:marTop w:val="0"/>
      <w:marBottom w:val="0"/>
      <w:divBdr>
        <w:top w:val="none" w:sz="0" w:space="0" w:color="auto"/>
        <w:left w:val="none" w:sz="0" w:space="0" w:color="auto"/>
        <w:bottom w:val="none" w:sz="0" w:space="0" w:color="auto"/>
        <w:right w:val="none" w:sz="0" w:space="0" w:color="auto"/>
      </w:divBdr>
    </w:div>
    <w:div w:id="1831865448">
      <w:bodyDiv w:val="1"/>
      <w:marLeft w:val="0"/>
      <w:marRight w:val="0"/>
      <w:marTop w:val="0"/>
      <w:marBottom w:val="0"/>
      <w:divBdr>
        <w:top w:val="none" w:sz="0" w:space="0" w:color="auto"/>
        <w:left w:val="none" w:sz="0" w:space="0" w:color="auto"/>
        <w:bottom w:val="none" w:sz="0" w:space="0" w:color="auto"/>
        <w:right w:val="none" w:sz="0" w:space="0" w:color="auto"/>
      </w:divBdr>
    </w:div>
    <w:div w:id="1865706499">
      <w:bodyDiv w:val="1"/>
      <w:marLeft w:val="0"/>
      <w:marRight w:val="0"/>
      <w:marTop w:val="0"/>
      <w:marBottom w:val="0"/>
      <w:divBdr>
        <w:top w:val="none" w:sz="0" w:space="0" w:color="auto"/>
        <w:left w:val="none" w:sz="0" w:space="0" w:color="auto"/>
        <w:bottom w:val="none" w:sz="0" w:space="0" w:color="auto"/>
        <w:right w:val="none" w:sz="0" w:space="0" w:color="auto"/>
      </w:divBdr>
    </w:div>
    <w:div w:id="1948349667">
      <w:bodyDiv w:val="1"/>
      <w:marLeft w:val="0"/>
      <w:marRight w:val="0"/>
      <w:marTop w:val="0"/>
      <w:marBottom w:val="0"/>
      <w:divBdr>
        <w:top w:val="none" w:sz="0" w:space="0" w:color="auto"/>
        <w:left w:val="none" w:sz="0" w:space="0" w:color="auto"/>
        <w:bottom w:val="none" w:sz="0" w:space="0" w:color="auto"/>
        <w:right w:val="none" w:sz="0" w:space="0" w:color="auto"/>
      </w:divBdr>
    </w:div>
    <w:div w:id="21123856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jp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1955C1-E3BD-489C-A1DB-AC22DCA22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647</Words>
  <Characters>3563</Characters>
  <Application>Microsoft Office Word</Application>
  <DocSecurity>0</DocSecurity>
  <Lines>29</Lines>
  <Paragraphs>8</Paragraphs>
  <ScaleCrop>false</ScaleCrop>
  <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Javier Used Villuendas</cp:lastModifiedBy>
  <cp:revision>56</cp:revision>
  <dcterms:created xsi:type="dcterms:W3CDTF">2025-07-16T08:42:00Z</dcterms:created>
  <dcterms:modified xsi:type="dcterms:W3CDTF">2025-09-23T15:34:00Z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2025-07-04T12:59:44Z</dcterms:created>
  <dc:creator/>
  <dc:description/>
  <dc:language>en-US</dc:language>
  <cp:lastModifiedBy/>
  <dcterms:modified xsi:type="dcterms:W3CDTF">2025-07-15T13:29:27Z</dcterms:modified>
  <cp:revision>38</cp:revision>
  <dc:subject/>
  <dc:title/>
</cp:coreProperties>
</file>