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346F1" w14:textId="43BFBBDE" w:rsidR="00582AC4" w:rsidRPr="004D7EE5" w:rsidRDefault="004D7EE5" w:rsidP="00FE555D">
      <w:pPr>
        <w:pStyle w:val="Ttulo2"/>
        <w:rPr>
          <w:sz w:val="32"/>
          <w:szCs w:val="32"/>
        </w:rPr>
      </w:pPr>
      <w:bookmarkStart w:id="0" w:name="objetivo"/>
      <w:r>
        <w:rPr>
          <w:sz w:val="40"/>
          <w:szCs w:val="40"/>
        </w:rPr>
        <w:t>Capacidad de un condensador de placas paralelas</w:t>
      </w:r>
    </w:p>
    <w:p w14:paraId="630BF647" w14:textId="4C36C7FE" w:rsidR="007025F1" w:rsidRPr="000E12E0" w:rsidRDefault="009F7FA1" w:rsidP="006416A6">
      <w:pPr>
        <w:pStyle w:val="Ttulo2"/>
        <w:ind w:right="-115"/>
        <w:jc w:val="both"/>
        <w:rPr>
          <w:sz w:val="36"/>
          <w:szCs w:val="36"/>
        </w:rPr>
      </w:pPr>
      <w:r>
        <w:rPr>
          <w:sz w:val="36"/>
          <w:szCs w:val="36"/>
        </w:rPr>
        <w:t>Objetivo</w:t>
      </w:r>
    </w:p>
    <w:bookmarkEnd w:id="0"/>
    <w:p w14:paraId="07F53FCD" w14:textId="66E2F3F6" w:rsidR="00CC26F4" w:rsidRPr="00CC5B78" w:rsidRDefault="00CC5B78" w:rsidP="00923C44">
      <w:pPr>
        <w:pStyle w:val="Ttulo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0"/>
          <w:bCs w:val="0"/>
          <w:i w:val="0"/>
          <w:iCs w:val="0"/>
          <w:sz w:val="24"/>
          <w:szCs w:val="24"/>
        </w:rPr>
        <w:t>Se estudiará la capacidad de un condensador de placas paralelas, analizando su comportamiento cuando se varía la distancia entre las placas y en función del dieléctrico situado entre las placas.</w:t>
      </w:r>
    </w:p>
    <w:p w14:paraId="5ED92A40" w14:textId="77777777" w:rsidR="00582AC4" w:rsidRPr="000E12E0" w:rsidRDefault="00582AC4" w:rsidP="00582AC4">
      <w:pPr>
        <w:pStyle w:val="Textoindependiente"/>
      </w:pPr>
    </w:p>
    <w:p w14:paraId="14B04B55" w14:textId="1C5BC730" w:rsidR="007025F1" w:rsidRPr="000E12E0" w:rsidRDefault="009F7FA1" w:rsidP="006416A6">
      <w:pPr>
        <w:pStyle w:val="Ttulo2"/>
        <w:numPr>
          <w:ilvl w:val="0"/>
          <w:numId w:val="0"/>
        </w:numPr>
        <w:tabs>
          <w:tab w:val="num" w:pos="0"/>
        </w:tabs>
        <w:ind w:right="-115"/>
        <w:jc w:val="both"/>
        <w:rPr>
          <w:sz w:val="36"/>
          <w:szCs w:val="36"/>
        </w:rPr>
      </w:pPr>
      <w:r>
        <w:rPr>
          <w:sz w:val="36"/>
          <w:szCs w:val="36"/>
        </w:rPr>
        <w:t>Fundamento Teórico</w:t>
      </w:r>
    </w:p>
    <w:p w14:paraId="6E93CD83" w14:textId="451C2DF2" w:rsidR="00C55109" w:rsidRDefault="00C55109" w:rsidP="00C55109">
      <w:pPr>
        <w:pStyle w:val="FirstParagraph1"/>
        <w:tabs>
          <w:tab w:val="num" w:pos="0"/>
        </w:tabs>
        <w:ind w:right="-115"/>
        <w:jc w:val="both"/>
      </w:pPr>
      <w:r>
        <w:t xml:space="preserve">Un condensador está formado por dos conductores con cargas del mismo valor, pero de signo opuesto. En un condensador de placas paralelas, los conductores son 2 placas planas paralelas, separadas una distancia </w:t>
      </w:r>
      <m:oMath>
        <m:r>
          <w:rPr>
            <w:rFonts w:ascii="Cambria Math" w:hAnsi="Cambria Math"/>
          </w:rPr>
          <m:t>d</m:t>
        </m:r>
      </m:oMath>
      <w:r>
        <w:t xml:space="preserve">, con un medio de permitividad eléctrica </w:t>
      </w:r>
      <w:r>
        <w:rPr>
          <w:rFonts w:ascii="Cambria Math" w:hAnsi="Cambria Math"/>
        </w:rPr>
        <w:t>ε</w:t>
      </w:r>
      <w:r>
        <w:t xml:space="preserve"> entre ambas. </w:t>
      </w:r>
    </w:p>
    <w:p w14:paraId="37401493" w14:textId="2C01B005" w:rsidR="00C55109" w:rsidRDefault="00C55109" w:rsidP="00C55109">
      <w:pPr>
        <w:pStyle w:val="FirstParagraph1"/>
        <w:tabs>
          <w:tab w:val="num" w:pos="0"/>
        </w:tabs>
        <w:ind w:right="-115"/>
        <w:jc w:val="both"/>
      </w:pPr>
      <w:r>
        <w:t xml:space="preserve">Supongamos que colocamos una placa de superficie S, cargada con una distribución superficial homogénea de carga σ, en el plano x= 0, con centro en el origen, y la otra placa, cargada con una distribución superficial homogénea de carga−σ, la situamos paralelamente a la primera, en el plano x = d. Si la distancia entre placas d es menor que el lado de una placa se puede aproximar a un condensador plano de placas infinitas. </w:t>
      </w:r>
    </w:p>
    <w:p w14:paraId="30621A27" w14:textId="27D11F67" w:rsidR="00C55109" w:rsidRDefault="00C55109" w:rsidP="00C55109">
      <w:pPr>
        <w:pStyle w:val="FirstParagraph1"/>
        <w:tabs>
          <w:tab w:val="num" w:pos="0"/>
        </w:tabs>
        <w:ind w:right="-115"/>
        <w:jc w:val="both"/>
      </w:pPr>
      <w:r>
        <w:t xml:space="preserve">Para calcular la capacidad del condensador, se comienza calculando el campo eléctrico </w:t>
      </w:r>
      <w:r>
        <w:rPr>
          <w:i/>
          <w:iCs/>
        </w:rPr>
        <w:t>E</w:t>
      </w:r>
      <w:r>
        <w:t xml:space="preserve"> creado en el interior del condensador. El campo en la región entre ambas placas a partir de la Ley de Gauss, considerando una densidad superficial de carga </w:t>
      </w:r>
      <m:oMath>
        <m:r>
          <m:rPr>
            <m:sty m:val="p"/>
          </m:rPr>
          <w:rPr>
            <w:rFonts w:ascii="Cambria Math" w:hAnsi="Cambria Math"/>
          </w:rPr>
          <m:t>σ=Q/S</m:t>
        </m:r>
      </m:oMath>
      <w:r>
        <w:t xml:space="preserve">, es: </w:t>
      </w:r>
    </w:p>
    <w:p w14:paraId="3E922056" w14:textId="14E4940B" w:rsidR="00C55109" w:rsidRPr="000E12E0" w:rsidRDefault="00C55109" w:rsidP="3A7F126D">
      <w:pPr>
        <w:pStyle w:val="FirstParagraph1"/>
        <w:tabs>
          <w:tab w:val="num" w:pos="0"/>
        </w:tabs>
        <w:ind w:right="-115"/>
        <w:jc w:val="center"/>
      </w:pPr>
      <m:oMathPara>
        <m:oMath>
          <m:r>
            <w:rPr>
              <w:rFonts w:ascii="Cambria Math" w:hAnsi="Cambria Math"/>
            </w:rPr>
            <m:t xml:space="preserve"> E=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</m:den>
          </m:f>
        </m:oMath>
      </m:oMathPara>
    </w:p>
    <w:p w14:paraId="06EF58BD" w14:textId="1C010A34" w:rsidR="00C55109" w:rsidRDefault="003740DF" w:rsidP="00C55109">
      <w:pPr>
        <w:pStyle w:val="Textoindependiente"/>
        <w:tabs>
          <w:tab w:val="num" w:pos="0"/>
        </w:tabs>
        <w:ind w:right="-115"/>
        <w:jc w:val="both"/>
      </w:pPr>
      <w:r>
        <w:t xml:space="preserve">donde </w:t>
      </w:r>
      <m:oMath>
        <m:r>
          <m:rPr>
            <m:sty m:val="p"/>
          </m:rPr>
          <w:rPr>
            <w:rFonts w:ascii="Cambria Math" w:hAnsi="Cambria Math"/>
          </w:rPr>
          <m:t>ε</m:t>
        </m:r>
      </m:oMath>
      <w:r>
        <w:t xml:space="preserve"> es la permitividad eléctrica del material entre las placas. Entonces, como el campo eléctrico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</m:oMath>
      <w:r>
        <w:t xml:space="preserve"> es conservativo, se puede obtener el potencial eléctrico a partir de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</m:oMath>
      <w:r>
        <w:t>, por lo que tenemos:</w:t>
      </w:r>
    </w:p>
    <w:p w14:paraId="272C07CE" w14:textId="77777777" w:rsidR="00C55109" w:rsidRPr="000E12E0" w:rsidRDefault="00C55109" w:rsidP="00C55109">
      <w:pPr>
        <w:pStyle w:val="Textoindependiente"/>
        <w:tabs>
          <w:tab w:val="num" w:pos="0"/>
        </w:tabs>
        <w:ind w:right="-115"/>
        <w:jc w:val="both"/>
      </w:pPr>
      <m:oMathPara>
        <m:oMath>
          <m:r>
            <w:rPr>
              <w:rFonts w:ascii="Cambria Math" w:hAnsi="Cambria Math"/>
            </w:rPr>
            <m:t xml:space="preserve">ΔV=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</m:den>
          </m:f>
          <m:r>
            <w:rPr>
              <w:rFonts w:ascii="Cambria Math" w:hAnsi="Cambria Math"/>
            </w:rPr>
            <m:t xml:space="preserve"> d</m:t>
          </m:r>
        </m:oMath>
      </m:oMathPara>
    </w:p>
    <w:p w14:paraId="5F3425B4" w14:textId="77777777" w:rsidR="00C55109" w:rsidRPr="000E12E0" w:rsidRDefault="00C55109" w:rsidP="00C55109">
      <w:pPr>
        <w:pStyle w:val="Textoindependiente"/>
        <w:tabs>
          <w:tab w:val="num" w:pos="0"/>
        </w:tabs>
        <w:ind w:right="-115"/>
        <w:jc w:val="both"/>
      </w:pPr>
      <w:r>
        <w:t>La capacidad del condensador de placas de superficie S se calcula a partir de la definición de capacidad:</w:t>
      </w:r>
    </w:p>
    <w:p w14:paraId="6E97493F" w14:textId="77777777" w:rsidR="00C55109" w:rsidRPr="000E12E0" w:rsidRDefault="00C55109" w:rsidP="00C55109">
      <w:pPr>
        <w:pStyle w:val="Textoindependiente"/>
        <w:tabs>
          <w:tab w:val="num" w:pos="0"/>
        </w:tabs>
        <w:ind w:right="-115"/>
        <w:jc w:val="center"/>
      </w:pPr>
      <m:oMath>
        <m:r>
          <w:rPr>
            <w:rFonts w:ascii="Cambria Math" w:hAnsi="Cambria Math"/>
          </w:rPr>
          <m:t xml:space="preserve">C=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Q</m:t>
            </m:r>
          </m:num>
          <m:den>
            <m:r>
              <w:rPr>
                <w:rFonts w:ascii="Cambria Math" w:hAnsi="Cambria Math"/>
              </w:rPr>
              <m:t>ΔV</m:t>
            </m:r>
          </m:den>
        </m:f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ε</m:t>
            </m:r>
            <m:r>
              <w:rPr>
                <w:rFonts w:ascii="Cambria Math" w:hAnsi="Cambria Math"/>
              </w:rPr>
              <m:t xml:space="preserve"> S</m:t>
            </m:r>
          </m:num>
          <m:den>
            <m:r>
              <w:rPr>
                <w:rFonts w:ascii="Cambria Math" w:hAnsi="Cambria Math"/>
              </w:rPr>
              <m:t>d</m:t>
            </m:r>
          </m:den>
        </m:f>
      </m:oMath>
      <w:r>
        <w:t xml:space="preserve"> .</w:t>
      </w:r>
      <w:bookmarkStart w:id="1" w:name="fundamento-teórico_Copy_1"/>
      <w:bookmarkEnd w:id="1"/>
    </w:p>
    <w:p w14:paraId="3CE1F471" w14:textId="77777777" w:rsidR="00C55109" w:rsidRDefault="00C55109" w:rsidP="00C55109">
      <w:pPr>
        <w:pStyle w:val="Textoindependiente"/>
        <w:tabs>
          <w:tab w:val="num" w:pos="0"/>
        </w:tabs>
        <w:ind w:right="-115"/>
        <w:jc w:val="both"/>
      </w:pPr>
      <w:r>
        <w:t>Cuando se mide la capacidad de un condensador no ideal, éste puede presentar una capacidad residual propia del montaje experimental, C0. Entonces la fórmula se modifica:</w:t>
      </w:r>
    </w:p>
    <w:p w14:paraId="436B64F3" w14:textId="77777777" w:rsidR="00C55109" w:rsidRPr="000E12E0" w:rsidRDefault="00C55109" w:rsidP="00C55109">
      <w:pPr>
        <w:pStyle w:val="Textoindependiente"/>
        <w:tabs>
          <w:tab w:val="num" w:pos="0"/>
        </w:tabs>
        <w:ind w:right="-115"/>
      </w:pPr>
      <m:oMathPara>
        <m:oMath>
          <m:r>
            <w:rPr>
              <w:rFonts w:ascii="Cambria Math" w:hAnsi="Cambria Math"/>
            </w:rPr>
            <m:t xml:space="preserve">C=Cm-C0=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ΔV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  <m:r>
                <w:rPr>
                  <w:rFonts w:ascii="Cambria Math" w:hAnsi="Cambria Math"/>
                </w:rPr>
                <m:t xml:space="preserve"> S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</m:oMath>
      </m:oMathPara>
    </w:p>
    <w:p w14:paraId="0A0C8636" w14:textId="36E04060" w:rsidR="00C55109" w:rsidRDefault="003740DF" w:rsidP="00C55109">
      <w:pPr>
        <w:pStyle w:val="Textoindependiente"/>
        <w:tabs>
          <w:tab w:val="num" w:pos="0"/>
        </w:tabs>
        <w:ind w:right="-115"/>
        <w:jc w:val="both"/>
      </w:pPr>
      <w:r>
        <w:t>donde Cm es la capacidad medida por el instrumento y C0 la capacidad residual.</w:t>
      </w:r>
    </w:p>
    <w:p w14:paraId="2A7F68D4" w14:textId="77777777" w:rsidR="007941FE" w:rsidRPr="002E317B" w:rsidRDefault="007941FE" w:rsidP="002E317B">
      <w:pPr>
        <w:pStyle w:val="Textoindependiente"/>
        <w:tabs>
          <w:tab w:val="num" w:pos="0"/>
        </w:tabs>
        <w:ind w:right="-115"/>
        <w:jc w:val="both"/>
      </w:pPr>
    </w:p>
    <w:p w14:paraId="07BD426C" w14:textId="3B843384" w:rsidR="0076597B" w:rsidRPr="000E12E0" w:rsidRDefault="009F7FA1" w:rsidP="006416A6">
      <w:pPr>
        <w:pStyle w:val="Ttulo2"/>
        <w:numPr>
          <w:ilvl w:val="0"/>
          <w:numId w:val="0"/>
        </w:numPr>
        <w:tabs>
          <w:tab w:val="num" w:pos="0"/>
        </w:tabs>
        <w:ind w:right="-115"/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Montaje Experimental</w:t>
      </w:r>
    </w:p>
    <w:p w14:paraId="191B213E" w14:textId="77777777" w:rsidR="006416A6" w:rsidRPr="000E12E0" w:rsidRDefault="006416A6" w:rsidP="006416A6">
      <w:pPr>
        <w:pStyle w:val="Textoindependiente"/>
      </w:pPr>
    </w:p>
    <w:p w14:paraId="122FBF34" w14:textId="0095C3CC" w:rsidR="0076597B" w:rsidRPr="000E12E0" w:rsidRDefault="00032CD1" w:rsidP="00032CD1">
      <w:pPr>
        <w:pStyle w:val="Textoindependiente"/>
        <w:tabs>
          <w:tab w:val="num" w:pos="0"/>
        </w:tabs>
        <w:ind w:right="-115"/>
        <w:jc w:val="both"/>
      </w:pPr>
      <w:r>
        <w:t>El montaje experimental se muestra en la figura. El medidor de capacidad viene directamente conectado a las placas metálicas y debe configurarse en modo medición de capacidad. El aparato ajusta automáticamente la escala. Para realizar las medidas correctamente el alumno debe asegurarse que las placas son lo más paralelas posible.</w:t>
      </w:r>
    </w:p>
    <w:p w14:paraId="3AC76F45" w14:textId="77777777" w:rsidR="00B05860" w:rsidRPr="000E12E0" w:rsidRDefault="00B05860" w:rsidP="006416A6">
      <w:pPr>
        <w:pStyle w:val="Textoindependiente"/>
        <w:tabs>
          <w:tab w:val="num" w:pos="0"/>
        </w:tabs>
        <w:ind w:right="-115"/>
        <w:jc w:val="both"/>
      </w:pPr>
    </w:p>
    <w:p w14:paraId="5728D848" w14:textId="55ECC679" w:rsidR="00FE27D6" w:rsidRPr="000E12E0" w:rsidRDefault="00032CD1" w:rsidP="00032CD1">
      <w:pPr>
        <w:pStyle w:val="Textoindependiente"/>
        <w:tabs>
          <w:tab w:val="num" w:pos="0"/>
        </w:tabs>
        <w:ind w:right="-115"/>
        <w:jc w:val="center"/>
      </w:pPr>
      <w:r>
        <w:rPr>
          <w:noProof/>
          <w:lang w:eastAsia="es-ES"/>
        </w:rPr>
        <w:drawing>
          <wp:inline distT="0" distB="0" distL="0" distR="0" wp14:anchorId="7786EA18" wp14:editId="1E3F514D">
            <wp:extent cx="3887241" cy="2998694"/>
            <wp:effectExtent l="0" t="0" r="0" b="0"/>
            <wp:docPr id="1413661246" name="Picture 1" descr="A machine on a table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61246" name="Picture 1" descr="A machine on a table  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555" cy="302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63E9" w14:textId="348E30BA" w:rsidR="008B6341" w:rsidRPr="000E12E0" w:rsidRDefault="00AB12CC" w:rsidP="00CC26F4">
      <w:pPr>
        <w:pStyle w:val="ImageCaption"/>
        <w:tabs>
          <w:tab w:val="num" w:pos="0"/>
        </w:tabs>
        <w:ind w:right="-115"/>
        <w:jc w:val="center"/>
      </w:pPr>
      <w:r>
        <w:t>Figura 1. Dispositivo y montaje experimental</w:t>
      </w:r>
      <w:bookmarkStart w:id="2" w:name="X56a192b7913b04c54574d18c28d46e6395428ab"/>
      <w:bookmarkEnd w:id="2"/>
    </w:p>
    <w:p w14:paraId="203AE26B" w14:textId="560E7B05" w:rsidR="007025F1" w:rsidRPr="000E12E0" w:rsidRDefault="009F7FA1" w:rsidP="006416A6">
      <w:pPr>
        <w:pStyle w:val="Ttulo2"/>
        <w:numPr>
          <w:ilvl w:val="0"/>
          <w:numId w:val="0"/>
        </w:numPr>
        <w:tabs>
          <w:tab w:val="num" w:pos="0"/>
        </w:tabs>
        <w:ind w:right="-115"/>
        <w:rPr>
          <w:sz w:val="36"/>
          <w:szCs w:val="36"/>
        </w:rPr>
      </w:pPr>
      <w:bookmarkStart w:id="3" w:name="resultados"/>
      <w:r>
        <w:rPr>
          <w:sz w:val="36"/>
          <w:szCs w:val="36"/>
        </w:rPr>
        <w:t>Resultados</w:t>
      </w:r>
      <w:bookmarkEnd w:id="3"/>
    </w:p>
    <w:p w14:paraId="44E78902" w14:textId="1718F374" w:rsidR="004715B1" w:rsidRDefault="004715B1" w:rsidP="004715B1">
      <w:pPr>
        <w:pStyle w:val="Textoindependiente"/>
        <w:tabs>
          <w:tab w:val="num" w:pos="0"/>
        </w:tabs>
        <w:ind w:right="-115"/>
        <w:jc w:val="both"/>
      </w:pPr>
      <w:r>
        <w:t>En primer lugar, se debe medir la capacidad residual del montaje debido a la presencia de cables de conexión, ya que este valor constituye un sesgo sistemático a las capacidades que se midan posteriormente. Para ello, se deben de separar las placas una distancia de 1m (o lo máximo que se pueda) y medir esa capacidad residual:</w:t>
      </w:r>
    </w:p>
    <w:tbl>
      <w:tblPr>
        <w:tblW w:w="223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7"/>
      </w:tblGrid>
      <w:tr w:rsidR="004715B1" w:rsidRPr="000E12E0" w14:paraId="44323402" w14:textId="77777777" w:rsidTr="004715B1">
        <w:trPr>
          <w:jc w:val="center"/>
        </w:trPr>
        <w:tc>
          <w:tcPr>
            <w:tcW w:w="4247" w:type="dxa"/>
          </w:tcPr>
          <w:p w14:paraId="61603DDD" w14:textId="64AE72DF" w:rsidR="004715B1" w:rsidRPr="000E12E0" w:rsidRDefault="00000000" w:rsidP="00CC5E8A">
            <w:pPr>
              <w:pStyle w:val="TableContents"/>
              <w:tabs>
                <w:tab w:val="num" w:pos="0"/>
              </w:tabs>
              <w:ind w:left="0" w:right="-115"/>
              <w:jc w:val="both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±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</w:tbl>
    <w:p w14:paraId="12405697" w14:textId="3271728C" w:rsidR="00A0740F" w:rsidRPr="004F2D1F" w:rsidRDefault="00A0740F" w:rsidP="00CC5E8A">
      <w:pPr>
        <w:pStyle w:val="Textoindependiente"/>
        <w:jc w:val="both"/>
      </w:pPr>
      <w:r>
        <w:t>Se debe medir también el lado L de las placas del condensador, ya que, a partir de este valor, se calculará su superficie S.</w:t>
      </w:r>
    </w:p>
    <w:tbl>
      <w:tblPr>
        <w:tblW w:w="223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7"/>
      </w:tblGrid>
      <w:tr w:rsidR="00A0740F" w:rsidRPr="000E12E0" w14:paraId="36F4EFAF" w14:textId="77777777" w:rsidTr="006D098F">
        <w:trPr>
          <w:jc w:val="center"/>
        </w:trPr>
        <w:tc>
          <w:tcPr>
            <w:tcW w:w="4247" w:type="dxa"/>
          </w:tcPr>
          <w:p w14:paraId="4946AA02" w14:textId="77777777" w:rsidR="00A0740F" w:rsidRPr="000E12E0" w:rsidRDefault="00A0740F" w:rsidP="006D098F">
            <w:pPr>
              <w:pStyle w:val="TableContents"/>
              <w:tabs>
                <w:tab w:val="num" w:pos="0"/>
              </w:tabs>
              <w:ind w:left="0" w:right="-115"/>
              <w:jc w:val="both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L±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  <w:tr w:rsidR="00A0740F" w:rsidRPr="000E12E0" w14:paraId="11227F56" w14:textId="77777777" w:rsidTr="006D098F">
        <w:trPr>
          <w:jc w:val="center"/>
        </w:trPr>
        <w:tc>
          <w:tcPr>
            <w:tcW w:w="4247" w:type="dxa"/>
          </w:tcPr>
          <w:p w14:paraId="6D9BE80F" w14:textId="77777777" w:rsidR="00A0740F" w:rsidRPr="000E12E0" w:rsidRDefault="00A0740F" w:rsidP="006D098F">
            <w:pPr>
              <w:pStyle w:val="TableContents"/>
              <w:tabs>
                <w:tab w:val="num" w:pos="0"/>
              </w:tabs>
              <w:ind w:left="0" w:right="-115"/>
              <w:jc w:val="both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S±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</w:tbl>
    <w:p w14:paraId="2B31BDDC" w14:textId="77777777" w:rsidR="00CC5E8A" w:rsidRDefault="00CC5E8A" w:rsidP="00CC5E8A">
      <w:pPr>
        <w:pStyle w:val="Textoindependiente"/>
        <w:jc w:val="both"/>
      </w:pPr>
    </w:p>
    <w:p w14:paraId="1E8D0FC6" w14:textId="3F9B9F45" w:rsidR="002963FD" w:rsidRDefault="00A0740F" w:rsidP="00CC5E8A">
      <w:pPr>
        <w:pStyle w:val="Textoindependiente"/>
        <w:jc w:val="both"/>
      </w:pPr>
      <w:r>
        <w:t xml:space="preserve">A continuación, se medirán las capacidades correspondientes a diversas distancias entre las placas para lo cual se introducirán planchas cuadradas de un material dieléctrico que llenan el espacio entre las placas y se medirá el grosor de las placas utilizadas. En la Tabla 1 se registrarán las mediciones realizadas de cada capacidad (Cm), así como los logaritmos neperianos correspondientes a las </w:t>
      </w:r>
      <w:r>
        <w:lastRenderedPageBreak/>
        <w:t>distancias y capacidades medidas. Esto permitirá realizar un ajuste lineal y determinar la permitividad eléctrica del material insertado (</w:t>
      </w:r>
      <m:oMath>
        <m:r>
          <w:rPr>
            <w:rFonts w:ascii="Cambria Math" w:hAnsi="Cambria Math"/>
          </w:rPr>
          <m:t>ε</m:t>
        </m:r>
      </m:oMath>
      <w:r>
        <w:t>).</w:t>
      </w:r>
    </w:p>
    <w:p w14:paraId="0850D733" w14:textId="77777777" w:rsidR="00977681" w:rsidRPr="000E12E0" w:rsidRDefault="00977681" w:rsidP="006416A6">
      <w:pPr>
        <w:pStyle w:val="Textoindependiente"/>
        <w:tabs>
          <w:tab w:val="num" w:pos="0"/>
        </w:tabs>
        <w:ind w:right="-115"/>
      </w:pPr>
    </w:p>
    <w:tbl>
      <w:tblPr>
        <w:tblStyle w:val="Tablaconcuadrcula"/>
        <w:tblW w:w="8994" w:type="dxa"/>
        <w:jc w:val="center"/>
        <w:tblLayout w:type="fixed"/>
        <w:tblLook w:val="04A0" w:firstRow="1" w:lastRow="0" w:firstColumn="1" w:lastColumn="0" w:noHBand="0" w:noVBand="1"/>
      </w:tblPr>
      <w:tblGrid>
        <w:gridCol w:w="768"/>
        <w:gridCol w:w="708"/>
        <w:gridCol w:w="767"/>
        <w:gridCol w:w="767"/>
        <w:gridCol w:w="1496"/>
        <w:gridCol w:w="1496"/>
        <w:gridCol w:w="1496"/>
        <w:gridCol w:w="1496"/>
      </w:tblGrid>
      <w:tr w:rsidR="00AE3CE4" w:rsidRPr="000E12E0" w14:paraId="2FA02EEF" w14:textId="315071C4" w:rsidTr="00AE3CE4">
        <w:trPr>
          <w:trHeight w:val="170"/>
          <w:jc w:val="center"/>
        </w:trPr>
        <w:tc>
          <w:tcPr>
            <w:tcW w:w="768" w:type="dxa"/>
            <w:shd w:val="clear" w:color="auto" w:fill="FFF0C1" w:themeFill="accent5" w:themeFillTint="33"/>
          </w:tcPr>
          <w:p w14:paraId="7EA2BC42" w14:textId="114C5C61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708" w:type="dxa"/>
            <w:shd w:val="clear" w:color="auto" w:fill="FFF0C1" w:themeFill="accent5" w:themeFillTint="33"/>
          </w:tcPr>
          <w:p w14:paraId="03308282" w14:textId="4F8FD0EC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±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W w:w="767" w:type="dxa"/>
            <w:shd w:val="clear" w:color="auto" w:fill="FFF0C1" w:themeFill="accent5" w:themeFillTint="33"/>
          </w:tcPr>
          <w:p w14:paraId="1C803401" w14:textId="280E6282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Cm</m:t>
                </m:r>
              </m:oMath>
            </m:oMathPara>
          </w:p>
        </w:tc>
        <w:tc>
          <w:tcPr>
            <w:tcW w:w="767" w:type="dxa"/>
            <w:shd w:val="clear" w:color="auto" w:fill="FFF0C1" w:themeFill="accent5" w:themeFillTint="33"/>
          </w:tcPr>
          <w:p w14:paraId="29294747" w14:textId="74C8C5B3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±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Cm</m:t>
                    </m:r>
                  </m:sub>
                </m:sSub>
              </m:oMath>
            </m:oMathPara>
          </w:p>
        </w:tc>
        <w:tc>
          <w:tcPr>
            <w:tcW w:w="1496" w:type="dxa"/>
            <w:shd w:val="clear" w:color="auto" w:fill="FFF0C1" w:themeFill="accent5" w:themeFillTint="33"/>
          </w:tcPr>
          <w:p w14:paraId="4F7575B2" w14:textId="77F62C4C" w:rsidR="00AE3CE4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rFonts w:ascii="Arial" w:hAnsi="Arial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Ln (Cm-C0)</m:t>
                </m:r>
              </m:oMath>
            </m:oMathPara>
          </w:p>
        </w:tc>
        <w:tc>
          <w:tcPr>
            <w:tcW w:w="1496" w:type="dxa"/>
            <w:shd w:val="clear" w:color="auto" w:fill="FFF0C1" w:themeFill="accent5" w:themeFillTint="33"/>
          </w:tcPr>
          <w:p w14:paraId="10A0DD5F" w14:textId="057AFEAC" w:rsidR="00AE3CE4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rFonts w:ascii="Arial" w:hAnsi="Arial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±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Ln (Cm-C0)</m:t>
                    </m:r>
                  </m:sub>
                </m:sSub>
              </m:oMath>
            </m:oMathPara>
          </w:p>
        </w:tc>
        <w:tc>
          <w:tcPr>
            <w:tcW w:w="1496" w:type="dxa"/>
            <w:shd w:val="clear" w:color="auto" w:fill="FFF0C1" w:themeFill="accent5" w:themeFillTint="33"/>
          </w:tcPr>
          <w:p w14:paraId="77CA47C3" w14:textId="08D7445C" w:rsidR="00AE3CE4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Ln  d</m:t>
                </m:r>
              </m:oMath>
            </m:oMathPara>
          </w:p>
        </w:tc>
        <w:tc>
          <w:tcPr>
            <w:tcW w:w="1496" w:type="dxa"/>
            <w:shd w:val="clear" w:color="auto" w:fill="FFF0C1" w:themeFill="accent5" w:themeFillTint="33"/>
          </w:tcPr>
          <w:p w14:paraId="76293E79" w14:textId="45662D00" w:rsidR="00AE3CE4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±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Ln d</m:t>
                    </m:r>
                  </m:sub>
                </m:sSub>
              </m:oMath>
            </m:oMathPara>
          </w:p>
        </w:tc>
      </w:tr>
      <w:tr w:rsidR="00AE3CE4" w:rsidRPr="000E12E0" w14:paraId="60FD0410" w14:textId="274E92BB" w:rsidTr="00AE3CE4">
        <w:trPr>
          <w:trHeight w:val="198"/>
          <w:jc w:val="center"/>
        </w:trPr>
        <w:tc>
          <w:tcPr>
            <w:tcW w:w="768" w:type="dxa"/>
          </w:tcPr>
          <w:p w14:paraId="2F354CE2" w14:textId="77777777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708" w:type="dxa"/>
          </w:tcPr>
          <w:p w14:paraId="0B8035C9" w14:textId="77777777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767" w:type="dxa"/>
          </w:tcPr>
          <w:p w14:paraId="2A908D7A" w14:textId="77777777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767" w:type="dxa"/>
          </w:tcPr>
          <w:p w14:paraId="397BE495" w14:textId="7D57C0E8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1496" w:type="dxa"/>
          </w:tcPr>
          <w:p w14:paraId="3BB4B4A4" w14:textId="547E804F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1496" w:type="dxa"/>
          </w:tcPr>
          <w:p w14:paraId="2BB7A7DF" w14:textId="77777777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1496" w:type="dxa"/>
          </w:tcPr>
          <w:p w14:paraId="1746AEA5" w14:textId="77777777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1496" w:type="dxa"/>
          </w:tcPr>
          <w:p w14:paraId="0C5FE3A2" w14:textId="77777777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</w:tr>
      <w:tr w:rsidR="00AE3CE4" w:rsidRPr="000E12E0" w14:paraId="02C6C494" w14:textId="55AC6D35" w:rsidTr="00AE3CE4">
        <w:trPr>
          <w:trHeight w:val="174"/>
          <w:jc w:val="center"/>
        </w:trPr>
        <w:tc>
          <w:tcPr>
            <w:tcW w:w="768" w:type="dxa"/>
          </w:tcPr>
          <w:p w14:paraId="6591D524" w14:textId="77777777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708" w:type="dxa"/>
          </w:tcPr>
          <w:p w14:paraId="0DBECB28" w14:textId="77777777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767" w:type="dxa"/>
          </w:tcPr>
          <w:p w14:paraId="68A4A0FB" w14:textId="77777777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767" w:type="dxa"/>
          </w:tcPr>
          <w:p w14:paraId="6FC20F02" w14:textId="06904B47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1496" w:type="dxa"/>
          </w:tcPr>
          <w:p w14:paraId="192AA442" w14:textId="5A06048D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1496" w:type="dxa"/>
          </w:tcPr>
          <w:p w14:paraId="59B9E513" w14:textId="77777777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1496" w:type="dxa"/>
          </w:tcPr>
          <w:p w14:paraId="4E6D5F4F" w14:textId="77777777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1496" w:type="dxa"/>
          </w:tcPr>
          <w:p w14:paraId="52E65C4D" w14:textId="77777777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</w:tr>
      <w:tr w:rsidR="00AE3CE4" w:rsidRPr="000E12E0" w14:paraId="65BEA7B3" w14:textId="6A6FCBD7" w:rsidTr="00AE3CE4">
        <w:trPr>
          <w:trHeight w:val="137"/>
          <w:jc w:val="center"/>
        </w:trPr>
        <w:tc>
          <w:tcPr>
            <w:tcW w:w="768" w:type="dxa"/>
          </w:tcPr>
          <w:p w14:paraId="1E701731" w14:textId="77777777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708" w:type="dxa"/>
          </w:tcPr>
          <w:p w14:paraId="5648C4DC" w14:textId="77777777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767" w:type="dxa"/>
          </w:tcPr>
          <w:p w14:paraId="11CFA06B" w14:textId="77777777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767" w:type="dxa"/>
          </w:tcPr>
          <w:p w14:paraId="1C543695" w14:textId="0EC0B43F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1496" w:type="dxa"/>
          </w:tcPr>
          <w:p w14:paraId="655A5DAD" w14:textId="21083FF0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1496" w:type="dxa"/>
          </w:tcPr>
          <w:p w14:paraId="53C9D99A" w14:textId="77777777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1496" w:type="dxa"/>
          </w:tcPr>
          <w:p w14:paraId="50533148" w14:textId="77777777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1496" w:type="dxa"/>
          </w:tcPr>
          <w:p w14:paraId="5DEBD716" w14:textId="77777777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</w:tr>
      <w:tr w:rsidR="00AE3CE4" w:rsidRPr="000E12E0" w14:paraId="79AD1494" w14:textId="3BA75AFB" w:rsidTr="00AE3CE4">
        <w:trPr>
          <w:trHeight w:val="185"/>
          <w:jc w:val="center"/>
        </w:trPr>
        <w:tc>
          <w:tcPr>
            <w:tcW w:w="768" w:type="dxa"/>
          </w:tcPr>
          <w:p w14:paraId="5E34795C" w14:textId="77777777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708" w:type="dxa"/>
          </w:tcPr>
          <w:p w14:paraId="7B885D0F" w14:textId="77777777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767" w:type="dxa"/>
          </w:tcPr>
          <w:p w14:paraId="5E210DCB" w14:textId="77777777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767" w:type="dxa"/>
          </w:tcPr>
          <w:p w14:paraId="4F7C96AC" w14:textId="6549DFF1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1496" w:type="dxa"/>
          </w:tcPr>
          <w:p w14:paraId="674E63D5" w14:textId="3FC3F9A0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1496" w:type="dxa"/>
          </w:tcPr>
          <w:p w14:paraId="060A3D2C" w14:textId="77777777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1496" w:type="dxa"/>
          </w:tcPr>
          <w:p w14:paraId="7EB0ACDE" w14:textId="77777777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1496" w:type="dxa"/>
          </w:tcPr>
          <w:p w14:paraId="1E5A2FEB" w14:textId="77777777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</w:tr>
      <w:tr w:rsidR="00AE3CE4" w:rsidRPr="000E12E0" w14:paraId="50130E5C" w14:textId="04ED10F5" w:rsidTr="00AE3CE4">
        <w:trPr>
          <w:trHeight w:val="354"/>
          <w:jc w:val="center"/>
        </w:trPr>
        <w:tc>
          <w:tcPr>
            <w:tcW w:w="768" w:type="dxa"/>
          </w:tcPr>
          <w:p w14:paraId="7FFB78A2" w14:textId="77777777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708" w:type="dxa"/>
          </w:tcPr>
          <w:p w14:paraId="425BEE0D" w14:textId="77777777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767" w:type="dxa"/>
          </w:tcPr>
          <w:p w14:paraId="6C6E1B12" w14:textId="77777777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767" w:type="dxa"/>
          </w:tcPr>
          <w:p w14:paraId="649C0259" w14:textId="351B1E81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1496" w:type="dxa"/>
          </w:tcPr>
          <w:p w14:paraId="7A336B40" w14:textId="72538309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1496" w:type="dxa"/>
          </w:tcPr>
          <w:p w14:paraId="1F586FE6" w14:textId="77777777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1496" w:type="dxa"/>
          </w:tcPr>
          <w:p w14:paraId="152BD858" w14:textId="77777777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1496" w:type="dxa"/>
          </w:tcPr>
          <w:p w14:paraId="15B03E87" w14:textId="77777777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</w:tr>
      <w:tr w:rsidR="00AE3CE4" w:rsidRPr="000E12E0" w14:paraId="2590D797" w14:textId="255B8B60" w:rsidTr="00AE3CE4">
        <w:trPr>
          <w:trHeight w:val="95"/>
          <w:jc w:val="center"/>
        </w:trPr>
        <w:tc>
          <w:tcPr>
            <w:tcW w:w="768" w:type="dxa"/>
          </w:tcPr>
          <w:p w14:paraId="74D9BA42" w14:textId="77777777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708" w:type="dxa"/>
          </w:tcPr>
          <w:p w14:paraId="1EE1FA38" w14:textId="77777777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767" w:type="dxa"/>
          </w:tcPr>
          <w:p w14:paraId="77A20891" w14:textId="77777777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767" w:type="dxa"/>
          </w:tcPr>
          <w:p w14:paraId="1E2FA9C6" w14:textId="77777777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1496" w:type="dxa"/>
          </w:tcPr>
          <w:p w14:paraId="0A93CC76" w14:textId="3481756C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1496" w:type="dxa"/>
          </w:tcPr>
          <w:p w14:paraId="380AEFFF" w14:textId="77777777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1496" w:type="dxa"/>
          </w:tcPr>
          <w:p w14:paraId="726C46F4" w14:textId="77777777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1496" w:type="dxa"/>
          </w:tcPr>
          <w:p w14:paraId="43FE9C8B" w14:textId="77777777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</w:tr>
      <w:tr w:rsidR="00AE3CE4" w:rsidRPr="000E12E0" w14:paraId="1CAE1FDB" w14:textId="19C862F4" w:rsidTr="00AE3CE4">
        <w:trPr>
          <w:trHeight w:val="144"/>
          <w:jc w:val="center"/>
        </w:trPr>
        <w:tc>
          <w:tcPr>
            <w:tcW w:w="768" w:type="dxa"/>
          </w:tcPr>
          <w:p w14:paraId="061ACD32" w14:textId="77777777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708" w:type="dxa"/>
          </w:tcPr>
          <w:p w14:paraId="2C32C58C" w14:textId="77777777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767" w:type="dxa"/>
          </w:tcPr>
          <w:p w14:paraId="5138DAFC" w14:textId="77777777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767" w:type="dxa"/>
          </w:tcPr>
          <w:p w14:paraId="26FB95CA" w14:textId="57116412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1496" w:type="dxa"/>
          </w:tcPr>
          <w:p w14:paraId="155FBE47" w14:textId="5834D7E6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1496" w:type="dxa"/>
          </w:tcPr>
          <w:p w14:paraId="7134DD9B" w14:textId="77777777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1496" w:type="dxa"/>
          </w:tcPr>
          <w:p w14:paraId="54E9BC8D" w14:textId="77777777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  <w:tc>
          <w:tcPr>
            <w:tcW w:w="1496" w:type="dxa"/>
          </w:tcPr>
          <w:p w14:paraId="3788F80B" w14:textId="77777777" w:rsidR="00AE3CE4" w:rsidRPr="000E12E0" w:rsidRDefault="00AE3CE4" w:rsidP="00AE3CE4">
            <w:pPr>
              <w:pStyle w:val="Firstparagraph"/>
              <w:tabs>
                <w:tab w:val="num" w:pos="0"/>
              </w:tabs>
              <w:ind w:right="-115"/>
              <w:rPr>
                <w:sz w:val="14"/>
                <w:szCs w:val="14"/>
              </w:rPr>
            </w:pPr>
          </w:p>
        </w:tc>
      </w:tr>
    </w:tbl>
    <w:p w14:paraId="65058104" w14:textId="7DC736BD" w:rsidR="002D5713" w:rsidRPr="000E12E0" w:rsidRDefault="00983D4D" w:rsidP="009A79FA">
      <w:pPr>
        <w:pStyle w:val="Textoindependiente"/>
        <w:tabs>
          <w:tab w:val="num" w:pos="0"/>
        </w:tabs>
        <w:spacing w:before="0"/>
        <w:ind w:right="-115"/>
        <w:jc w:val="center"/>
      </w:pPr>
      <w:r>
        <w:t>Tabla1, Mediciones de capacidades y distancias</w:t>
      </w:r>
    </w:p>
    <w:p w14:paraId="37A08A36" w14:textId="1598A900" w:rsidR="007025F1" w:rsidRPr="000E12E0" w:rsidRDefault="009F7FA1" w:rsidP="006416A6">
      <w:pPr>
        <w:pStyle w:val="Ttulo2"/>
        <w:numPr>
          <w:ilvl w:val="0"/>
          <w:numId w:val="0"/>
        </w:numPr>
        <w:tabs>
          <w:tab w:val="num" w:pos="0"/>
        </w:tabs>
        <w:ind w:right="-115"/>
      </w:pPr>
      <w:bookmarkStart w:id="4" w:name="cuestiones"/>
      <w:r>
        <w:t>Cuestiones</w:t>
      </w:r>
      <w:bookmarkEnd w:id="4"/>
    </w:p>
    <w:p w14:paraId="24E300A7" w14:textId="6CFFB8B3" w:rsidR="007025F1" w:rsidRPr="000E12E0" w:rsidRDefault="009F7FA1" w:rsidP="003E3E6B">
      <w:pPr>
        <w:pStyle w:val="Textoindependiente"/>
        <w:numPr>
          <w:ilvl w:val="0"/>
          <w:numId w:val="2"/>
        </w:numPr>
        <w:tabs>
          <w:tab w:val="clear" w:pos="720"/>
          <w:tab w:val="num" w:pos="0"/>
          <w:tab w:val="num" w:pos="284"/>
        </w:tabs>
        <w:ind w:left="0" w:right="-115" w:firstLine="0"/>
        <w:jc w:val="both"/>
      </w:pPr>
      <w:r>
        <w:t xml:space="preserve">Inserte la gráfica resultante de los datos </w:t>
      </w:r>
      <m:oMath>
        <m:r>
          <w:rPr>
            <w:rFonts w:ascii="Cambria Math" w:hAnsi="Cambria Math"/>
            <w:sz w:val="20"/>
            <w:szCs w:val="20"/>
          </w:rPr>
          <m:t>Ln (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m</m:t>
            </m:r>
          </m:sub>
        </m:sSub>
        <m:r>
          <w:rPr>
            <w:rFonts w:ascii="Cambria Math" w:hAnsi="Cambria Math"/>
            <w:sz w:val="20"/>
            <w:szCs w:val="20"/>
          </w:rPr>
          <m:t>-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  <m:r>
          <w:rPr>
            <w:rFonts w:ascii="Cambria Math" w:hAnsi="Cambria Math"/>
            <w:sz w:val="20"/>
            <w:szCs w:val="20"/>
          </w:rPr>
          <m:t>)</m:t>
        </m:r>
      </m:oMath>
      <w:r>
        <w:rPr>
          <w:sz w:val="20"/>
          <w:szCs w:val="20"/>
        </w:rPr>
        <w:t xml:space="preserve"> </w:t>
      </w:r>
      <w:r>
        <w:t xml:space="preserve">frente a </w:t>
      </w:r>
      <m:oMath>
        <m:r>
          <w:rPr>
            <w:rFonts w:ascii="Cambria Math" w:hAnsi="Cambria Math"/>
            <w:sz w:val="20"/>
            <w:szCs w:val="20"/>
          </w:rPr>
          <m:t>Ln d</m:t>
        </m:r>
      </m:oMath>
      <w:r>
        <w:rPr>
          <w:rFonts w:ascii="Cambria Math" w:hAnsi="Cambria Math"/>
          <w:i/>
          <w:sz w:val="20"/>
          <w:szCs w:val="20"/>
        </w:rPr>
        <w:t xml:space="preserve"> </w:t>
      </w:r>
      <w:r>
        <w:t>obtenidos de la tabla anterior y la recta de ajuste lineal.</w:t>
      </w:r>
    </w:p>
    <w:p w14:paraId="6072AA0A" w14:textId="77777777" w:rsidR="005F17EF" w:rsidRPr="000E12E0" w:rsidRDefault="005F17EF" w:rsidP="006416A6">
      <w:pPr>
        <w:pStyle w:val="Textoindependiente"/>
        <w:tabs>
          <w:tab w:val="num" w:pos="0"/>
        </w:tabs>
        <w:ind w:right="-115"/>
        <w:jc w:val="both"/>
      </w:pPr>
    </w:p>
    <w:p w14:paraId="7AC317C5" w14:textId="77777777" w:rsidR="00091EA0" w:rsidRPr="000E12E0" w:rsidRDefault="00091EA0" w:rsidP="006416A6">
      <w:pPr>
        <w:pStyle w:val="Textoindependiente"/>
        <w:tabs>
          <w:tab w:val="num" w:pos="0"/>
        </w:tabs>
        <w:ind w:right="-115"/>
        <w:jc w:val="both"/>
      </w:pPr>
    </w:p>
    <w:p w14:paraId="5F48E2E1" w14:textId="77777777" w:rsidR="00091EA0" w:rsidRPr="000E12E0" w:rsidRDefault="00091EA0" w:rsidP="006416A6">
      <w:pPr>
        <w:pStyle w:val="Textoindependiente"/>
        <w:tabs>
          <w:tab w:val="num" w:pos="0"/>
        </w:tabs>
        <w:ind w:right="-115"/>
        <w:jc w:val="both"/>
      </w:pPr>
    </w:p>
    <w:p w14:paraId="22C97161" w14:textId="77777777" w:rsidR="00091EA0" w:rsidRPr="000E12E0" w:rsidRDefault="00091EA0" w:rsidP="006416A6">
      <w:pPr>
        <w:pStyle w:val="Textoindependiente"/>
        <w:tabs>
          <w:tab w:val="num" w:pos="0"/>
        </w:tabs>
        <w:ind w:right="-115"/>
        <w:jc w:val="both"/>
      </w:pPr>
    </w:p>
    <w:p w14:paraId="097DB27C" w14:textId="2B3A3888" w:rsidR="007025F1" w:rsidRPr="000E12E0" w:rsidRDefault="009F7FA1" w:rsidP="006416A6">
      <w:pPr>
        <w:pStyle w:val="Textoindependiente"/>
        <w:numPr>
          <w:ilvl w:val="0"/>
          <w:numId w:val="2"/>
        </w:numPr>
        <w:tabs>
          <w:tab w:val="clear" w:pos="720"/>
          <w:tab w:val="num" w:pos="0"/>
          <w:tab w:val="num" w:pos="284"/>
        </w:tabs>
        <w:ind w:left="0" w:right="-115" w:firstLine="0"/>
        <w:jc w:val="both"/>
      </w:pPr>
      <w:r>
        <w:t>Calcule la pendiente, la ordenada en el origen, y el coeficiente de correlación lineal de la recta anterior mediante ajuste por mínimos cuadrados.</w:t>
      </w:r>
    </w:p>
    <w:p w14:paraId="0BEF9AA7" w14:textId="77777777" w:rsidR="00E71A98" w:rsidRPr="000E12E0" w:rsidRDefault="00E71A98" w:rsidP="00E71A98">
      <w:pPr>
        <w:pStyle w:val="Textoindependiente"/>
        <w:tabs>
          <w:tab w:val="num" w:pos="0"/>
          <w:tab w:val="num" w:pos="284"/>
        </w:tabs>
        <w:ind w:right="-115"/>
        <w:jc w:val="both"/>
      </w:pPr>
    </w:p>
    <w:tbl>
      <w:tblPr>
        <w:tblW w:w="223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7"/>
      </w:tblGrid>
      <w:tr w:rsidR="007025F1" w:rsidRPr="000E12E0" w14:paraId="299C0118" w14:textId="77777777" w:rsidTr="00677511">
        <w:trPr>
          <w:jc w:val="center"/>
        </w:trPr>
        <w:tc>
          <w:tcPr>
            <w:tcW w:w="4248" w:type="dxa"/>
          </w:tcPr>
          <w:p w14:paraId="3634FB5D" w14:textId="77777777" w:rsidR="007025F1" w:rsidRPr="000E12E0" w:rsidRDefault="009F7FA1" w:rsidP="006416A6">
            <w:pPr>
              <w:pStyle w:val="TableContents"/>
              <w:tabs>
                <w:tab w:val="num" w:pos="0"/>
              </w:tabs>
              <w:ind w:left="0" w:right="-115"/>
              <w:jc w:val="both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a±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  <w:tr w:rsidR="007025F1" w:rsidRPr="000E12E0" w14:paraId="744DA024" w14:textId="77777777" w:rsidTr="00677511">
        <w:trPr>
          <w:jc w:val="center"/>
        </w:trPr>
        <w:tc>
          <w:tcPr>
            <w:tcW w:w="4248" w:type="dxa"/>
          </w:tcPr>
          <w:p w14:paraId="60E2B52E" w14:textId="77777777" w:rsidR="007025F1" w:rsidRPr="000E12E0" w:rsidRDefault="009F7FA1" w:rsidP="006416A6">
            <w:pPr>
              <w:pStyle w:val="TableContents"/>
              <w:tabs>
                <w:tab w:val="num" w:pos="0"/>
              </w:tabs>
              <w:ind w:left="0" w:right="-115"/>
              <w:jc w:val="both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b±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  <w:tr w:rsidR="007025F1" w:rsidRPr="000E12E0" w14:paraId="2AB1BA19" w14:textId="77777777" w:rsidTr="00677511">
        <w:trPr>
          <w:jc w:val="center"/>
        </w:trPr>
        <w:tc>
          <w:tcPr>
            <w:tcW w:w="4248" w:type="dxa"/>
          </w:tcPr>
          <w:p w14:paraId="61057DA3" w14:textId="77777777" w:rsidR="007025F1" w:rsidRPr="000E12E0" w:rsidRDefault="009F7FA1" w:rsidP="006416A6">
            <w:pPr>
              <w:pStyle w:val="TableContents"/>
              <w:tabs>
                <w:tab w:val="num" w:pos="0"/>
              </w:tabs>
              <w:ind w:left="0" w:right="-115"/>
              <w:jc w:val="both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r=</m:t>
                </m:r>
              </m:oMath>
            </m:oMathPara>
          </w:p>
        </w:tc>
      </w:tr>
    </w:tbl>
    <w:p w14:paraId="3C45ECD4" w14:textId="77777777" w:rsidR="00E71A98" w:rsidRPr="000E12E0" w:rsidRDefault="00E71A98" w:rsidP="00E71A98">
      <w:pPr>
        <w:pStyle w:val="Textoindependiente"/>
        <w:tabs>
          <w:tab w:val="num" w:pos="720"/>
        </w:tabs>
        <w:ind w:right="-115"/>
        <w:jc w:val="both"/>
      </w:pPr>
    </w:p>
    <w:p w14:paraId="7AAC971E" w14:textId="392B1E33" w:rsidR="007025F1" w:rsidRPr="000E12E0" w:rsidRDefault="009F7FA1" w:rsidP="003E3E6B">
      <w:pPr>
        <w:pStyle w:val="Textoindependiente"/>
        <w:numPr>
          <w:ilvl w:val="0"/>
          <w:numId w:val="2"/>
        </w:numPr>
        <w:tabs>
          <w:tab w:val="clear" w:pos="720"/>
          <w:tab w:val="num" w:pos="0"/>
          <w:tab w:val="num" w:pos="284"/>
        </w:tabs>
        <w:ind w:left="0" w:right="-115" w:firstLine="0"/>
        <w:jc w:val="both"/>
      </w:pPr>
      <w:r>
        <w:t xml:space="preserve">Con la ayuda de la ecuación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m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ε</m:t>
            </m:r>
            <m:r>
              <w:rPr>
                <w:rFonts w:ascii="Cambria Math" w:hAnsi="Cambria Math"/>
              </w:rPr>
              <m:t xml:space="preserve"> S</m:t>
            </m:r>
          </m:num>
          <m:den>
            <m:r>
              <w:rPr>
                <w:rFonts w:ascii="Cambria Math" w:hAnsi="Cambria Math"/>
              </w:rPr>
              <m:t>d</m:t>
            </m:r>
          </m:den>
        </m:f>
      </m:oMath>
      <w:r>
        <w:t xml:space="preserve">  y los valores obtenidos en el apartado anterior hallar el valor de la permitividad eléctrica </w:t>
      </w:r>
      <m:oMath>
        <m:r>
          <m:rPr>
            <m:sty m:val="p"/>
          </m:rPr>
          <w:rPr>
            <w:rFonts w:ascii="Cambria Math" w:hAnsi="Cambria Math"/>
          </w:rPr>
          <m:t>ε</m:t>
        </m:r>
      </m:oMath>
      <w:r>
        <w:t xml:space="preserve"> del material insertado:</w:t>
      </w:r>
    </w:p>
    <w:tbl>
      <w:tblPr>
        <w:tblW w:w="2381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1"/>
      </w:tblGrid>
      <w:tr w:rsidR="007025F1" w:rsidRPr="000E12E0" w14:paraId="6C77A951" w14:textId="77777777" w:rsidTr="00677511">
        <w:trPr>
          <w:jc w:val="center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E4771" w14:textId="70B3BDED" w:rsidR="007025F1" w:rsidRPr="000E12E0" w:rsidRDefault="00CC5E8A" w:rsidP="00CC5E8A">
            <w:pPr>
              <w:pStyle w:val="TableContents"/>
              <w:tabs>
                <w:tab w:val="num" w:pos="0"/>
              </w:tabs>
              <w:ind w:left="0" w:right="-115"/>
              <w:jc w:val="both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ε</m:t>
                </m:r>
                <m:r>
                  <w:rPr>
                    <w:rFonts w:ascii="Cambria Math" w:hAnsi="Cambria Math"/>
                  </w:rPr>
                  <m:t>±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ε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</w:tbl>
    <w:p w14:paraId="243AD90C" w14:textId="77777777" w:rsidR="007025F1" w:rsidRPr="00026966" w:rsidRDefault="007025F1" w:rsidP="00677511">
      <w:pPr>
        <w:pStyle w:val="Textoindependiente"/>
        <w:tabs>
          <w:tab w:val="num" w:pos="0"/>
        </w:tabs>
        <w:ind w:right="-115"/>
        <w:jc w:val="center"/>
      </w:pPr>
    </w:p>
    <w:sectPr w:rsidR="007025F1" w:rsidRPr="00026966" w:rsidSect="008B1CBC">
      <w:headerReference w:type="default" r:id="rId8"/>
      <w:footerReference w:type="default" r:id="rId9"/>
      <w:footerReference w:type="first" r:id="rId10"/>
      <w:pgSz w:w="12240" w:h="15840"/>
      <w:pgMar w:top="993" w:right="1440" w:bottom="2016" w:left="1276" w:header="0" w:footer="1440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59D6B" w14:textId="77777777" w:rsidR="00204C5C" w:rsidRPr="000E12E0" w:rsidRDefault="00204C5C">
      <w:r w:rsidRPr="000E12E0">
        <w:separator/>
      </w:r>
    </w:p>
  </w:endnote>
  <w:endnote w:type="continuationSeparator" w:id="0">
    <w:p w14:paraId="304C1C8E" w14:textId="77777777" w:rsidR="00204C5C" w:rsidRPr="000E12E0" w:rsidRDefault="00204C5C">
      <w:r w:rsidRPr="000E12E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tarSymbol">
    <w:altName w:val="Times New Roman"/>
    <w:charset w:val="01"/>
    <w:family w:val="roman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0FD05" w14:textId="4016000B" w:rsidR="007025F1" w:rsidRPr="000E12E0" w:rsidRDefault="009F7FA1">
    <w:pPr>
      <w:pStyle w:val="Piedepgina"/>
      <w:jc w:val="center"/>
    </w:pPr>
    <w:r w:rsidRPr="000E12E0">
      <w:fldChar w:fldCharType="begin"/>
    </w:r>
    <w:r w:rsidRPr="000E12E0">
      <w:instrText xml:space="preserve"> PAGE </w:instrText>
    </w:r>
    <w:r w:rsidRPr="000E12E0">
      <w:fldChar w:fldCharType="separate"/>
    </w:r>
    <w:r w:rsidR="00CC5E8A">
      <w:rPr>
        <w:noProof/>
      </w:rPr>
      <w:t>3</w:t>
    </w:r>
    <w:r w:rsidRPr="000E12E0">
      <w:fldChar w:fldCharType="end"/>
    </w:r>
    <w:r w:rsidRPr="000E12E0"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DD519" w14:textId="77777777" w:rsidR="007025F1" w:rsidRPr="000E12E0" w:rsidRDefault="009F7FA1">
    <w:pPr>
      <w:pStyle w:val="Piedepgina"/>
      <w:jc w:val="center"/>
    </w:pPr>
    <w:r w:rsidRPr="000E12E0">
      <w:fldChar w:fldCharType="begin"/>
    </w:r>
    <w:r w:rsidRPr="000E12E0">
      <w:instrText xml:space="preserve"> PAGE </w:instrText>
    </w:r>
    <w:r w:rsidRPr="000E12E0">
      <w:fldChar w:fldCharType="separate"/>
    </w:r>
    <w:r w:rsidRPr="000E12E0">
      <w:t>4</w:t>
    </w:r>
    <w:r w:rsidRPr="000E12E0">
      <w:fldChar w:fldCharType="end"/>
    </w:r>
    <w:r w:rsidRPr="000E12E0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9146F" w14:textId="77777777" w:rsidR="00204C5C" w:rsidRPr="000E12E0" w:rsidRDefault="00204C5C">
      <w:r w:rsidRPr="000E12E0">
        <w:separator/>
      </w:r>
    </w:p>
  </w:footnote>
  <w:footnote w:type="continuationSeparator" w:id="0">
    <w:p w14:paraId="15912681" w14:textId="77777777" w:rsidR="00204C5C" w:rsidRPr="000E12E0" w:rsidRDefault="00204C5C">
      <w:r w:rsidRPr="000E12E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C962A" w14:textId="4B0F0E04" w:rsidR="00CA4666" w:rsidRPr="00CA4666" w:rsidRDefault="00CA4666">
    <w:pPr>
      <w:pStyle w:val="Encabezado"/>
      <w:rPr>
        <w:color w:val="FF0000"/>
      </w:rPr>
    </w:pPr>
    <w:r w:rsidRPr="00CA4666">
      <w:rPr>
        <w:color w:val="FF0000"/>
      </w:rPr>
      <w:t>Alumno 1:</w:t>
    </w:r>
    <w:r w:rsidRPr="00CA4666">
      <w:rPr>
        <w:color w:val="FF0000"/>
      </w:rPr>
      <w:ptab w:relativeTo="margin" w:alignment="center" w:leader="none"/>
    </w:r>
    <w:r w:rsidRPr="00CA4666">
      <w:rPr>
        <w:color w:val="FF0000"/>
      </w:rPr>
      <w:t>Alumno 2:</w:t>
    </w:r>
    <w:r w:rsidRPr="00CA4666">
      <w:rPr>
        <w:color w:val="FF0000"/>
      </w:rPr>
      <w:ptab w:relativeTo="margin" w:alignment="right" w:leader="none"/>
    </w:r>
    <w:r w:rsidRPr="00CA4666">
      <w:rPr>
        <w:color w:val="FF0000"/>
      </w:rPr>
      <w:t>Alumno 3: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46683"/>
    <w:multiLevelType w:val="multilevel"/>
    <w:tmpl w:val="3CF05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4041AA0"/>
    <w:multiLevelType w:val="multilevel"/>
    <w:tmpl w:val="7E8AD46C"/>
    <w:lvl w:ilvl="0">
      <w:start w:val="1"/>
      <w:numFmt w:val="none"/>
      <w:pStyle w:val="Ttulo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7834A53"/>
    <w:multiLevelType w:val="multilevel"/>
    <w:tmpl w:val="12E8BC5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768430083">
    <w:abstractNumId w:val="1"/>
  </w:num>
  <w:num w:numId="2" w16cid:durableId="133761842">
    <w:abstractNumId w:val="0"/>
  </w:num>
  <w:num w:numId="3" w16cid:durableId="3904290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5F1"/>
    <w:rsid w:val="000210D0"/>
    <w:rsid w:val="00026966"/>
    <w:rsid w:val="00032CD1"/>
    <w:rsid w:val="00036922"/>
    <w:rsid w:val="00042060"/>
    <w:rsid w:val="000454E1"/>
    <w:rsid w:val="000607B1"/>
    <w:rsid w:val="00091EA0"/>
    <w:rsid w:val="000B24D7"/>
    <w:rsid w:val="000C4A16"/>
    <w:rsid w:val="000E0761"/>
    <w:rsid w:val="000E12E0"/>
    <w:rsid w:val="000E51EC"/>
    <w:rsid w:val="000F457F"/>
    <w:rsid w:val="0010169B"/>
    <w:rsid w:val="001212A7"/>
    <w:rsid w:val="00125F8F"/>
    <w:rsid w:val="00135833"/>
    <w:rsid w:val="001410E5"/>
    <w:rsid w:val="001422DD"/>
    <w:rsid w:val="00142A6C"/>
    <w:rsid w:val="001637D3"/>
    <w:rsid w:val="001B778F"/>
    <w:rsid w:val="001C3A7F"/>
    <w:rsid w:val="001D76DD"/>
    <w:rsid w:val="001E4767"/>
    <w:rsid w:val="001F50D2"/>
    <w:rsid w:val="001F72D3"/>
    <w:rsid w:val="00204C5C"/>
    <w:rsid w:val="00214FB8"/>
    <w:rsid w:val="00223BAD"/>
    <w:rsid w:val="00242410"/>
    <w:rsid w:val="00263EE5"/>
    <w:rsid w:val="00283938"/>
    <w:rsid w:val="002855E9"/>
    <w:rsid w:val="002963FD"/>
    <w:rsid w:val="002B4DB3"/>
    <w:rsid w:val="002D5713"/>
    <w:rsid w:val="002E317B"/>
    <w:rsid w:val="002E4B01"/>
    <w:rsid w:val="002E5A5B"/>
    <w:rsid w:val="003158BD"/>
    <w:rsid w:val="00320D7F"/>
    <w:rsid w:val="00343389"/>
    <w:rsid w:val="003558EB"/>
    <w:rsid w:val="003740DF"/>
    <w:rsid w:val="003741BC"/>
    <w:rsid w:val="003D29F3"/>
    <w:rsid w:val="003D39D0"/>
    <w:rsid w:val="003D61A1"/>
    <w:rsid w:val="003E3E6B"/>
    <w:rsid w:val="003F37F3"/>
    <w:rsid w:val="00412895"/>
    <w:rsid w:val="00437F12"/>
    <w:rsid w:val="004442E0"/>
    <w:rsid w:val="004503CE"/>
    <w:rsid w:val="0045136E"/>
    <w:rsid w:val="00453AD7"/>
    <w:rsid w:val="004715B1"/>
    <w:rsid w:val="00480ADB"/>
    <w:rsid w:val="004A1CD0"/>
    <w:rsid w:val="004A2102"/>
    <w:rsid w:val="004D7EE5"/>
    <w:rsid w:val="004F2D1F"/>
    <w:rsid w:val="004F47BC"/>
    <w:rsid w:val="00502793"/>
    <w:rsid w:val="00521A67"/>
    <w:rsid w:val="00524D68"/>
    <w:rsid w:val="00525C58"/>
    <w:rsid w:val="00540600"/>
    <w:rsid w:val="00545774"/>
    <w:rsid w:val="00553DF6"/>
    <w:rsid w:val="00555B7D"/>
    <w:rsid w:val="00571FD0"/>
    <w:rsid w:val="005737F1"/>
    <w:rsid w:val="005740EC"/>
    <w:rsid w:val="005770B4"/>
    <w:rsid w:val="00577CA5"/>
    <w:rsid w:val="00581556"/>
    <w:rsid w:val="00582AC4"/>
    <w:rsid w:val="005A3C5F"/>
    <w:rsid w:val="005C2839"/>
    <w:rsid w:val="005C407D"/>
    <w:rsid w:val="005C4FC3"/>
    <w:rsid w:val="005D3CA6"/>
    <w:rsid w:val="005E728F"/>
    <w:rsid w:val="005F17EF"/>
    <w:rsid w:val="00624FA1"/>
    <w:rsid w:val="006416A6"/>
    <w:rsid w:val="006464E5"/>
    <w:rsid w:val="006742EA"/>
    <w:rsid w:val="00677511"/>
    <w:rsid w:val="006A00F1"/>
    <w:rsid w:val="006B7BEE"/>
    <w:rsid w:val="006F5F10"/>
    <w:rsid w:val="007025F1"/>
    <w:rsid w:val="00716BCA"/>
    <w:rsid w:val="00717719"/>
    <w:rsid w:val="007266EA"/>
    <w:rsid w:val="0073666C"/>
    <w:rsid w:val="00760A18"/>
    <w:rsid w:val="0076597B"/>
    <w:rsid w:val="007729F7"/>
    <w:rsid w:val="0078560B"/>
    <w:rsid w:val="007941FE"/>
    <w:rsid w:val="00794775"/>
    <w:rsid w:val="007A6CD8"/>
    <w:rsid w:val="007A7C17"/>
    <w:rsid w:val="007B4BD6"/>
    <w:rsid w:val="007C238B"/>
    <w:rsid w:val="007D1B43"/>
    <w:rsid w:val="00815530"/>
    <w:rsid w:val="008343B9"/>
    <w:rsid w:val="008B1CBC"/>
    <w:rsid w:val="008B6341"/>
    <w:rsid w:val="008B7C91"/>
    <w:rsid w:val="008C128F"/>
    <w:rsid w:val="008C4F4C"/>
    <w:rsid w:val="00942BD2"/>
    <w:rsid w:val="00977681"/>
    <w:rsid w:val="00982002"/>
    <w:rsid w:val="00982C7A"/>
    <w:rsid w:val="00983D4D"/>
    <w:rsid w:val="009A156C"/>
    <w:rsid w:val="009A1CE3"/>
    <w:rsid w:val="009A79FA"/>
    <w:rsid w:val="009B3431"/>
    <w:rsid w:val="009C0913"/>
    <w:rsid w:val="009C5313"/>
    <w:rsid w:val="009E5877"/>
    <w:rsid w:val="009E6D9D"/>
    <w:rsid w:val="009F4AAE"/>
    <w:rsid w:val="009F7FA1"/>
    <w:rsid w:val="00A0740F"/>
    <w:rsid w:val="00A21EA1"/>
    <w:rsid w:val="00A250C0"/>
    <w:rsid w:val="00A53EA4"/>
    <w:rsid w:val="00A67EF3"/>
    <w:rsid w:val="00A845F1"/>
    <w:rsid w:val="00AB12CC"/>
    <w:rsid w:val="00AB17E1"/>
    <w:rsid w:val="00AD43D6"/>
    <w:rsid w:val="00AE23C8"/>
    <w:rsid w:val="00AE3CE4"/>
    <w:rsid w:val="00AE5E76"/>
    <w:rsid w:val="00B05860"/>
    <w:rsid w:val="00B1024B"/>
    <w:rsid w:val="00B11348"/>
    <w:rsid w:val="00B115D9"/>
    <w:rsid w:val="00B35CC7"/>
    <w:rsid w:val="00B631E8"/>
    <w:rsid w:val="00B84999"/>
    <w:rsid w:val="00BB40B1"/>
    <w:rsid w:val="00C15B4E"/>
    <w:rsid w:val="00C277D8"/>
    <w:rsid w:val="00C55109"/>
    <w:rsid w:val="00C57C5F"/>
    <w:rsid w:val="00C67130"/>
    <w:rsid w:val="00C74A6E"/>
    <w:rsid w:val="00C91318"/>
    <w:rsid w:val="00C9427F"/>
    <w:rsid w:val="00C97547"/>
    <w:rsid w:val="00C97860"/>
    <w:rsid w:val="00CA4666"/>
    <w:rsid w:val="00CC26F4"/>
    <w:rsid w:val="00CC4222"/>
    <w:rsid w:val="00CC5B78"/>
    <w:rsid w:val="00CC5E8A"/>
    <w:rsid w:val="00CD5A28"/>
    <w:rsid w:val="00D03526"/>
    <w:rsid w:val="00D25DB0"/>
    <w:rsid w:val="00D325B7"/>
    <w:rsid w:val="00D3419D"/>
    <w:rsid w:val="00D45DC5"/>
    <w:rsid w:val="00D83456"/>
    <w:rsid w:val="00DA4DB7"/>
    <w:rsid w:val="00DA7697"/>
    <w:rsid w:val="00DA784D"/>
    <w:rsid w:val="00DB2B6D"/>
    <w:rsid w:val="00DD2606"/>
    <w:rsid w:val="00DF7A08"/>
    <w:rsid w:val="00E2285E"/>
    <w:rsid w:val="00E43913"/>
    <w:rsid w:val="00E54C54"/>
    <w:rsid w:val="00E60802"/>
    <w:rsid w:val="00E70B4B"/>
    <w:rsid w:val="00E7105A"/>
    <w:rsid w:val="00E71A98"/>
    <w:rsid w:val="00E735CF"/>
    <w:rsid w:val="00E825A7"/>
    <w:rsid w:val="00E84D59"/>
    <w:rsid w:val="00E9666B"/>
    <w:rsid w:val="00EC6125"/>
    <w:rsid w:val="00EF6711"/>
    <w:rsid w:val="00F172E0"/>
    <w:rsid w:val="00F213F9"/>
    <w:rsid w:val="00F7422B"/>
    <w:rsid w:val="00F87F8C"/>
    <w:rsid w:val="00F90F18"/>
    <w:rsid w:val="00F9529D"/>
    <w:rsid w:val="00FA0137"/>
    <w:rsid w:val="00FA4DC7"/>
    <w:rsid w:val="00FB52C0"/>
    <w:rsid w:val="00FD0DA1"/>
    <w:rsid w:val="00FD3B5A"/>
    <w:rsid w:val="00FE27D6"/>
    <w:rsid w:val="216B095C"/>
    <w:rsid w:val="3A7F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73D3B"/>
  <w15:docId w15:val="{3CD71B4D-3A3B-FE43-BDDE-9EBCCD2A9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Lucida Sans Unicode" w:hAnsi="Times New Roman" w:cs="Tahoma"/>
        <w:kern w:val="2"/>
        <w:sz w:val="24"/>
        <w:szCs w:val="24"/>
        <w:lang w:val="en-US" w:eastAsia="en-GB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overflowPunct w:val="0"/>
    </w:pPr>
    <w:rPr>
      <w:lang w:val="es-ES"/>
    </w:rPr>
  </w:style>
  <w:style w:type="paragraph" w:styleId="Ttulo1">
    <w:name w:val="heading 1"/>
    <w:basedOn w:val="Heading"/>
    <w:next w:val="Textoindependiente"/>
    <w:uiPriority w:val="9"/>
    <w:qFormat/>
    <w:pPr>
      <w:numPr>
        <w:numId w:val="1"/>
      </w:numPr>
      <w:outlineLvl w:val="0"/>
    </w:pPr>
    <w:rPr>
      <w:b/>
      <w:bCs/>
      <w:sz w:val="32"/>
      <w:szCs w:val="32"/>
    </w:rPr>
  </w:style>
  <w:style w:type="paragraph" w:styleId="Ttulo2">
    <w:name w:val="heading 2"/>
    <w:basedOn w:val="Heading"/>
    <w:next w:val="Textoindependiente"/>
    <w:uiPriority w:val="9"/>
    <w:unhideWhenUsed/>
    <w:qFormat/>
    <w:pPr>
      <w:numPr>
        <w:ilvl w:val="1"/>
        <w:numId w:val="1"/>
      </w:numPr>
      <w:outlineLvl w:val="1"/>
    </w:pPr>
    <w:rPr>
      <w:b/>
      <w:bCs/>
      <w:i/>
      <w:iCs/>
    </w:rPr>
  </w:style>
  <w:style w:type="paragraph" w:styleId="Ttulo3">
    <w:name w:val="heading 3"/>
    <w:basedOn w:val="Heading"/>
    <w:next w:val="Textoindependiente"/>
    <w:uiPriority w:val="9"/>
    <w:semiHidden/>
    <w:unhideWhenUsed/>
    <w:qFormat/>
    <w:pPr>
      <w:numPr>
        <w:ilvl w:val="2"/>
        <w:numId w:val="1"/>
      </w:numPr>
      <w:outlineLvl w:val="2"/>
    </w:pPr>
    <w:rPr>
      <w:b/>
      <w:bCs/>
    </w:rPr>
  </w:style>
  <w:style w:type="paragraph" w:styleId="Ttulo4">
    <w:name w:val="heading 4"/>
    <w:basedOn w:val="Heading"/>
    <w:next w:val="Textoindependiente"/>
    <w:uiPriority w:val="9"/>
    <w:semiHidden/>
    <w:unhideWhenUsed/>
    <w:qFormat/>
    <w:pPr>
      <w:numPr>
        <w:ilvl w:val="3"/>
        <w:numId w:val="1"/>
      </w:numPr>
      <w:outlineLvl w:val="3"/>
    </w:pPr>
    <w:rPr>
      <w:b/>
      <w:bCs/>
      <w:i/>
      <w:iCs/>
      <w:sz w:val="24"/>
      <w:szCs w:val="24"/>
    </w:rPr>
  </w:style>
  <w:style w:type="paragraph" w:styleId="Ttulo5">
    <w:name w:val="heading 5"/>
    <w:basedOn w:val="Heading"/>
    <w:next w:val="Textoindependiente"/>
    <w:uiPriority w:val="9"/>
    <w:semiHidden/>
    <w:unhideWhenUsed/>
    <w:qFormat/>
    <w:pPr>
      <w:numPr>
        <w:ilvl w:val="4"/>
        <w:numId w:val="1"/>
      </w:numPr>
      <w:outlineLvl w:val="4"/>
    </w:pPr>
    <w:rPr>
      <w:b/>
      <w:bCs/>
      <w:sz w:val="24"/>
      <w:szCs w:val="24"/>
    </w:rPr>
  </w:style>
  <w:style w:type="paragraph" w:styleId="Ttulo6">
    <w:name w:val="heading 6"/>
    <w:basedOn w:val="Heading"/>
    <w:next w:val="Textoindependiente"/>
    <w:uiPriority w:val="9"/>
    <w:semiHidden/>
    <w:unhideWhenUsed/>
    <w:qFormat/>
    <w:pPr>
      <w:numPr>
        <w:ilvl w:val="5"/>
        <w:numId w:val="1"/>
      </w:numPr>
      <w:outlineLvl w:val="5"/>
    </w:pPr>
    <w:rPr>
      <w:b/>
      <w:b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ourceText">
    <w:name w:val="Source_Text"/>
    <w:qFormat/>
    <w:rPr>
      <w:rFonts w:ascii="Courier New" w:eastAsia="Courier New" w:hAnsi="Courier New" w:cs="Courier New"/>
      <w:sz w:val="20"/>
      <w:szCs w:val="20"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StarSymbol" w:eastAsia="StarSymbol" w:hAnsi="StarSymbol" w:cs="StarSymbol"/>
      <w:sz w:val="18"/>
      <w:szCs w:val="18"/>
    </w:rPr>
  </w:style>
  <w:style w:type="character" w:styleId="nfasis">
    <w:name w:val="Emphasis"/>
    <w:qFormat/>
    <w:rPr>
      <w:i/>
      <w:iCs/>
    </w:rPr>
  </w:style>
  <w:style w:type="character" w:styleId="Fuerte">
    <w:name w:val="Strong"/>
    <w:uiPriority w:val="22"/>
    <w:qFormat/>
    <w:rPr>
      <w:b/>
      <w:bCs/>
    </w:rPr>
  </w:style>
  <w:style w:type="character" w:customStyle="1" w:styleId="Strikeout">
    <w:name w:val="Strikeout"/>
    <w:qFormat/>
    <w:rPr>
      <w:strike/>
    </w:rPr>
  </w:style>
  <w:style w:type="character" w:customStyle="1" w:styleId="Superscript">
    <w:name w:val="Superscript"/>
    <w:qFormat/>
    <w:rPr>
      <w:vertAlign w:val="superscript"/>
    </w:rPr>
  </w:style>
  <w:style w:type="character" w:customStyle="1" w:styleId="Subscript">
    <w:name w:val="Subscript"/>
    <w:qFormat/>
    <w:rPr>
      <w:vertAlign w:val="subscript"/>
    </w:rPr>
  </w:style>
  <w:style w:type="character" w:customStyle="1" w:styleId="Quotation">
    <w:name w:val="Quotation"/>
    <w:qFormat/>
    <w:rPr>
      <w:i/>
      <w:iCs/>
    </w:rPr>
  </w:style>
  <w:style w:type="character" w:customStyle="1" w:styleId="Teletype">
    <w:name w:val="Teletype"/>
    <w:qFormat/>
    <w:rPr>
      <w:rFonts w:ascii="Courier New" w:eastAsia="Courier New" w:hAnsi="Courier New" w:cs="Courier New"/>
    </w:rPr>
  </w:style>
  <w:style w:type="character" w:styleId="Hipervnculo">
    <w:name w:val="Hyperlink"/>
    <w:rPr>
      <w:color w:val="000080"/>
      <w:u w:val="single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customStyle="1" w:styleId="Definition">
    <w:name w:val="Definition"/>
    <w:qFormat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Textoindependiente">
    <w:name w:val="Body Text"/>
    <w:basedOn w:val="Normal"/>
    <w:pPr>
      <w:spacing w:before="86" w:after="86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Author">
    <w:name w:val="Author"/>
    <w:basedOn w:val="Normal"/>
    <w:qFormat/>
    <w:pPr>
      <w:jc w:val="center"/>
    </w:pPr>
  </w:style>
  <w:style w:type="paragraph" w:styleId="Fecha">
    <w:name w:val="Date"/>
    <w:basedOn w:val="Normal"/>
    <w:qFormat/>
    <w:pPr>
      <w:jc w:val="center"/>
    </w:pPr>
  </w:style>
  <w:style w:type="paragraph" w:customStyle="1" w:styleId="Abstract">
    <w:name w:val="Abstract"/>
    <w:basedOn w:val="Normal"/>
    <w:qFormat/>
    <w:pPr>
      <w:spacing w:before="144" w:after="144"/>
      <w:ind w:left="567" w:right="567"/>
    </w:pPr>
  </w:style>
  <w:style w:type="paragraph" w:customStyle="1" w:styleId="Table">
    <w:name w:val="Table"/>
    <w:basedOn w:val="Descripcin"/>
    <w:qFormat/>
  </w:style>
  <w:style w:type="paragraph" w:customStyle="1" w:styleId="FigureCaption">
    <w:name w:val="FigureCaption"/>
    <w:basedOn w:val="Descripcin"/>
    <w:qFormat/>
  </w:style>
  <w:style w:type="paragraph" w:customStyle="1" w:styleId="Figure">
    <w:name w:val="Figure"/>
    <w:basedOn w:val="Normal"/>
    <w:qFormat/>
    <w:pPr>
      <w:suppressLineNumbers/>
    </w:pPr>
  </w:style>
  <w:style w:type="paragraph" w:customStyle="1" w:styleId="FigureWithCaption">
    <w:name w:val="FigureWithCaption"/>
    <w:basedOn w:val="Figure"/>
    <w:qFormat/>
    <w:pPr>
      <w:keepNext/>
    </w:pPr>
  </w:style>
  <w:style w:type="paragraph" w:customStyle="1" w:styleId="BlockQuotation">
    <w:name w:val="Block Quotation"/>
    <w:basedOn w:val="Normal"/>
    <w:qFormat/>
    <w:pPr>
      <w:spacing w:before="144" w:after="144"/>
      <w:ind w:left="567" w:right="567"/>
    </w:pPr>
  </w:style>
  <w:style w:type="paragraph" w:customStyle="1" w:styleId="PreformattedText">
    <w:name w:val="Preformatted Text"/>
    <w:basedOn w:val="Normal"/>
    <w:qFormat/>
    <w:rPr>
      <w:rFonts w:ascii="Courier New" w:eastAsia="Courier New" w:hAnsi="Courier New" w:cs="Courier New"/>
      <w:sz w:val="20"/>
      <w:szCs w:val="20"/>
    </w:rPr>
  </w:style>
  <w:style w:type="paragraph" w:customStyle="1" w:styleId="DefinitionTerm">
    <w:name w:val="Definition Term"/>
    <w:basedOn w:val="Normal"/>
    <w:next w:val="DefinitionDefinition"/>
    <w:qFormat/>
    <w:pPr>
      <w:spacing w:before="86" w:after="86"/>
    </w:pPr>
  </w:style>
  <w:style w:type="paragraph" w:customStyle="1" w:styleId="DefinitionDefinition">
    <w:name w:val="Definition Definition"/>
    <w:basedOn w:val="Normal"/>
    <w:next w:val="Textoindependiente"/>
    <w:qFormat/>
    <w:pPr>
      <w:ind w:left="720"/>
    </w:pPr>
  </w:style>
  <w:style w:type="paragraph" w:customStyle="1" w:styleId="TableContents">
    <w:name w:val="Table Contents"/>
    <w:basedOn w:val="Normal"/>
    <w:qFormat/>
    <w:pPr>
      <w:suppressLineNumbers/>
      <w:ind w:left="43" w:right="43"/>
    </w:pPr>
  </w:style>
  <w:style w:type="paragraph" w:customStyle="1" w:styleId="TableHeading">
    <w:name w:val="Table Heading"/>
    <w:basedOn w:val="TableContents"/>
    <w:qFormat/>
    <w:rPr>
      <w:b/>
      <w:bCs/>
    </w:rPr>
  </w:style>
  <w:style w:type="paragraph" w:styleId="Textonotapie">
    <w:name w:val="footnote text"/>
    <w:basedOn w:val="Normal"/>
    <w:pPr>
      <w:suppressLineNumbers/>
      <w:ind w:left="283" w:hanging="283"/>
    </w:pPr>
    <w:rPr>
      <w:sz w:val="20"/>
      <w:szCs w:val="20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Piedepgina">
    <w:name w:val="footer"/>
    <w:basedOn w:val="Normal"/>
    <w:pPr>
      <w:suppressLineNumbers/>
      <w:tabs>
        <w:tab w:val="center" w:pos="4680"/>
        <w:tab w:val="right" w:pos="9360"/>
      </w:tabs>
    </w:pPr>
  </w:style>
  <w:style w:type="paragraph" w:customStyle="1" w:styleId="DefinitionTermTight">
    <w:name w:val="Definition Term Tight"/>
    <w:basedOn w:val="Normal"/>
    <w:next w:val="DefinitionDefinitionTight"/>
    <w:qFormat/>
    <w:pPr>
      <w:spacing w:before="115" w:after="115"/>
    </w:pPr>
  </w:style>
  <w:style w:type="paragraph" w:customStyle="1" w:styleId="DefinitionDefinitionTight">
    <w:name w:val="Definition Definition Tight"/>
    <w:basedOn w:val="Normal"/>
    <w:qFormat/>
    <w:pPr>
      <w:ind w:left="720"/>
    </w:pPr>
  </w:style>
  <w:style w:type="paragraph" w:customStyle="1" w:styleId="HorizontalLine">
    <w:name w:val="Horizontal Line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FirstParagraph1">
    <w:name w:val="First Paragraph1"/>
    <w:basedOn w:val="Textoindependiente"/>
    <w:next w:val="Textoindependiente"/>
    <w:qFormat/>
  </w:style>
  <w:style w:type="paragraph" w:customStyle="1" w:styleId="ImageCaption">
    <w:name w:val="Image Caption"/>
    <w:basedOn w:val="Descripcin"/>
    <w:qFormat/>
  </w:style>
  <w:style w:type="numbering" w:customStyle="1" w:styleId="Bullet">
    <w:name w:val="Bullet •"/>
    <w:qFormat/>
  </w:style>
  <w:style w:type="numbering" w:customStyle="1" w:styleId="Bullet0">
    <w:name w:val="Bullet –"/>
    <w:qFormat/>
  </w:style>
  <w:style w:type="numbering" w:customStyle="1" w:styleId="Bullet1">
    <w:name w:val="Bullet ☑"/>
    <w:qFormat/>
  </w:style>
  <w:style w:type="numbering" w:customStyle="1" w:styleId="Bullet2">
    <w:name w:val="Bullet ➢"/>
    <w:qFormat/>
  </w:style>
  <w:style w:type="numbering" w:customStyle="1" w:styleId="Bullet3">
    <w:name w:val="Bullet ✗"/>
    <w:qFormat/>
  </w:style>
  <w:style w:type="numbering" w:customStyle="1" w:styleId="Numbering1">
    <w:name w:val="Numbering 1"/>
    <w:qFormat/>
  </w:style>
  <w:style w:type="numbering" w:customStyle="1" w:styleId="Numbering2">
    <w:name w:val="Numbering 2"/>
    <w:qFormat/>
  </w:style>
  <w:style w:type="numbering" w:customStyle="1" w:styleId="Numbering3">
    <w:name w:val="Numbering 3"/>
    <w:qFormat/>
  </w:style>
  <w:style w:type="numbering" w:customStyle="1" w:styleId="Numbering4">
    <w:name w:val="Numbering 4"/>
    <w:qFormat/>
  </w:style>
  <w:style w:type="numbering" w:customStyle="1" w:styleId="Numbering5">
    <w:name w:val="Numbering 5"/>
    <w:qFormat/>
  </w:style>
  <w:style w:type="table" w:styleId="Tablaconcuadrcula">
    <w:name w:val="Table Grid"/>
    <w:basedOn w:val="Tablanormal"/>
    <w:uiPriority w:val="39"/>
    <w:rsid w:val="004513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AE5E76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CA466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A4666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0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630</Words>
  <Characters>3183</Characters>
  <Application>Microsoft Office Word</Application>
  <DocSecurity>0</DocSecurity>
  <Lines>139</Lines>
  <Paragraphs>42</Paragraphs>
  <ScaleCrop>false</ScaleCrop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Rubén Capeáns Rivas</cp:lastModifiedBy>
  <cp:revision>25</cp:revision>
  <dcterms:created xsi:type="dcterms:W3CDTF">2026-01-08T12:51:00Z</dcterms:created>
  <dcterms:modified xsi:type="dcterms:W3CDTF">2026-03-24T18:14:00Z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2025-07-04T12:59:44Z</dcterms:created>
  <dc:creator/>
  <dc:description/>
  <dc:language>en-US</dc:language>
  <cp:lastModifiedBy/>
  <dcterms:modified xsi:type="dcterms:W3CDTF">2025-07-15T13:29:36Z</dcterms:modified>
  <cp:revision>22</cp:revision>
  <dc:subject/>
  <dc:title/>
</cp:coreProperties>
</file>