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tulo1"/>
        <w:keepNext/>
        <w:spacing w:after="80"/>
      </w:pPr>
      <w:r>
        <w:rPr>
          <w:rFonts w:ascii="Times New Roman" w:hAnsi="Times New Roman"/>
          <w:b/>
          <w:i w:val="0"/>
          <w:color w:val="000000"/>
          <w:sz w:val="24"/>
        </w:rPr>
        <w:t>Determinación del coeficiente de convección térmica</w:t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Objetivo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Determinar experimentalmente el coeficiente de convección térmica h mediante la ley de enfriamiento de Newton. Para ello se analizará el calor intercambiado entre una superficie y el aire para distintas diferencias de temperatura. El valor de h y su incertidumbre se obtendrán a partir de un ajuste lineal de Q frente a ΔT.</w:t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Fundamento teórico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La ley de enfriamiento de Newton establece que la potencia térmica intercambiada por convección entre una superficie y un fluido es proporcional al área de intercambio y a la diferencia de temperatura entre ambos: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Q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  <w:vertAlign w:val="subscript"/>
              </w:rPr>
              <w:t>s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−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  <w:vertAlign w:val="subscript"/>
              </w:rPr>
              <w:t>∞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)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hAΔT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(1)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Q se expresa en W, h en W·m⁻²·K⁻¹, A en m² y ΔT = Ts − T∞ en K o en °C. Las diferencias de temperatura tienen el mismo valor numérico en kelvin y en grados Celsius.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Al representar Q frente a ΔT y ajustar la recta Q = mΔT+b, la pendiente teórica es m = hA. Por tanto: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m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A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(2)</w:t>
            </w:r>
          </w:p>
        </w:tc>
      </w:tr>
    </w:tbl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Incertidumbre y calidad del ajuste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Si la incertidumbre de la pendiente y la del área son independientes, la incertidumbre de h se calcula mediante propagación cuadrática: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εh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h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√[(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εm/m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)² + 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εA/A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)²]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(3)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La calidad del modelo se evaluará con R² y con los residuos ri = Qi − (mΔTi+b). Se considerará sospechosa una medida si |ri| &gt; 2σres, donde σres es la desviación típica de los residuos.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En meteorología, h caracteriza el intercambio de calor sensible entre la superficie terrestre y la atmósfera. Depende de las propiedades del aire, de la rugosidad y del tipo de convección. El viento suele intensificar el intercambio turbulento y aumentar el valor efectivo de h.</w:t>
      </w:r>
    </w:p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Parte 1. Interpretación física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Responda a las preguntas de interpretación proporcionadas por el profesor junto con los datos de la práctica. Relacione cada respuesta con la ley de convección y argumente el efecto de las variables implicadas.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Archivo de preguntas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Grupo / identificador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Archivo de respuestas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Fecha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Pregunta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Principio físico</w:t>
            </w:r>
          </w:p>
        </w:tc>
        <w:tc>
          <w:tcPr>
            <w:tcW w:type="dxa" w:w="2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Relación con Q = hAΔT</w:t>
            </w:r>
          </w:p>
        </w:tc>
        <w:tc>
          <w:tcPr>
            <w:tcW w:type="dxa" w:w="2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Interpretación meteorológica</w:t>
            </w:r>
          </w:p>
        </w:tc>
      </w:tr>
      <w:tr>
        <w:trPr>
          <w:trHeight w:val="839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839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839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839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839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839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pStyle w:val="Textoindependiente"/>
        <w:keepNext w:val="0"/>
        <w:spacing w:before="0" w:after="80" w:line="240" w:lineRule="auto"/>
        <w:ind w:firstLine="0"/>
        <w:jc w:val="both"/>
      </w:pPr>
    </w:p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Aspectos que deben aparecer en el análisis:  </w:t>
      </w:r>
      <w:r>
        <w:rPr>
          <w:rFonts w:ascii="Times New Roman" w:hAnsi="Times New Roman"/>
          <w:b w:val="0"/>
          <w:i w:val="0"/>
          <w:color w:val="000000"/>
          <w:sz w:val="19"/>
        </w:rPr>
        <w:t>intercambio de calor entre superficie y aire; efecto de ΔT, A y h; convección natural y forzada; influencia del viento; y papel del calor sensible en la atmósfera.</w:t>
      </w:r>
    </w:p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Parte 2. Datos experimentales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Transcriba los datos del fichero CSV asignado a su grupo. Mantenga las unidades indicadas y conserve suficientes cifras significativas durante los cálculos.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Fichero CSV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Grupo / identificador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 (m²)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εA (m²)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Textoindependiente"/>
        <w:keepNext w:val="0"/>
        <w:spacing w:before="0" w:after="8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Medida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ΔT (°C)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εΔT (°C)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 (W)</w:t>
            </w: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εQ (W)</w:t>
            </w:r>
          </w:p>
        </w:tc>
      </w:tr>
      <w:tr>
        <w:trPr>
          <w:trHeight w:val="499" w:hRule="atLeast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99" w:hRule="atLeast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99" w:hRule="atLeast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99" w:hRule="atLeast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99" w:hRule="atLeast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99" w:hRule="atLeast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99" w:hRule="atLeast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99" w:hRule="atLeast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499" w:hRule="atLeast"/>
        </w:trPr>
        <w:tc>
          <w:tcPr>
            <w:tcW w:type="dxa" w:w="1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pStyle w:val="Textoindependiente"/>
        <w:keepNext w:val="0"/>
        <w:spacing w:before="0" w:after="10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304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Observaciones sobre los datos y sus incertidumbres:</w:t>
            </w:r>
          </w:p>
        </w:tc>
      </w:tr>
    </w:tbl>
    <w:p>
      <w:pPr>
        <w:pStyle w:val="Textoindependiente"/>
        <w:keepNext w:val="0"/>
        <w:spacing w:before="0" w:after="80" w:line="240" w:lineRule="auto"/>
        <w:ind w:firstLine="0"/>
        <w:jc w:val="both"/>
      </w:pPr>
    </w:p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Comprobaciones previas:  </w:t>
      </w:r>
      <w:r>
        <w:rPr>
          <w:rFonts w:ascii="Times New Roman" w:hAnsi="Times New Roman"/>
          <w:b w:val="0"/>
          <w:i w:val="0"/>
          <w:color w:val="000000"/>
          <w:sz w:val="19"/>
        </w:rPr>
        <w:t>ΔT debe ser coherente con Ts − T∞; Q y ΔT deben crecer de forma aproximadamente lineal; A y εA son comunes a todas las medidas.</w:t>
      </w:r>
    </w:p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Ajuste lineal de Q frente a ΔT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Represente Q frente a ΔT con barras de error y realice un ajuste lineal de la forma Q = mΔT+b. Incluya en la gráfica la ecuación del ajuste y el valor de R².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4392" w:hRule="exact"/>
        </w:trPr>
        <w:tc>
          <w:tcPr>
            <w:tcW w:type="dxa" w:w="8700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  <w:insideH w:val="single" w:sz="8" w:color="BFBFBF"/>
              <w:insideV w:val="single" w:sz="8" w:color="BFBFB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1937"/>
              <w:jc w:val="center"/>
            </w:pPr>
            <w:r>
              <w:rPr>
                <w:rFonts w:ascii="Times New Roman" w:hAnsi="Times New Roman"/>
                <w:b w:val="0"/>
                <w:i/>
                <w:color w:val="A6A6A6"/>
                <w:sz w:val="16"/>
              </w:rPr>
              <w:t>Espacio para insertar la gráfica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Magnitud</w:t>
            </w: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Valor</w:t>
            </w: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Incertidumbre</w:t>
            </w:r>
          </w:p>
        </w:tc>
      </w:tr>
      <w:tr>
        <w:trPr>
          <w:trHeight w:val="374" w:hRule="atLeast"/>
        </w:trPr>
        <w:tc>
          <w:tcPr>
            <w:tcW w:type="dxa" w:w="3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Pendiente m (W·K⁻¹)</w:t>
            </w: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3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Ordenada b (W)</w:t>
            </w: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3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Coeficiente h (W·m⁻²·K⁻¹)</w:t>
            </w: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3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Coeficiente R²</w:t>
            </w: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74" w:hRule="atLeast"/>
        </w:trPr>
        <w:tc>
          <w:tcPr>
            <w:tcW w:type="dxa" w:w="3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σres (W)</w:t>
            </w: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</w:p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Obtención del coeficiente:  </w:t>
      </w:r>
      <w:r>
        <w:rPr>
          <w:rFonts w:ascii="Times New Roman" w:hAnsi="Times New Roman"/>
          <w:b w:val="0"/>
          <w:i w:val="0"/>
          <w:color w:val="000000"/>
          <w:sz w:val="19"/>
        </w:rPr>
        <w:t>h = m/A</w:t>
      </w:r>
    </w:p>
    <w:p>
      <w:pPr>
        <w:pStyle w:val="Textoindependiente"/>
        <w:keepNext w:val="0"/>
        <w:spacing w:before="0" w:after="300" w:line="240" w:lineRule="auto"/>
        <w:ind w:firstLine="0"/>
        <w:jc w:val="both"/>
      </w:pPr>
    </w:p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Propagación de la incertidumbre:  </w:t>
      </w:r>
      <w:r>
        <w:rPr>
          <w:rFonts w:ascii="Times New Roman" w:hAnsi="Times New Roman"/>
          <w:b w:val="0"/>
          <w:i w:val="0"/>
          <w:color w:val="000000"/>
          <w:sz w:val="19"/>
        </w:rPr>
        <w:t>εh = h·√[(εm/m)² + (εA/A)²]</w:t>
      </w:r>
    </w:p>
    <w:p>
      <w:pPr>
        <w:pStyle w:val="Textoindependiente"/>
        <w:keepNext w:val="0"/>
        <w:spacing w:before="0" w:after="360" w:line="240" w:lineRule="auto"/>
        <w:ind w:firstLine="0"/>
        <w:jc w:val="both"/>
      </w:pPr>
    </w:p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Análisis de residuos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Calcule Qajuste = mΔT+b y el residuo ri = Qi − Qajuste para cada medida. Determine σres e identifique los puntos que cumplen |ri| &gt; 2σres.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Medida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ΔT (°C)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Q (W)</w:t>
            </w: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Qajuste (W)</w:t>
            </w: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ri (W)</w:t>
            </w: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¿|ri| &gt; 2σres?</w:t>
            </w:r>
          </w:p>
        </w:tc>
      </w:tr>
      <w:tr>
        <w:trPr>
          <w:trHeight w:val="340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40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40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40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40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40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40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40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40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σres = </w:t>
      </w:r>
      <w:r>
        <w:rPr>
          <w:rFonts w:ascii="Times New Roman" w:hAnsi="Times New Roman"/>
          <w:b w:val="0"/>
          <w:i w:val="0"/>
          <w:color w:val="000000"/>
          <w:sz w:val="19"/>
        </w:rPr>
        <w:t>________________ W          2σres = ________________ W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Represente los residuos frente a ΔT y trace las líneas r = 0 y r = ±2σres.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3960" w:hRule="exact"/>
        </w:trPr>
        <w:tc>
          <w:tcPr>
            <w:tcW w:type="dxa" w:w="8700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  <w:insideH w:val="single" w:sz="8" w:color="BFBFBF"/>
              <w:insideV w:val="single" w:sz="8" w:color="BFBFB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1721"/>
              <w:jc w:val="center"/>
            </w:pPr>
            <w:r>
              <w:rPr>
                <w:rFonts w:ascii="Times New Roman" w:hAnsi="Times New Roman"/>
                <w:b w:val="0"/>
                <w:i/>
                <w:color w:val="A6A6A6"/>
                <w:sz w:val="16"/>
              </w:rPr>
              <w:t>Espacio para insertar la gráfica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</w:p>
    <w:p>
      <w:pPr>
        <w:pStyle w:val="Textoindependiente"/>
        <w:keepNext w:val="0"/>
        <w:spacing w:before="0" w:after="20" w:line="240" w:lineRule="auto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Patrón de los residuos y posibles puntos sospechosos:  </w:t>
      </w:r>
      <w:r>
        <w:rPr>
          <w:rFonts w:ascii="Times New Roman" w:hAnsi="Times New Roman"/>
          <w:b w:val="0"/>
          <w:i w:val="0"/>
          <w:color w:val="000000"/>
          <w:sz w:val="19"/>
        </w:rPr>
        <w:t>________________________________________________________________________</w:t>
      </w:r>
    </w:p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Contribuciones a la incertidumbre de h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Separe la contribución procedente de la pendiente y la procedente del área. Los porcentajes se calculan a partir de sus contribuciones cuadráticas.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C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  <w:vertAlign w:val="subscript"/>
              </w:rPr>
              <w:t>m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εm/m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)²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(4a)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C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  <w:vertAlign w:val="subscript"/>
              </w:rPr>
              <w:t>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εA/A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)²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(4b)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P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  <w:vertAlign w:val="subscript"/>
              </w:rPr>
              <w:t>m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100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Cm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/(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Cm+CA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(5a)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P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  <w:vertAlign w:val="subscript"/>
              </w:rPr>
              <w:t>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100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CA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/(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Cm+CA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(5b)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Cm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Pm (%)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 (%)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Fuente dominante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Mejora propuesta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Textoindependiente"/>
        <w:keepNext w:val="0"/>
        <w:spacing w:before="0" w:after="1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219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Interpretación de la fuente dominante de incertidumbre y propuesta para reducirla:</w:t>
            </w:r>
          </w:p>
        </w:tc>
      </w:tr>
    </w:tbl>
    <w:p>
      <w:pPr>
        <w:pStyle w:val="Textoindependiente"/>
        <w:keepNext w:val="0"/>
        <w:spacing w:before="0" w:after="100" w:line="240" w:lineRule="auto"/>
        <w:ind w:firstLine="0"/>
        <w:jc w:val="both"/>
      </w:pP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Estimación para ΔT = 20 °C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Utilice el coeficiente obtenido y el área del experimento. Distinga la potencia total Q del flujo de calor por unidad de superficie q''.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q'' = hΔT (W·m⁻²)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 = hAΔT (W)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ΔT (°C)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Área A (m²)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Textoindependiente"/>
        <w:keepNext w:val="0"/>
        <w:spacing w:before="0" w:after="16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077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¿Cómo cambiaría el resultado si aumentase la velocidad del viento? Razone qué magnitud del modelo se modificaría.</w:t>
            </w: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Cuestiones finales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765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1. Indique el valor final de h con su incertidumbre y sus unidades.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879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2. Compare el resultado con valores típicos de convección natural en aire. ¿Es razonable?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879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3. ¿Debería ser exactamente cero la ordenada en el origen? Explique qué puede significar b ≠ 0.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879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4. Analice el gráfico de residuos y justifique cualquier punto situado fuera de la banda ±2σres.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049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5. Explique la importancia del calor sensible en la formación de la capa límite atmosférica y en los procesos convectivos.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162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Conclusión: resuma el valor de h, su precisión, la calidad del ajuste y la principal interpretación meteorológica.</w:t>
            </w:r>
          </w:p>
        </w:tc>
      </w:tr>
    </w:tbl>
    <w:sectPr w:rsidR="007C5844" w:rsidRPr="007C5844" w:rsidSect="008B7D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2016" w:left="1440" w:header="567" w:footer="144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DE51A" w14:textId="77777777" w:rsidR="00486B61" w:rsidRDefault="00486B61">
      <w:r>
        <w:separator/>
      </w:r>
    </w:p>
  </w:endnote>
  <w:endnote w:type="continuationSeparator" w:id="0">
    <w:p w14:paraId="4D249B0F" w14:textId="77777777" w:rsidR="00486B61" w:rsidRDefault="00486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Times New Roman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FB0818" w14:textId="77777777" w:rsidR="007C5844" w:rsidRDefault="007C58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D42F9D" w14:textId="7803B428" w:rsidR="007C5844" w:rsidRDefault="007C5844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8B7D60">
      <w:rPr>
        <w:noProof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B71B4" w14:textId="77777777" w:rsidR="007C5844" w:rsidRDefault="007C5844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E0420" w14:textId="77777777" w:rsidR="00486B61" w:rsidRDefault="00486B61">
      <w:r>
        <w:separator/>
      </w:r>
    </w:p>
  </w:footnote>
  <w:footnote w:type="continuationSeparator" w:id="0">
    <w:p w14:paraId="0C211922" w14:textId="77777777" w:rsidR="00486B61" w:rsidRDefault="00486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8BE6E" w14:textId="77777777" w:rsidR="008B7D60" w:rsidRDefault="008B7D6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79A20" w14:textId="238D4597" w:rsidR="008B7D60" w:rsidRPr="008B7D60" w:rsidRDefault="008B7D60">
    <w:pPr>
      <w:pStyle w:val="Encabezado"/>
      <w:rPr>
        <w:color w:val="FF0000"/>
        <w:lang w:val="es-ES"/>
      </w:rPr>
    </w:pPr>
    <w:bookmarkStart w:id="1" w:name="_GoBack"/>
    <w:r w:rsidRPr="008B7D60">
      <w:rPr>
        <w:color w:val="FF0000"/>
      </w:rPr>
      <w:t>Alumno 1:</w:t>
    </w:r>
    <w:r w:rsidRPr="008B7D60">
      <w:rPr>
        <w:color w:val="FF0000"/>
      </w:rPr>
      <w:ptab w:relativeTo="margin" w:alignment="center" w:leader="none"/>
    </w:r>
    <w:r w:rsidRPr="008B7D60">
      <w:rPr>
        <w:color w:val="FF0000"/>
      </w:rPr>
      <w:t>Alumno 2:</w:t>
    </w:r>
    <w:r w:rsidRPr="008B7D60">
      <w:rPr>
        <w:color w:val="FF0000"/>
      </w:rPr>
      <w:ptab w:relativeTo="margin" w:alignment="right" w:leader="none"/>
    </w:r>
    <w:r w:rsidRPr="008B7D60">
      <w:rPr>
        <w:color w:val="FF0000"/>
      </w:rPr>
      <w:t>Alumno 3:</w:t>
    </w:r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04AE7" w14:textId="77777777" w:rsidR="008B7D60" w:rsidRDefault="008B7D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8DD"/>
    <w:multiLevelType w:val="multilevel"/>
    <w:tmpl w:val="4EF2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DAF68F1"/>
    <w:multiLevelType w:val="multilevel"/>
    <w:tmpl w:val="7286FBFE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E0B5CB1"/>
    <w:multiLevelType w:val="multilevel"/>
    <w:tmpl w:val="9BA698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DB7117"/>
    <w:multiLevelType w:val="multilevel"/>
    <w:tmpl w:val="B504CE9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7B0"/>
    <w:rsid w:val="000422D8"/>
    <w:rsid w:val="000501F9"/>
    <w:rsid w:val="000847B0"/>
    <w:rsid w:val="000957FB"/>
    <w:rsid w:val="000A3C1D"/>
    <w:rsid w:val="000C3E1C"/>
    <w:rsid w:val="0010518B"/>
    <w:rsid w:val="00116EC2"/>
    <w:rsid w:val="00130288"/>
    <w:rsid w:val="00137C03"/>
    <w:rsid w:val="0015798E"/>
    <w:rsid w:val="001810C1"/>
    <w:rsid w:val="002048E2"/>
    <w:rsid w:val="00204F0B"/>
    <w:rsid w:val="00231E7F"/>
    <w:rsid w:val="00244EE7"/>
    <w:rsid w:val="002E4362"/>
    <w:rsid w:val="0037724A"/>
    <w:rsid w:val="003F384D"/>
    <w:rsid w:val="00452BEA"/>
    <w:rsid w:val="00486B61"/>
    <w:rsid w:val="005264E9"/>
    <w:rsid w:val="005C55F7"/>
    <w:rsid w:val="005D27B0"/>
    <w:rsid w:val="005D6198"/>
    <w:rsid w:val="005D6C29"/>
    <w:rsid w:val="006240FF"/>
    <w:rsid w:val="00685F77"/>
    <w:rsid w:val="006B0E72"/>
    <w:rsid w:val="006E29E3"/>
    <w:rsid w:val="0071098A"/>
    <w:rsid w:val="00745F45"/>
    <w:rsid w:val="007C42EA"/>
    <w:rsid w:val="007C5844"/>
    <w:rsid w:val="007E4AF4"/>
    <w:rsid w:val="008472F0"/>
    <w:rsid w:val="00853EC7"/>
    <w:rsid w:val="00856052"/>
    <w:rsid w:val="00866814"/>
    <w:rsid w:val="00877279"/>
    <w:rsid w:val="008964E3"/>
    <w:rsid w:val="00897E4F"/>
    <w:rsid w:val="008B7D60"/>
    <w:rsid w:val="00963714"/>
    <w:rsid w:val="00974E18"/>
    <w:rsid w:val="00997E0E"/>
    <w:rsid w:val="009A008B"/>
    <w:rsid w:val="009F76B7"/>
    <w:rsid w:val="00A07C71"/>
    <w:rsid w:val="00A9553C"/>
    <w:rsid w:val="00B51BF5"/>
    <w:rsid w:val="00B80B2C"/>
    <w:rsid w:val="00B87562"/>
    <w:rsid w:val="00BA27E4"/>
    <w:rsid w:val="00BAC888"/>
    <w:rsid w:val="00BE2F30"/>
    <w:rsid w:val="00C4226B"/>
    <w:rsid w:val="00C5215E"/>
    <w:rsid w:val="00C56BEA"/>
    <w:rsid w:val="00C67238"/>
    <w:rsid w:val="00C735C3"/>
    <w:rsid w:val="00C818C7"/>
    <w:rsid w:val="00C92766"/>
    <w:rsid w:val="00D07A6F"/>
    <w:rsid w:val="00D80E21"/>
    <w:rsid w:val="00DB0C8A"/>
    <w:rsid w:val="00DC5C06"/>
    <w:rsid w:val="00E97438"/>
    <w:rsid w:val="00EB5511"/>
    <w:rsid w:val="00EB7398"/>
    <w:rsid w:val="00EF74F4"/>
    <w:rsid w:val="00F05E4E"/>
    <w:rsid w:val="00F67E43"/>
    <w:rsid w:val="00F772B1"/>
    <w:rsid w:val="00F7782F"/>
    <w:rsid w:val="00F865B2"/>
    <w:rsid w:val="00FD1477"/>
    <w:rsid w:val="00FF00BE"/>
    <w:rsid w:val="01965484"/>
    <w:rsid w:val="021AC796"/>
    <w:rsid w:val="02D57A35"/>
    <w:rsid w:val="02E264B2"/>
    <w:rsid w:val="03D8A59A"/>
    <w:rsid w:val="05C117F6"/>
    <w:rsid w:val="05CF95B2"/>
    <w:rsid w:val="05DDEE47"/>
    <w:rsid w:val="06FFC181"/>
    <w:rsid w:val="07EE6836"/>
    <w:rsid w:val="07F9B9B4"/>
    <w:rsid w:val="09A72B30"/>
    <w:rsid w:val="0A0F9D96"/>
    <w:rsid w:val="0A17886A"/>
    <w:rsid w:val="0D51206E"/>
    <w:rsid w:val="0F07FE5B"/>
    <w:rsid w:val="0F8F3251"/>
    <w:rsid w:val="0FE3793D"/>
    <w:rsid w:val="1045D7AE"/>
    <w:rsid w:val="124531C9"/>
    <w:rsid w:val="145B73ED"/>
    <w:rsid w:val="14D1E2EA"/>
    <w:rsid w:val="14E8CF6E"/>
    <w:rsid w:val="1511DB34"/>
    <w:rsid w:val="1698C528"/>
    <w:rsid w:val="174578F9"/>
    <w:rsid w:val="18F586CE"/>
    <w:rsid w:val="193A439E"/>
    <w:rsid w:val="198C67CD"/>
    <w:rsid w:val="1B169016"/>
    <w:rsid w:val="1C60B3E2"/>
    <w:rsid w:val="1C9AC30A"/>
    <w:rsid w:val="1FDD2F77"/>
    <w:rsid w:val="1FF32AAA"/>
    <w:rsid w:val="266B18C6"/>
    <w:rsid w:val="26A15AF0"/>
    <w:rsid w:val="26DEA423"/>
    <w:rsid w:val="276DC7BA"/>
    <w:rsid w:val="285C2456"/>
    <w:rsid w:val="286C7FFD"/>
    <w:rsid w:val="298389FA"/>
    <w:rsid w:val="2ACC1214"/>
    <w:rsid w:val="2BD5DEA0"/>
    <w:rsid w:val="2CEDFA8E"/>
    <w:rsid w:val="2D4BF3F9"/>
    <w:rsid w:val="2F2C3389"/>
    <w:rsid w:val="311F2DBD"/>
    <w:rsid w:val="31B9B49F"/>
    <w:rsid w:val="31DA8A53"/>
    <w:rsid w:val="32266457"/>
    <w:rsid w:val="32646E53"/>
    <w:rsid w:val="3394B4CC"/>
    <w:rsid w:val="34149420"/>
    <w:rsid w:val="359772DE"/>
    <w:rsid w:val="3797CBFF"/>
    <w:rsid w:val="3AEAAC6B"/>
    <w:rsid w:val="3BAD9B7D"/>
    <w:rsid w:val="3C8C835B"/>
    <w:rsid w:val="3E198808"/>
    <w:rsid w:val="3ECA7B12"/>
    <w:rsid w:val="4051F152"/>
    <w:rsid w:val="40CB6E8A"/>
    <w:rsid w:val="42D1E0D8"/>
    <w:rsid w:val="435F673A"/>
    <w:rsid w:val="472D47B1"/>
    <w:rsid w:val="48A7CB4E"/>
    <w:rsid w:val="4974CB37"/>
    <w:rsid w:val="4ABE51DB"/>
    <w:rsid w:val="4E1FD0C7"/>
    <w:rsid w:val="503DC5FB"/>
    <w:rsid w:val="50DF0D66"/>
    <w:rsid w:val="52064E05"/>
    <w:rsid w:val="521F415C"/>
    <w:rsid w:val="5336E652"/>
    <w:rsid w:val="536DC86B"/>
    <w:rsid w:val="5451B944"/>
    <w:rsid w:val="553AD406"/>
    <w:rsid w:val="5691F731"/>
    <w:rsid w:val="576A347D"/>
    <w:rsid w:val="578469C9"/>
    <w:rsid w:val="58708EF2"/>
    <w:rsid w:val="5AA535B8"/>
    <w:rsid w:val="5AA92F6A"/>
    <w:rsid w:val="5B7B3346"/>
    <w:rsid w:val="5BDE7C65"/>
    <w:rsid w:val="5C050ACF"/>
    <w:rsid w:val="5C8F7004"/>
    <w:rsid w:val="5CA7FAB1"/>
    <w:rsid w:val="5FDAB27D"/>
    <w:rsid w:val="6111B2C2"/>
    <w:rsid w:val="62C5C019"/>
    <w:rsid w:val="634CD52F"/>
    <w:rsid w:val="63A54794"/>
    <w:rsid w:val="6421271E"/>
    <w:rsid w:val="642E1241"/>
    <w:rsid w:val="66FCA4E0"/>
    <w:rsid w:val="6839A086"/>
    <w:rsid w:val="6C1FDDBF"/>
    <w:rsid w:val="6FBD8AF6"/>
    <w:rsid w:val="7120B726"/>
    <w:rsid w:val="71CCC33E"/>
    <w:rsid w:val="72084651"/>
    <w:rsid w:val="7270BEF6"/>
    <w:rsid w:val="735C81A1"/>
    <w:rsid w:val="73DA07E0"/>
    <w:rsid w:val="795D5F1B"/>
    <w:rsid w:val="7A3DE76A"/>
    <w:rsid w:val="7ADE7899"/>
    <w:rsid w:val="7AF374DA"/>
    <w:rsid w:val="7B411775"/>
    <w:rsid w:val="7D3427CC"/>
    <w:rsid w:val="7FE8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F12D1"/>
  <w15:docId w15:val="{7090B955-895D-4823-A236-DB01A7F8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U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overflowPunct w:val="0"/>
    </w:pPr>
    <w:rPr>
      <w:rFonts w:ascii="Times New Roman" w:hAnsi="Times New Roman"/>
      <w:sz w:val="19"/>
    </w:rPr>
  </w:style>
  <w:style w:type="paragraph" w:styleId="Ttulo1">
    <w:name w:val="heading 1"/>
    <w:basedOn w:val="Heading"/>
    <w:next w:val="Textoindependiente"/>
    <w:qFormat/>
    <w:pPr>
      <w:numPr>
        <w:numId w:val="1"/>
      </w:numPr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Heading"/>
    <w:next w:val="Textoindependiente"/>
    <w:qFormat/>
    <w:pPr>
      <w:numPr>
        <w:ilvl w:val="1"/>
        <w:numId w:val="1"/>
      </w:numPr>
      <w:outlineLvl w:val="1"/>
    </w:pPr>
    <w:rPr>
      <w:b/>
      <w:bCs/>
      <w:i/>
      <w:iCs/>
      <w:color w:val="000000"/>
    </w:rPr>
  </w:style>
  <w:style w:type="paragraph" w:styleId="Ttulo3">
    <w:name w:val="heading 3"/>
    <w:basedOn w:val="Heading"/>
    <w:next w:val="Textoindependiente"/>
    <w:qFormat/>
    <w:pPr>
      <w:numPr>
        <w:ilvl w:val="2"/>
        <w:numId w:val="1"/>
      </w:numPr>
      <w:outlineLvl w:val="2"/>
    </w:pPr>
    <w:rPr>
      <w:b/>
      <w:bCs/>
    </w:rPr>
  </w:style>
  <w:style w:type="paragraph" w:styleId="Ttulo4">
    <w:name w:val="heading 4"/>
    <w:basedOn w:val="Heading"/>
    <w:next w:val="Textoindependiente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Textoindependiente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Textoindependiente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styleId="nfasis">
    <w:name w:val="Emphasis"/>
    <w:qFormat/>
    <w:rPr>
      <w:i/>
      <w:iCs/>
    </w:rPr>
  </w:style>
  <w:style w:type="character" w:styleId="Textoennegrita">
    <w:name w:val="Strong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Quotation">
    <w:name w:val="Quotation"/>
    <w:qFormat/>
    <w:rPr>
      <w:i/>
      <w:iCs/>
    </w:rPr>
  </w:style>
  <w:style w:type="character" w:customStyle="1" w:styleId="Teletype">
    <w:name w:val="Teletype"/>
    <w:qFormat/>
    <w:rPr>
      <w:rFonts w:ascii="Courier New" w:eastAsia="Courier New" w:hAnsi="Courier New" w:cs="Courier New"/>
    </w:rPr>
  </w:style>
  <w:style w:type="character" w:styleId="Hipervnculo">
    <w:name w:val="Hyperlink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Definition">
    <w:name w:val="Definition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before="86" w:after="86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uthor">
    <w:name w:val="Author"/>
    <w:basedOn w:val="Normal"/>
    <w:qFormat/>
    <w:pPr>
      <w:jc w:val="center"/>
    </w:pPr>
  </w:style>
  <w:style w:type="paragraph" w:styleId="Fecha">
    <w:name w:val="Date"/>
    <w:basedOn w:val="Normal"/>
    <w:qFormat/>
    <w:pPr>
      <w:jc w:val="center"/>
    </w:pPr>
  </w:style>
  <w:style w:type="paragraph" w:customStyle="1" w:styleId="Abstract">
    <w:name w:val="Abstract"/>
    <w:basedOn w:val="Normal"/>
    <w:qFormat/>
    <w:pPr>
      <w:spacing w:before="144" w:after="144"/>
      <w:ind w:left="567" w:right="567"/>
    </w:pPr>
  </w:style>
  <w:style w:type="paragraph" w:customStyle="1" w:styleId="Table">
    <w:name w:val="Table"/>
    <w:basedOn w:val="Descripcin"/>
    <w:qFormat/>
  </w:style>
  <w:style w:type="paragraph" w:customStyle="1" w:styleId="FigureCaption">
    <w:name w:val="FigureCaption"/>
    <w:basedOn w:val="Descripcin"/>
    <w:qFormat/>
  </w:style>
  <w:style w:type="paragraph" w:customStyle="1" w:styleId="Figure">
    <w:name w:val="Figure"/>
    <w:basedOn w:val="Normal"/>
    <w:qFormat/>
    <w:pPr>
      <w:suppressLineNumbers/>
    </w:pPr>
  </w:style>
  <w:style w:type="paragraph" w:customStyle="1" w:styleId="FigureWithCaption">
    <w:name w:val="FigureWithCaption"/>
    <w:basedOn w:val="Figure"/>
    <w:qFormat/>
    <w:pPr>
      <w:keepNext/>
    </w:pPr>
  </w:style>
  <w:style w:type="paragraph" w:customStyle="1" w:styleId="BlockQuotation">
    <w:name w:val="Block Quotation"/>
    <w:basedOn w:val="Normal"/>
    <w:qFormat/>
    <w:pPr>
      <w:spacing w:before="144" w:after="144"/>
      <w:ind w:left="567" w:right="567"/>
    </w:pPr>
  </w:style>
  <w:style w:type="paragraph" w:customStyle="1" w:styleId="PreformattedText">
    <w:name w:val="Preformatted Text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Normal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Normal"/>
    <w:next w:val="Textoindependiente"/>
    <w:qFormat/>
    <w:pPr>
      <w:ind w:left="720"/>
    </w:pPr>
  </w:style>
  <w:style w:type="paragraph" w:customStyle="1" w:styleId="TableContents">
    <w:name w:val="Table Contents"/>
    <w:basedOn w:val="Normal"/>
    <w:qFormat/>
    <w:pPr>
      <w:suppressLineNumbers/>
      <w:ind w:left="43" w:right="43"/>
    </w:pPr>
  </w:style>
  <w:style w:type="paragraph" w:customStyle="1" w:styleId="TableHeading">
    <w:name w:val="Table Heading"/>
    <w:basedOn w:val="TableContents"/>
    <w:qFormat/>
    <w:rPr>
      <w:b/>
      <w:bCs/>
    </w:r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DefinitionTermTight">
    <w:name w:val="Definition Term Tight"/>
    <w:basedOn w:val="Normal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Normal"/>
    <w:qFormat/>
    <w:pPr>
      <w:ind w:left="720"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irstparagraph">
    <w:name w:val="First paragraph"/>
    <w:basedOn w:val="Textoindependiente"/>
    <w:next w:val="Textoindependiente"/>
    <w:qFormat/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Bullet2">
    <w:name w:val="Bullet ➢"/>
    <w:qFormat/>
  </w:style>
  <w:style w:type="numbering" w:customStyle="1" w:styleId="Bullet3">
    <w:name w:val="Bullet ✗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character" w:styleId="Textodelmarcadordeposicin">
    <w:name w:val="Placeholder Text"/>
    <w:basedOn w:val="Fuentedeprrafopredeter"/>
    <w:uiPriority w:val="99"/>
    <w:semiHidden/>
    <w:rsid w:val="000C3E1C"/>
    <w:rPr>
      <w:color w:val="808080"/>
    </w:rPr>
  </w:style>
  <w:style w:type="paragraph" w:styleId="NormalWeb">
    <w:name w:val="Normal (Web)"/>
    <w:basedOn w:val="Normal"/>
    <w:uiPriority w:val="99"/>
    <w:unhideWhenUsed/>
    <w:rsid w:val="005D27B0"/>
    <w:pPr>
      <w:widowControl/>
      <w:suppressAutoHyphens w:val="0"/>
      <w:overflowPunct/>
      <w:spacing w:before="100" w:beforeAutospacing="1" w:after="100" w:afterAutospacing="1"/>
    </w:pPr>
    <w:rPr>
      <w:rFonts w:eastAsia="Times New Roman" w:cs="Times New Roman"/>
      <w:kern w:val="0"/>
      <w:lang w:val="es-ES"/>
    </w:rPr>
  </w:style>
  <w:style w:type="character" w:customStyle="1" w:styleId="katex-mathml">
    <w:name w:val="katex-mathml"/>
    <w:basedOn w:val="Fuentedeprrafopredeter"/>
    <w:rsid w:val="00A9553C"/>
  </w:style>
  <w:style w:type="character" w:customStyle="1" w:styleId="mopen">
    <w:name w:val="mopen"/>
    <w:basedOn w:val="Fuentedeprrafopredeter"/>
    <w:rsid w:val="00A9553C"/>
  </w:style>
  <w:style w:type="character" w:customStyle="1" w:styleId="mord">
    <w:name w:val="mord"/>
    <w:basedOn w:val="Fuentedeprrafopredeter"/>
    <w:rsid w:val="00A9553C"/>
  </w:style>
  <w:style w:type="character" w:customStyle="1" w:styleId="mbin">
    <w:name w:val="mbin"/>
    <w:basedOn w:val="Fuentedeprrafopredeter"/>
    <w:rsid w:val="00A9553C"/>
  </w:style>
  <w:style w:type="character" w:customStyle="1" w:styleId="vlist-s">
    <w:name w:val="vlist-s"/>
    <w:basedOn w:val="Fuentedeprrafopredeter"/>
    <w:rsid w:val="00A9553C"/>
  </w:style>
  <w:style w:type="character" w:customStyle="1" w:styleId="mclose">
    <w:name w:val="mclose"/>
    <w:basedOn w:val="Fuentedeprrafopredeter"/>
    <w:rsid w:val="00A9553C"/>
  </w:style>
  <w:style w:type="character" w:customStyle="1" w:styleId="TextoindependienteCar">
    <w:name w:val="Texto independiente Car"/>
    <w:basedOn w:val="Fuentedeprrafopredeter"/>
    <w:link w:val="Textoindependiente"/>
    <w:rsid w:val="00EB7398"/>
  </w:style>
  <w:style w:type="character" w:customStyle="1" w:styleId="mpunct">
    <w:name w:val="mpunct"/>
    <w:basedOn w:val="Fuentedeprrafopredeter"/>
    <w:rsid w:val="007E4AF4"/>
  </w:style>
  <w:style w:type="character" w:customStyle="1" w:styleId="mspace">
    <w:name w:val="mspace"/>
    <w:basedOn w:val="Fuentedeprrafopredeter"/>
    <w:rsid w:val="007E4AF4"/>
  </w:style>
  <w:style w:type="table" w:styleId="Tablaconcuadrcula">
    <w:name w:val="Table Grid"/>
    <w:basedOn w:val="Tablanormal"/>
    <w:uiPriority w:val="39"/>
    <w:rsid w:val="00EB5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B7D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7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955C1-E3BD-489C-A1DB-AC22DCA2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647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Used Villuendas</cp:lastModifiedBy>
  <cp:revision>56</cp:revision>
  <dcterms:created xsi:type="dcterms:W3CDTF">2025-07-16T08:42:00Z</dcterms:created>
  <dcterms:modified xsi:type="dcterms:W3CDTF">2025-09-23T15:34:00Z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2025-07-04T12:59:44Z</dcterms:created>
  <dc:creator/>
  <dc:description/>
  <dc:language>en-US</dc:language>
  <cp:lastModifiedBy/>
  <dcterms:modified xsi:type="dcterms:W3CDTF">2025-07-15T13:29:27Z</dcterms:modified>
  <cp:revision>38</cp:revision>
  <dc:subject/>
  <dc:title/>
</cp:coreProperties>
</file>