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cuación-de-darcy-weisbach"/>
    <w:p>
      <w:pPr>
        <w:pStyle w:val="Heading1"/>
      </w:pPr>
      <w:r>
        <w:t xml:space="preserve">Ecuación de Darcy-Weisbach</w:t>
      </w:r>
    </w:p>
    <w:bookmarkStart w:id="20" w:name="objetivo"/>
    <w:p>
      <w:pPr>
        <w:pStyle w:val="Heading2"/>
      </w:pPr>
      <w:r>
        <w:t xml:space="preserve">Objetivo</w:t>
      </w:r>
    </w:p>
    <w:p>
      <w:pPr>
        <w:pStyle w:val="FirstParagraph"/>
      </w:pPr>
      <w:r>
        <w:t xml:space="preserve">A partir de la ecuación de Darcy-Weisbach se calculará el factor de fricción de Darcy cuando un fluido estacionario, incompresible y viscoso (agua) fluye en una tubería que supondremos lisa. Se comprobará, utilizando varias ecuaciones de la hidráulica, cuál de ellas explica la evolución del factor de fricción según aumenta el número de Reynolds.</w:t>
      </w:r>
    </w:p>
    <w:bookmarkEnd w:id="20"/>
    <w:bookmarkStart w:id="21" w:name="fundamento-teórico"/>
    <w:p>
      <w:pPr>
        <w:pStyle w:val="Heading2"/>
      </w:pPr>
      <w:r>
        <w:t xml:space="preserve">Fundamento teórico</w:t>
      </w:r>
    </w:p>
    <w:p>
      <w:pPr>
        <w:pStyle w:val="FirstParagraph"/>
      </w:pPr>
      <w:r>
        <w:t xml:space="preserve">El número de Reynolds es una cantidad adimensional que nos permite caracterizar el movimiento de un fluido viscoso. En el caso de tuberías de sección circular, el número de Reynolds viene dado por:</w:t>
      </w:r>
    </w:p>
    <w:p>
      <w:pPr>
        <w:pStyle w:val="BodyText"/>
      </w:pPr>
      <m:oMathPara>
        <m:oMathParaPr>
          <m:jc m:val="center"/>
        </m:oMathParaPr>
        <m:oMath>
          <m:r>
            <m:rPr>
              <m:sty m:val="p"/>
            </m:rPr>
            <m:t>R</m:t>
          </m:r>
          <m:r>
            <m:rPr>
              <m:sty m:val="p"/>
            </m:rPr>
            <m:t>e</m:t>
          </m:r>
          <m:r>
            <m:rPr>
              <m:sty m:val="p"/>
            </m:rPr>
            <m:t>=</m:t>
          </m:r>
          <m:f>
            <m:fPr>
              <m:type m:val="bar"/>
            </m:fPr>
            <m:num>
              <m:r>
                <m:t>ρ</m:t>
              </m:r>
              <m:r>
                <m:t>u</m:t>
              </m:r>
              <m:r>
                <m:t>D</m:t>
              </m:r>
            </m:num>
            <m:den>
              <m:r>
                <m:t>μ</m:t>
              </m:r>
            </m:den>
          </m:f>
          <m:r>
            <m:rPr>
              <m:sty m:val="p"/>
            </m:rPr>
            <m:t>=</m:t>
          </m:r>
          <m:f>
            <m:fPr>
              <m:type m:val="bar"/>
            </m:fPr>
            <m:num>
              <m:r>
                <m:t>u</m:t>
              </m:r>
              <m:r>
                <m:t>D</m:t>
              </m:r>
            </m:num>
            <m:den>
              <m:r>
                <m:t>ν</m:t>
              </m:r>
            </m:den>
          </m:f>
          <m:r>
            <m:rPr>
              <m:sty m:val="p"/>
            </m:rPr>
            <m:t>,</m:t>
          </m:r>
          <m:r>
            <m:t> </m:t>
          </m:r>
          <m:r>
            <m:rPr>
              <m:nor/>
              <m:sty m:val="p"/>
            </m:rPr>
            <m:t>(2.1)</m:t>
          </m:r>
        </m:oMath>
      </m:oMathPara>
    </w:p>
    <w:p>
      <w:pPr>
        <w:pStyle w:val="FirstParagraph"/>
      </w:pPr>
      <w:r>
        <w:t xml:space="preserve">donde</w:t>
      </w:r>
      <w:r>
        <w:t xml:space="preserve"> </w:t>
      </w:r>
      <m:oMath>
        <m:r>
          <m:t>ρ</m:t>
        </m:r>
      </m:oMath>
      <w:r>
        <w:t xml:space="preserve"> </w:t>
      </w:r>
      <w:r>
        <w:t xml:space="preserve">y</w:t>
      </w:r>
      <w:r>
        <w:t xml:space="preserve"> </w:t>
      </w:r>
      <m:oMath>
        <m:r>
          <m:t>u</m:t>
        </m:r>
      </m:oMath>
      <w:r>
        <w:t xml:space="preserve"> </w:t>
      </w:r>
      <w:r>
        <w:t xml:space="preserve">son la densidad y la velocidad característica del fluido y</w:t>
      </w:r>
      <w:r>
        <w:t xml:space="preserve"> </w:t>
      </w:r>
      <m:oMath>
        <m:r>
          <m:t>D</m:t>
        </m:r>
      </m:oMath>
      <w:r>
        <w:t xml:space="preserve"> </w:t>
      </w:r>
      <w:r>
        <w:t xml:space="preserve">el diámetro de la tubería.</w:t>
      </w:r>
      <w:r>
        <w:t xml:space="preserve"> </w:t>
      </w:r>
      <m:oMath>
        <m:r>
          <m:t>μ</m:t>
        </m:r>
      </m:oMath>
      <w:r>
        <w:t xml:space="preserve"> </w:t>
      </w:r>
      <w:r>
        <w:t xml:space="preserve">y</w:t>
      </w:r>
      <w:r>
        <w:t xml:space="preserve"> </w:t>
      </w:r>
      <m:oMath>
        <m:r>
          <m:t>ν</m:t>
        </m:r>
      </m:oMath>
      <w:r>
        <w:t xml:space="preserve"> </w:t>
      </w:r>
      <w:r>
        <w:t xml:space="preserve">son la viscosidades dinámica y cinemática del fluido, relacionadas entre sí mediante la densidad:</w:t>
      </w:r>
    </w:p>
    <w:p>
      <w:pPr>
        <w:pStyle w:val="BodyText"/>
      </w:pPr>
      <m:oMathPara>
        <m:oMathParaPr>
          <m:jc m:val="center"/>
        </m:oMathParaPr>
        <m:oMath>
          <m:r>
            <m:rPr>
              <m:sty m:val="i"/>
            </m:rPr>
            <m:t>ν</m:t>
          </m:r>
          <m:r>
            <m:rPr>
              <m:sty m:val="p"/>
            </m:rPr>
            <m:t>=</m:t>
          </m:r>
          <m:f>
            <m:fPr>
              <m:type m:val="bar"/>
            </m:fPr>
            <m:num>
              <m:r>
                <m:t>μ</m:t>
              </m:r>
            </m:num>
            <m:den>
              <m:r>
                <m:t>ρ</m:t>
              </m:r>
            </m:den>
          </m:f>
          <m:r>
            <m:rPr>
              <m:sty m:val="p"/>
            </m:rPr>
            <m:t>.</m:t>
          </m:r>
          <m:r>
            <m:t> </m:t>
          </m:r>
          <m:r>
            <m:rPr>
              <m:nor/>
              <m:sty m:val="p"/>
            </m:rPr>
            <m:t>(2.2)</m:t>
          </m:r>
        </m:oMath>
      </m:oMathPara>
    </w:p>
    <w:p>
      <w:pPr>
        <w:pStyle w:val="FirstParagraph"/>
      </w:pPr>
      <w:r>
        <w:t xml:space="preserve">El número de Reynolds permite predecir el carácter turbulento o laminar en ciertos casos. En conductos o tuberías si el número de Reynolds es menor de 2100 el flujo será laminar y si es mayor de 4000 el flujo será turbulento (estos intervalos varían según la bibliografía que se consulte). Entre estos dos valores decimos que el régimen es crítico y el flujo no es estacionario, por lo que la velocidad en una sección varía con el tiempo.</w:t>
      </w:r>
    </w:p>
    <w:p>
      <w:pPr>
        <w:pStyle w:val="BodyText"/>
      </w:pPr>
      <w:r>
        <w:t xml:space="preserve">Cuando un fluido estacionario, incompresible y viscoso se mueve en un conducto de sección constante, la conservación de la energía entre dos puntos del fluido toma la forma:</w:t>
      </w:r>
    </w:p>
    <w:p>
      <w:pPr>
        <w:pStyle w:val="BodyText"/>
      </w:pPr>
      <m:oMathPara>
        <m:oMathParaPr>
          <m:jc m:val="center"/>
        </m:oMathParaPr>
        <m:oMath>
          <m:sSub>
            <m:e>
              <m:d>
                <m:dPr>
                  <m:begChr m:val="("/>
                  <m:endChr m:val=")"/>
                  <m:sepChr m:val=""/>
                  <m:grow/>
                </m:dPr>
                <m:e>
                  <m:r>
                    <m:t>z</m:t>
                  </m:r>
                  <m:r>
                    <m:rPr>
                      <m:sty m:val="p"/>
                    </m:rPr>
                    <m:t>+</m:t>
                  </m:r>
                  <m:f>
                    <m:fPr>
                      <m:type m:val="bar"/>
                    </m:fPr>
                    <m:num>
                      <m:r>
                        <m:t>p</m:t>
                      </m:r>
                    </m:num>
                    <m:den>
                      <m:r>
                        <m:t>ρ</m:t>
                      </m:r>
                      <m:r>
                        <m:t>g</m:t>
                      </m:r>
                    </m:den>
                  </m:f>
                  <m:r>
                    <m:rPr>
                      <m:sty m:val="p"/>
                    </m:rPr>
                    <m:t>+</m:t>
                  </m:r>
                  <m:f>
                    <m:fPr>
                      <m:type m:val="bar"/>
                    </m:fPr>
                    <m:num>
                      <m:sSup>
                        <m:e>
                          <m:r>
                            <m:t>u</m:t>
                          </m:r>
                        </m:e>
                        <m:sup>
                          <m:r>
                            <m:t>2</m:t>
                          </m:r>
                        </m:sup>
                      </m:sSup>
                    </m:num>
                    <m:den>
                      <m:r>
                        <m:t>2</m:t>
                      </m:r>
                      <m:r>
                        <m:t>g</m:t>
                      </m:r>
                    </m:den>
                  </m:f>
                </m:e>
              </m:d>
            </m:e>
            <m:sub>
              <m:r>
                <m:t>1</m:t>
              </m:r>
            </m:sub>
          </m:sSub>
          <m:r>
            <m:rPr>
              <m:sty m:val="p"/>
            </m:rPr>
            <m:t>=</m:t>
          </m:r>
          <m:sSub>
            <m:e>
              <m:d>
                <m:dPr>
                  <m:begChr m:val="("/>
                  <m:endChr m:val=")"/>
                  <m:sepChr m:val=""/>
                  <m:grow/>
                </m:dPr>
                <m:e>
                  <m:r>
                    <m:t>z</m:t>
                  </m:r>
                  <m:r>
                    <m:rPr>
                      <m:sty m:val="p"/>
                    </m:rPr>
                    <m:t>+</m:t>
                  </m:r>
                  <m:f>
                    <m:fPr>
                      <m:type m:val="bar"/>
                    </m:fPr>
                    <m:num>
                      <m:r>
                        <m:t>p</m:t>
                      </m:r>
                    </m:num>
                    <m:den>
                      <m:r>
                        <m:t>ρ</m:t>
                      </m:r>
                      <m:r>
                        <m:t>g</m:t>
                      </m:r>
                    </m:den>
                  </m:f>
                  <m:r>
                    <m:rPr>
                      <m:sty m:val="p"/>
                    </m:rPr>
                    <m:t>+</m:t>
                  </m:r>
                  <m:f>
                    <m:fPr>
                      <m:type m:val="bar"/>
                    </m:fPr>
                    <m:num>
                      <m:sSup>
                        <m:e>
                          <m:r>
                            <m:t>u</m:t>
                          </m:r>
                        </m:e>
                        <m:sup>
                          <m:r>
                            <m:t>2</m:t>
                          </m:r>
                        </m:sup>
                      </m:sSup>
                    </m:num>
                    <m:den>
                      <m:r>
                        <m:t>2</m:t>
                      </m:r>
                      <m:r>
                        <m:t>g</m:t>
                      </m:r>
                    </m:den>
                  </m:f>
                </m:e>
              </m:d>
            </m:e>
            <m:sub>
              <m:r>
                <m:t>2</m:t>
              </m:r>
            </m:sub>
          </m:sSub>
          <m:r>
            <m:rPr>
              <m:sty m:val="p"/>
            </m:rPr>
            <m:t>+</m:t>
          </m:r>
          <m:sSub>
            <m:e>
              <m:r>
                <m:t>h</m:t>
              </m:r>
            </m:e>
            <m:sub>
              <m:r>
                <m:t>f</m:t>
              </m:r>
            </m:sub>
          </m:sSub>
          <m:r>
            <m:rPr>
              <m:sty m:val="p"/>
            </m:rPr>
            <m:t>,</m:t>
          </m:r>
          <m:r>
            <m:t> </m:t>
          </m:r>
          <m:r>
            <m:rPr>
              <m:nor/>
              <m:sty m:val="p"/>
            </m:rPr>
            <m:t>(2.3)</m:t>
          </m:r>
        </m:oMath>
      </m:oMathPara>
    </w:p>
    <w:p>
      <w:pPr>
        <w:pStyle w:val="FirstParagraph"/>
      </w:pPr>
      <w:r>
        <w:t xml:space="preserve">donde</w:t>
      </w:r>
      <w:r>
        <w:t xml:space="preserve"> </w:t>
      </w:r>
      <m:oMath>
        <m:r>
          <m:t>u</m:t>
        </m:r>
      </m:oMath>
      <w:r>
        <w:t xml:space="preserve">,</w:t>
      </w:r>
      <w:r>
        <w:t xml:space="preserve"> </w:t>
      </w:r>
      <m:oMath>
        <m:r>
          <m:t>p</m:t>
        </m:r>
      </m:oMath>
      <w:r>
        <w:t xml:space="preserve"> </w:t>
      </w:r>
      <w:r>
        <w:t xml:space="preserve">y</w:t>
      </w:r>
      <w:r>
        <w:t xml:space="preserve"> </w:t>
      </w:r>
      <m:oMath>
        <m:r>
          <m:t>z</m:t>
        </m:r>
      </m:oMath>
      <w:r>
        <w:t xml:space="preserve"> </w:t>
      </w:r>
      <w:r>
        <w:t xml:space="preserve">son la velocidad del fluido, la presión a lo largo de la línea de corriente y la altura en la dirección de la gravedad.</w:t>
      </w:r>
      <w:r>
        <w:t xml:space="preserve"> </w:t>
      </w:r>
      <m:oMath>
        <m:sSub>
          <m:e>
            <m:r>
              <m:t>h</m:t>
            </m:r>
          </m:e>
          <m:sub>
            <m:r>
              <m:t>f</m:t>
            </m:r>
          </m:sub>
        </m:sSub>
      </m:oMath>
      <w:r>
        <w:t xml:space="preserve"> </w:t>
      </w:r>
      <w:r>
        <w:t xml:space="preserve">es la</w:t>
      </w:r>
      <w:r>
        <w:t xml:space="preserve"> </w:t>
      </w:r>
      <w:r>
        <w:rPr>
          <w:iCs/>
          <w:i/>
        </w:rPr>
        <w:t xml:space="preserve">pérdida de carga</w:t>
      </w:r>
      <w:r>
        <w:t xml:space="preserve"> </w:t>
      </w:r>
      <w:r>
        <w:t xml:space="preserve">y representa la pérdida de energía debida a la viscosidad del fluido. De forma general, independientemente del tipo de régimen en el que se mueve el fluido, la</w:t>
      </w:r>
      <w:r>
        <w:t xml:space="preserve"> </w:t>
      </w:r>
      <w:r>
        <w:t xml:space="preserve">pérdida de carga hidráulica viene dada por la ecuación de Darcy-Weisbach:</w:t>
      </w:r>
    </w:p>
    <w:p>
      <w:pPr>
        <w:pStyle w:val="BodyText"/>
      </w:pPr>
      <m:oMathPara>
        <m:oMathParaPr>
          <m:jc m:val="center"/>
        </m:oMathParaPr>
        <m:oMath>
          <m:sSub>
            <m:e>
              <m:r>
                <m:t>h</m:t>
              </m:r>
            </m:e>
            <m:sub>
              <m:r>
                <m:t>f</m:t>
              </m:r>
            </m:sub>
          </m:sSub>
          <m:r>
            <m:rPr>
              <m:sty m:val="p"/>
            </m:rPr>
            <m:t>=</m:t>
          </m:r>
          <m:r>
            <m:t>f</m:t>
          </m:r>
          <m:r>
            <m:t> </m:t>
          </m:r>
          <m:f>
            <m:fPr>
              <m:type m:val="bar"/>
            </m:fPr>
            <m:num>
              <m:r>
                <m:t>L</m:t>
              </m:r>
              <m:sSup>
                <m:e>
                  <m:r>
                    <m:t>u</m:t>
                  </m:r>
                </m:e>
                <m:sup>
                  <m:r>
                    <m:t>2</m:t>
                  </m:r>
                </m:sup>
              </m:sSup>
            </m:num>
            <m:den>
              <m:r>
                <m:t>2</m:t>
              </m:r>
              <m:r>
                <m:t>g</m:t>
              </m:r>
              <m:r>
                <m:t>D</m:t>
              </m:r>
            </m:den>
          </m:f>
          <m:r>
            <m:rPr>
              <m:sty m:val="p"/>
            </m:rPr>
            <m:t>,</m:t>
          </m:r>
          <m:r>
            <m:t> </m:t>
          </m:r>
          <m:r>
            <m:rPr>
              <m:nor/>
              <m:sty m:val="p"/>
            </m:rPr>
            <m:t>(2.4)</m:t>
          </m:r>
        </m:oMath>
      </m:oMathPara>
    </w:p>
    <w:p>
      <w:pPr>
        <w:pStyle w:val="FirstParagraph"/>
      </w:pPr>
      <w:r>
        <w:t xml:space="preserve">donde</w:t>
      </w:r>
      <w:r>
        <w:t xml:space="preserve"> </w:t>
      </w:r>
      <m:oMath>
        <m:r>
          <m:t>L</m:t>
        </m:r>
      </m:oMath>
      <w:r>
        <w:t xml:space="preserve"> </w:t>
      </w:r>
      <w:r>
        <w:t xml:space="preserve">es la longitud de la tubería,</w:t>
      </w:r>
      <w:r>
        <w:t xml:space="preserve"> </w:t>
      </w:r>
      <m:oMath>
        <m:r>
          <m:t>D</m:t>
        </m:r>
      </m:oMath>
      <w:r>
        <w:t xml:space="preserve"> </w:t>
      </w:r>
      <w:r>
        <w:t xml:space="preserve">su diámetro y</w:t>
      </w:r>
      <w:r>
        <w:t xml:space="preserve"> </w:t>
      </w:r>
      <m:oMath>
        <m:r>
          <m:t>f</m:t>
        </m:r>
      </m:oMath>
      <w:r>
        <w:t xml:space="preserve"> </w:t>
      </w:r>
      <w:r>
        <w:t xml:space="preserve">es el factor de fricción de Darcy.</w:t>
      </w:r>
    </w:p>
    <w:p>
      <w:pPr>
        <w:pStyle w:val="BodyText"/>
      </w:pPr>
      <w:r>
        <w:t xml:space="preserve">Conocida la forma funcional de</w:t>
      </w:r>
      <w:r>
        <w:t xml:space="preserve"> </w:t>
      </w:r>
      <m:oMath>
        <m:r>
          <m:t>f</m:t>
        </m:r>
      </m:oMath>
      <w:r>
        <w:t xml:space="preserve"> </w:t>
      </w:r>
      <w:r>
        <w:t xml:space="preserve">es posible conocer la pérdida de energía del flujo en cualquier tubería de sección circular, independientemente de que ésta sea lisa o rugosa y el régimen sea laminar o turbulento. Por ello el conocer la expresión del factor de fricción ha sido y es un reto importante dentro de la ingeniería. Se han desarrollado al respecto numerosas ecuaciones, algunas analíticas y la mayoría empíricas.</w:t>
      </w:r>
    </w:p>
    <w:p>
      <w:pPr>
        <w:pStyle w:val="BodyText"/>
      </w:pPr>
      <w:r>
        <w:t xml:space="preserve">En régimen laminar se cumple la ley de Hagen-Pouseuille, que relaciona la caída de presiones</w:t>
      </w:r>
      <w:r>
        <w:t xml:space="preserve"> </w:t>
      </w:r>
      <m:oMath>
        <m:r>
          <m:t>Δ</m:t>
        </m:r>
        <m:r>
          <m:t>p</m:t>
        </m:r>
      </m:oMath>
      <w:r>
        <w:t xml:space="preserve"> </w:t>
      </w:r>
      <w:r>
        <w:t xml:space="preserve">con el caudal</w:t>
      </w:r>
      <w:r>
        <w:t xml:space="preserve"> </w:t>
      </w:r>
      <m:oMath>
        <m:r>
          <m:t>Q</m:t>
        </m:r>
      </m:oMath>
      <w:r>
        <w:t xml:space="preserve"> </w:t>
      </w:r>
      <w:r>
        <w:t xml:space="preserve">y parámetos característicos de la tubería y el fluido. Viene dada por:</w:t>
      </w:r>
    </w:p>
    <w:p>
      <w:pPr>
        <w:pStyle w:val="BodyText"/>
      </w:pPr>
      <m:oMathPara>
        <m:oMathParaPr>
          <m:jc m:val="center"/>
        </m:oMathParaPr>
        <m:oMath>
          <m:r>
            <m:t>Δ</m:t>
          </m:r>
          <m:r>
            <m:t>p</m:t>
          </m:r>
          <m:r>
            <m:rPr>
              <m:sty m:val="p"/>
            </m:rPr>
            <m:t>=</m:t>
          </m:r>
          <m:f>
            <m:fPr>
              <m:type m:val="bar"/>
            </m:fPr>
            <m:num>
              <m:r>
                <m:t>8</m:t>
              </m:r>
              <m:r>
                <m:t>μ</m:t>
              </m:r>
              <m:r>
                <m:t>L</m:t>
              </m:r>
              <m:r>
                <m:t>Q</m:t>
              </m:r>
            </m:num>
            <m:den>
              <m:r>
                <m:t>π</m:t>
              </m:r>
              <m:sSup>
                <m:e>
                  <m:r>
                    <m:t>R</m:t>
                  </m:r>
                </m:e>
                <m:sup>
                  <m:r>
                    <m:t>4</m:t>
                  </m:r>
                </m:sup>
              </m:sSup>
            </m:den>
          </m:f>
          <m:r>
            <m:rPr>
              <m:sty m:val="p"/>
            </m:rPr>
            <m:t>,</m:t>
          </m:r>
          <m:r>
            <m:t> </m:t>
          </m:r>
          <m:r>
            <m:rPr>
              <m:nor/>
              <m:sty m:val="p"/>
            </m:rPr>
            <m:t>(2.5)</m:t>
          </m:r>
        </m:oMath>
      </m:oMathPara>
    </w:p>
    <w:p>
      <w:pPr>
        <w:pStyle w:val="FirstParagraph"/>
      </w:pPr>
      <w:r>
        <w:t xml:space="preserve">donde</w:t>
      </w:r>
      <w:r>
        <w:t xml:space="preserve"> </w:t>
      </w:r>
      <m:oMath>
        <m:r>
          <m:t>R</m:t>
        </m:r>
      </m:oMath>
      <w:r>
        <w:t xml:space="preserve"> </w:t>
      </w:r>
      <w:r>
        <w:t xml:space="preserve">es el radio de la tubería.</w:t>
      </w:r>
    </w:p>
    <w:p>
      <w:pPr>
        <w:pStyle w:val="BodyText"/>
      </w:pPr>
      <w:r>
        <w:t xml:space="preserve">A partir de la ecuación anterior es sencillo obtener la expresión del factor de fricción de Darcy en régimen laminar, que resulta ser:</w:t>
      </w:r>
    </w:p>
    <w:p>
      <w:pPr>
        <w:pStyle w:val="BodyText"/>
      </w:pPr>
      <m:oMathPara>
        <m:oMathParaPr>
          <m:jc m:val="center"/>
        </m:oMathParaPr>
        <m:oMath>
          <m:r>
            <m:t>f</m:t>
          </m:r>
          <m:r>
            <m:rPr>
              <m:sty m:val="p"/>
            </m:rPr>
            <m:t>=</m:t>
          </m:r>
          <m:f>
            <m:fPr>
              <m:type m:val="bar"/>
            </m:fPr>
            <m:num>
              <m:r>
                <m:t>64</m:t>
              </m:r>
            </m:num>
            <m:den>
              <m:r>
                <m:t>R</m:t>
              </m:r>
              <m:r>
                <m:t>e</m:t>
              </m:r>
            </m:den>
          </m:f>
          <m:r>
            <m:rPr>
              <m:sty m:val="p"/>
            </m:rPr>
            <m:t>.</m:t>
          </m:r>
          <m:r>
            <m:t> </m:t>
          </m:r>
          <m:r>
            <m:rPr>
              <m:nor/>
              <m:sty m:val="p"/>
            </m:rPr>
            <m:t>(2.6)</m:t>
          </m:r>
        </m:oMath>
      </m:oMathPara>
    </w:p>
    <w:p>
      <w:pPr>
        <w:pStyle w:val="FirstParagraph"/>
      </w:pPr>
      <w:r>
        <w:t xml:space="preserve">Dentro del régimen turbulento liso, concretamente para valores</w:t>
      </w:r>
      <w:r>
        <w:t xml:space="preserve"> </w:t>
      </w:r>
      <m:oMath>
        <m:r>
          <m:t>4000</m:t>
        </m:r>
        <m:r>
          <m:rPr>
            <m:sty m:val="p"/>
          </m:rPr>
          <m:t>&lt;</m:t>
        </m:r>
      </m:oMath>
      <w:r>
        <w:t xml:space="preserve"> </w:t>
      </w:r>
      <w:r>
        <w:t xml:space="preserve">Re</w:t>
      </w:r>
      <w:r>
        <w:t xml:space="preserve"> </w:t>
      </w:r>
      <m:oMath>
        <m:r>
          <m:rPr>
            <m:sty m:val="p"/>
          </m:rPr>
          <m:t>&lt;</m:t>
        </m:r>
        <m:sSup>
          <m:e>
            <m:r>
              <m:t>10</m:t>
            </m:r>
          </m:e>
          <m:sup>
            <m:r>
              <m:t>5</m:t>
            </m:r>
          </m:sup>
        </m:sSup>
      </m:oMath>
      <w:r>
        <w:t xml:space="preserve">, se cumple la celebrada ecuación de Blasius:</w:t>
      </w:r>
    </w:p>
    <w:p>
      <w:pPr>
        <w:pStyle w:val="BodyText"/>
      </w:pPr>
      <m:oMathPara>
        <m:oMathParaPr>
          <m:jc m:val="center"/>
        </m:oMathParaPr>
        <m:oMath>
          <m:r>
            <m:t>f</m:t>
          </m:r>
          <m:r>
            <m:rPr>
              <m:sty m:val="p"/>
            </m:rPr>
            <m:t>=</m:t>
          </m:r>
          <m:f>
            <m:fPr>
              <m:type m:val="bar"/>
            </m:fPr>
            <m:num>
              <m:r>
                <m:t>0.316</m:t>
              </m:r>
            </m:num>
            <m:den>
              <m:rad>
                <m:deg>
                  <m:r>
                    <m:t>4</m:t>
                  </m:r>
                </m:deg>
                <m:e>
                  <m:r>
                    <m:t>R</m:t>
                  </m:r>
                  <m:r>
                    <m:t>e</m:t>
                  </m:r>
                </m:e>
              </m:rad>
            </m:den>
          </m:f>
          <m:r>
            <m:rPr>
              <m:sty m:val="p"/>
            </m:rPr>
            <m:t>.</m:t>
          </m:r>
          <m:r>
            <m:t> </m:t>
          </m:r>
          <m:r>
            <m:rPr>
              <m:nor/>
              <m:sty m:val="p"/>
            </m:rPr>
            <m:t>(2.7)</m:t>
          </m:r>
        </m:oMath>
      </m:oMathPara>
    </w:p>
    <w:bookmarkEnd w:id="21"/>
    <w:bookmarkStart w:id="22" w:name="montaje-experimental"/>
    <w:p>
      <w:pPr>
        <w:pStyle w:val="Heading2"/>
      </w:pPr>
      <w:r>
        <w:t xml:space="preserve">Montaje experimental</w:t>
      </w:r>
    </w:p>
    <w:p>
      <w:pPr>
        <w:pStyle w:val="FirstParagraph"/>
      </w:pPr>
      <w:r>
        <w:t xml:space="preserve">El montaje experimental consiste en un depósito de agua a cuya salida se conectará una tubería de sección constante. La tubería posee una serie de capilares conectados de modo que podrá medir las diferentes alturas de las columnas de agua y calcular la pérdida de carga.</w:t>
      </w:r>
    </w:p>
    <w:bookmarkEnd w:id="22"/>
    <w:bookmarkStart w:id="23" w:name="resultados"/>
    <w:p>
      <w:pPr>
        <w:pStyle w:val="Heading2"/>
      </w:pPr>
      <w:r>
        <w:t xml:space="preserve">Resultados</w:t>
      </w:r>
    </w:p>
    <w:p>
      <w:pPr>
        <w:numPr>
          <w:ilvl w:val="0"/>
          <w:numId w:val="1001"/>
        </w:numPr>
      </w:pPr>
      <w:r>
        <w:t xml:space="preserve">Medir el diámetro interior</w:t>
      </w:r>
      <w:r>
        <w:t xml:space="preserve"> </w:t>
      </w:r>
      <m:oMath>
        <m:r>
          <m:t>D</m:t>
        </m:r>
      </m:oMath>
      <w:r>
        <w:t xml:space="preserve"> </w:t>
      </w:r>
      <w:r>
        <w:t xml:space="preserve">de la tubería, así como la distancia entre el primer y el último capilar,</w:t>
      </w:r>
      <w:r>
        <w:t xml:space="preserve"> </w:t>
      </w:r>
      <m:oMath>
        <m:r>
          <m:t>L</m:t>
        </m:r>
      </m:oMath>
      <w:r>
        <w:t xml:space="preserve">.</w:t>
      </w:r>
    </w:p>
    <w:p>
      <w:pPr>
        <w:pStyle w:val="BodyText"/>
      </w:pPr>
      <m:oMathPara>
        <m:oMathParaPr>
          <m:jc m:val="center"/>
        </m:oMathParaPr>
        <m:oMath>
          <m:r>
            <m:t>D</m:t>
          </m:r>
          <m:d>
            <m:dPr>
              <m:begChr m:val="("/>
              <m:endChr m:val=")"/>
              <m:sepChr m:val=""/>
              <m:grow/>
            </m:dPr>
            <m:e>
              <m:r>
                <m:rPr>
                  <m:sty m:val="p"/>
                </m:rPr>
                <m:t>±</m:t>
              </m:r>
              <m:sSub>
                <m:e>
                  <m:r>
                    <m:t>ϵ</m:t>
                  </m:r>
                </m:e>
                <m:sub>
                  <m:r>
                    <m:t>D</m:t>
                  </m:r>
                </m:sub>
              </m:sSub>
            </m:e>
          </m:d>
          <m:r>
            <m:rPr>
              <m:sty m:val="p"/>
            </m:rPr>
            <m:t>=</m:t>
          </m:r>
          <m:r>
            <m:rPr>
              <m:nor/>
              <m:sty m:val="p"/>
            </m:rPr>
            <m:t>                    </m:t>
          </m:r>
          <m:r>
            <m:t>L</m:t>
          </m:r>
          <m:d>
            <m:dPr>
              <m:begChr m:val="("/>
              <m:endChr m:val=")"/>
              <m:sepChr m:val=""/>
              <m:grow/>
            </m:dPr>
            <m:e>
              <m:r>
                <m:rPr>
                  <m:sty m:val="p"/>
                </m:rPr>
                <m:t>±</m:t>
              </m:r>
              <m:sSub>
                <m:e>
                  <m:r>
                    <m:t>ϵ</m:t>
                  </m:r>
                </m:e>
                <m:sub>
                  <m:r>
                    <m:t>L</m:t>
                  </m:r>
                </m:sub>
              </m:sSub>
            </m:e>
          </m:d>
          <m:r>
            <m:rPr>
              <m:sty m:val="p"/>
            </m:rPr>
            <m:t>=</m:t>
          </m:r>
          <m:r>
            <m:rPr>
              <m:nor/>
              <m:sty m:val="p"/>
            </m:rPr>
            <m:t>                   </m:t>
          </m:r>
        </m:oMath>
      </m:oMathPara>
    </w:p>
    <w:p>
      <w:pPr>
        <w:numPr>
          <w:ilvl w:val="0"/>
          <w:numId w:val="1001"/>
        </w:numPr>
      </w:pPr>
      <w:r>
        <w:t xml:space="preserve">Para 11 alturas</w:t>
      </w:r>
      <w:r>
        <w:t xml:space="preserve"> </w:t>
      </w:r>
      <m:oMath>
        <m:sSub>
          <m:e>
            <m:r>
              <m:t>H</m:t>
            </m:r>
          </m:e>
          <m:sub>
            <m:r>
              <m:t>i</m:t>
            </m:r>
          </m:sub>
        </m:sSub>
      </m:oMath>
      <w:r>
        <w:t xml:space="preserve"> </w:t>
      </w:r>
      <w:r>
        <w:t xml:space="preserve">diferentes del depósito medir la altura de la primera (</w:t>
      </w:r>
      <m:oMath>
        <m:sSub>
          <m:e>
            <m:r>
              <m:t>h</m:t>
            </m:r>
          </m:e>
          <m:sub>
            <m:r>
              <m:t>1</m:t>
            </m:r>
          </m:sub>
        </m:sSub>
      </m:oMath>
      <w:r>
        <w:t xml:space="preserve">) y la última columna (</w:t>
      </w:r>
      <m:oMath>
        <m:sSub>
          <m:e>
            <m:r>
              <m:t>h</m:t>
            </m:r>
          </m:e>
          <m:sub>
            <m:r>
              <m:t>2</m:t>
            </m:r>
          </m:sub>
        </m:sSub>
      </m:oMath>
      <w:r>
        <w:t xml:space="preserve">) y obtener la pérdida de carga (</w:t>
      </w:r>
      <m:oMath>
        <m:sSub>
          <m:e>
            <m:r>
              <m:t>h</m:t>
            </m:r>
          </m:e>
          <m:sub>
            <m:r>
              <m:t>f</m:t>
            </m:r>
          </m:sub>
        </m:sSub>
        <m:r>
          <m:rPr>
            <m:sty m:val="p"/>
          </m:rPr>
          <m:t>=</m:t>
        </m:r>
        <m:sSub>
          <m:e>
            <m:r>
              <m:t>h</m:t>
            </m:r>
          </m:e>
          <m:sub>
            <m:r>
              <m:t>1</m:t>
            </m:r>
          </m:sub>
        </m:sSub>
        <m:r>
          <m:rPr>
            <m:sty m:val="p"/>
          </m:rPr>
          <m:t>−</m:t>
        </m:r>
        <m:sSub>
          <m:e>
            <m:r>
              <m:t>h</m:t>
            </m:r>
          </m:e>
          <m:sub>
            <m:r>
              <m:t>2</m:t>
            </m:r>
          </m:sub>
        </m:sSub>
      </m:oMath>
      <w:r>
        <w:t xml:space="preserve">). Para ello se debe manejar con extremado cuidado el grifo que alimenta el depósito de modo que tanto el caudal que circula por la tubería como el nivel de agua en los capilares permanezca estable. A la vez obtener el caudal volumétrico</w:t>
      </w:r>
      <w:r>
        <w:t xml:space="preserve"> </w:t>
      </w:r>
      <m:oMath>
        <m:r>
          <m:t>Q</m:t>
        </m:r>
      </m:oMath>
      <w:r>
        <w:t xml:space="preserve"> </w:t>
      </w:r>
      <w:r>
        <w:t xml:space="preserve">con la ayuda de un cronómetro y un vaso de precipitados.</w:t>
      </w:r>
    </w:p>
    <w:tbl>
      <w:tblPr>
        <w:tblStyle w:val="Table"/>
        <w:tblW w:type="auto" w:w="0"/>
        <w:tblLook w:firstRow="1" w:lastRow="0" w:firstColumn="0" w:lastColumn="0" w:noHBand="0" w:noVBand="0" w:val="0020"/>
        <w:jc w:val="start"/>
        <w:tblInd w:w="720" w:type="dxa"/>
        <w:tblLayout w:type="fixed"/>
      </w:tblPr>
      <w:tblGrid>
        <w:gridCol w:w="819"/>
        <w:gridCol w:w="1659"/>
        <w:gridCol w:w="1659"/>
        <w:gridCol w:w="1659"/>
        <w:gridCol w:w="1185"/>
        <w:gridCol w:w="1185"/>
        <w:gridCol w:w="1184"/>
      </w:tblGrid>
      <w:tr>
        <w:trPr>
          <w:tblHeader w:val="true"/>
        </w:trPr>
        <w:tc>
          <w:tcPr/>
          <w:p>
            <w:pPr>
              <w:pStyle w:val="Compact"/>
            </w:pPr>
          </w:p>
        </w:tc>
        <w:tc>
          <w:tcPr/>
          <w:p>
            <w:pPr>
              <w:pStyle w:val="Compact"/>
              <w:jc w:val="left"/>
            </w:pPr>
            <m:oMath>
              <m:sSub>
                <m:e>
                  <m:r>
                    <m:t>h</m:t>
                  </m:r>
                </m:e>
                <m:sub>
                  <m:r>
                    <m:t>1</m:t>
                  </m:r>
                </m:sub>
              </m:sSub>
              <m:d>
                <m:dPr>
                  <m:begChr m:val="("/>
                  <m:endChr m:val=")"/>
                  <m:sepChr m:val=""/>
                  <m:grow/>
                </m:dPr>
                <m:e>
                  <m:r>
                    <m:rPr>
                      <m:sty m:val="p"/>
                    </m:rPr>
                    <m:t>±</m:t>
                  </m:r>
                  <m:sSub>
                    <m:e>
                      <m:r>
                        <m:t>ϵ</m:t>
                      </m:r>
                    </m:e>
                    <m:sub>
                      <m:sSub>
                        <m:e>
                          <m:r>
                            <m:t>h</m:t>
                          </m:r>
                        </m:e>
                        <m:sub>
                          <m:r>
                            <m:t>1</m:t>
                          </m:r>
                        </m:sub>
                      </m:sSub>
                    </m:sub>
                  </m:sSub>
                </m:e>
              </m:d>
            </m:oMath>
          </w:p>
        </w:tc>
        <w:tc>
          <w:tcPr/>
          <w:p>
            <w:pPr>
              <w:pStyle w:val="Compact"/>
              <w:jc w:val="left"/>
            </w:pPr>
            <m:oMath>
              <m:sSub>
                <m:e>
                  <m:r>
                    <m:t>h</m:t>
                  </m:r>
                </m:e>
                <m:sub>
                  <m:r>
                    <m:t>2</m:t>
                  </m:r>
                </m:sub>
              </m:sSub>
              <m:d>
                <m:dPr>
                  <m:begChr m:val="("/>
                  <m:endChr m:val=")"/>
                  <m:sepChr m:val=""/>
                  <m:grow/>
                </m:dPr>
                <m:e>
                  <m:r>
                    <m:rPr>
                      <m:sty m:val="p"/>
                    </m:rPr>
                    <m:t>±</m:t>
                  </m:r>
                  <m:sSub>
                    <m:e>
                      <m:r>
                        <m:t>ϵ</m:t>
                      </m:r>
                    </m:e>
                    <m:sub>
                      <m:sSub>
                        <m:e>
                          <m:r>
                            <m:t>h</m:t>
                          </m:r>
                        </m:e>
                        <m:sub>
                          <m:r>
                            <m:t>2</m:t>
                          </m:r>
                        </m:sub>
                      </m:sSub>
                    </m:sub>
                  </m:sSub>
                </m:e>
              </m:d>
            </m:oMath>
          </w:p>
        </w:tc>
        <w:tc>
          <w:tcPr/>
          <w:p>
            <w:pPr>
              <w:pStyle w:val="Compact"/>
              <w:jc w:val="left"/>
            </w:pPr>
            <m:oMath>
              <m:sSub>
                <m:e>
                  <m:r>
                    <m:t>h</m:t>
                  </m:r>
                </m:e>
                <m:sub>
                  <m:r>
                    <m:t>f</m:t>
                  </m:r>
                </m:sub>
              </m:sSub>
              <m:d>
                <m:dPr>
                  <m:begChr m:val="("/>
                  <m:endChr m:val=")"/>
                  <m:sepChr m:val=""/>
                  <m:grow/>
                </m:dPr>
                <m:e>
                  <m:r>
                    <m:rPr>
                      <m:sty m:val="p"/>
                    </m:rPr>
                    <m:t>±</m:t>
                  </m:r>
                  <m:sSub>
                    <m:e>
                      <m:r>
                        <m:t>ϵ</m:t>
                      </m:r>
                    </m:e>
                    <m:sub>
                      <m:sSub>
                        <m:e>
                          <m:r>
                            <m:t>h</m:t>
                          </m:r>
                        </m:e>
                        <m:sub>
                          <m:r>
                            <m:t>f</m:t>
                          </m:r>
                        </m:sub>
                      </m:sSub>
                    </m:sub>
                  </m:sSub>
                </m:e>
              </m:d>
            </m:oMath>
          </w:p>
        </w:tc>
        <w:tc>
          <w:tcPr/>
          <w:p>
            <w:pPr>
              <w:pStyle w:val="Compact"/>
              <w:jc w:val="left"/>
            </w:pPr>
            <m:oMath>
              <m:r>
                <m:t>V</m:t>
              </m:r>
              <m:d>
                <m:dPr>
                  <m:begChr m:val="("/>
                  <m:endChr m:val=")"/>
                  <m:sepChr m:val=""/>
                  <m:grow/>
                </m:dPr>
                <m:e>
                  <m:r>
                    <m:rPr>
                      <m:sty m:val="p"/>
                    </m:rPr>
                    <m:t>±</m:t>
                  </m:r>
                  <m:sSub>
                    <m:e>
                      <m:r>
                        <m:t>ϵ</m:t>
                      </m:r>
                    </m:e>
                    <m:sub>
                      <m:r>
                        <m:t>V</m:t>
                      </m:r>
                    </m:sub>
                  </m:sSub>
                </m:e>
              </m:d>
            </m:oMath>
          </w:p>
        </w:tc>
        <w:tc>
          <w:tcPr/>
          <w:p>
            <w:pPr>
              <w:pStyle w:val="Compact"/>
              <w:jc w:val="left"/>
            </w:pPr>
            <m:oMath>
              <m:r>
                <m:t>t</m:t>
              </m:r>
              <m:d>
                <m:dPr>
                  <m:begChr m:val="("/>
                  <m:endChr m:val=")"/>
                  <m:sepChr m:val=""/>
                  <m:grow/>
                </m:dPr>
                <m:e>
                  <m:r>
                    <m:rPr>
                      <m:sty m:val="p"/>
                    </m:rPr>
                    <m:t>±</m:t>
                  </m:r>
                  <m:sSub>
                    <m:e>
                      <m:r>
                        <m:t>ϵ</m:t>
                      </m:r>
                    </m:e>
                    <m:sub>
                      <m:r>
                        <m:t>t</m:t>
                      </m:r>
                    </m:sub>
                  </m:sSub>
                </m:e>
              </m:d>
            </m:oMath>
          </w:p>
        </w:tc>
        <w:tc>
          <w:tcPr/>
          <w:p>
            <w:pPr>
              <w:pStyle w:val="Compact"/>
              <w:jc w:val="left"/>
            </w:pPr>
            <m:oMath>
              <m:r>
                <m:t>Q</m:t>
              </m:r>
              <m:d>
                <m:dPr>
                  <m:begChr m:val="("/>
                  <m:endChr m:val=")"/>
                  <m:sepChr m:val=""/>
                  <m:grow/>
                </m:dPr>
                <m:e>
                  <m:r>
                    <m:rPr>
                      <m:sty m:val="p"/>
                    </m:rPr>
                    <m:t>±</m:t>
                  </m:r>
                  <m:sSub>
                    <m:e>
                      <m:r>
                        <m:t>ϵ</m:t>
                      </m:r>
                    </m:e>
                    <m:sub>
                      <m:r>
                        <m:t>Q</m:t>
                      </m:r>
                    </m:sub>
                  </m:sSub>
                </m:e>
              </m:d>
            </m:oMath>
          </w:p>
        </w:tc>
      </w:tr>
      <w:tr>
        <w:tc>
          <w:tcPr/>
          <w:p>
            <w:pPr>
              <w:pStyle w:val="Compact"/>
              <w:jc w:val="left"/>
            </w:pPr>
            <m:oMath>
              <m:sSub>
                <m:e>
                  <m:r>
                    <m:t>H</m:t>
                  </m:r>
                </m:e>
                <m:sub>
                  <m:r>
                    <m:t>1</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H</m:t>
                  </m:r>
                </m:e>
                <m:sub>
                  <m:r>
                    <m:t>2</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sty m:val="p"/>
                </m:rPr>
                <m:t>⋮</m:t>
              </m:r>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H</m:t>
                  </m:r>
                </m:e>
                <m:sub>
                  <m:r>
                    <m:t>11</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0"/>
        </w:numPr>
      </w:pPr>
      <w:r>
        <w:t xml:space="preserve">Con los datos anteriores calcular la velocidad</w:t>
      </w:r>
      <w:r>
        <w:t xml:space="preserve"> </w:t>
      </w:r>
      <m:oMath>
        <m:r>
          <m:t>u</m:t>
        </m:r>
      </m:oMath>
      <w:r>
        <w:t xml:space="preserve"> </w:t>
      </w:r>
      <w:r>
        <w:t xml:space="preserve">del agua y el número de Reynolds (utilizar</w:t>
      </w:r>
      <w:r>
        <w:t xml:space="preserve"> </w:t>
      </w:r>
      <m:oMath>
        <m:r>
          <m:t>μ</m:t>
        </m:r>
        <m:d>
          <m:dPr>
            <m:begChr m:val="("/>
            <m:endChr m:val=")"/>
            <m:sepChr m:val=""/>
            <m:grow/>
          </m:dPr>
          <m:e>
            <m:r>
              <m:t>20</m:t>
            </m:r>
            <m:r>
              <m:t>º</m:t>
            </m:r>
            <m:r>
              <m:t>C</m:t>
            </m:r>
          </m:e>
        </m:d>
        <m:r>
          <m:rPr>
            <m:sty m:val="p"/>
          </m:rPr>
          <m:t>=</m:t>
        </m:r>
        <m:r>
          <m:t>0.00100</m:t>
        </m:r>
        <m:r>
          <m:rPr>
            <m:sty m:val="p"/>
          </m:rPr>
          <m:t>±</m:t>
        </m:r>
        <m:r>
          <m:t>0.00005</m:t>
        </m:r>
      </m:oMath>
      <w:r>
        <w:t xml:space="preserve"> </w:t>
      </w:r>
      <m:oMath>
        <m:r>
          <m:t>P</m:t>
        </m:r>
        <m:r>
          <m:t>a</m:t>
        </m:r>
        <m:r>
          <m:rPr>
            <m:sty m:val="p"/>
          </m:rPr>
          <m:t>⋅</m:t>
        </m:r>
        <m:r>
          <m:t>s</m:t>
        </m:r>
      </m:oMath>
      <w:r>
        <w:t xml:space="preserve">). Finalmente, utilizando la ecuación 2.4, calcular el factor de fricción de Darcy (utilizar</w:t>
      </w:r>
      <w:r>
        <w:t xml:space="preserve"> </w:t>
      </w:r>
      <m:oMath>
        <m:r>
          <m:t>g</m:t>
        </m:r>
        <m:r>
          <m:rPr>
            <m:sty m:val="p"/>
          </m:rPr>
          <m:t>=</m:t>
        </m:r>
        <m:r>
          <m:t>9.800</m:t>
        </m:r>
        <m:r>
          <m:rPr>
            <m:sty m:val="p"/>
          </m:rPr>
          <m:t>±</m:t>
        </m:r>
        <m:r>
          <m:t>0.001</m:t>
        </m:r>
      </m:oMath>
      <w:r>
        <w:t xml:space="preserve"> </w:t>
      </w:r>
      <m:oMath>
        <m:r>
          <m:t>m</m:t>
        </m:r>
        <m:r>
          <m:rPr>
            <m:sty m:val="p"/>
          </m:rPr>
          <m:t>/</m:t>
        </m:r>
        <m:sSup>
          <m:e>
            <m:r>
              <m:t>s</m:t>
            </m:r>
          </m:e>
          <m:sup>
            <m:r>
              <m:t>2</m:t>
            </m:r>
          </m:sup>
        </m:sSup>
      </m:oMath>
      <w:r>
        <w:t xml:space="preserve">).</w:t>
      </w:r>
    </w:p>
    <w:tbl>
      <w:tblPr>
        <w:tblStyle w:val="Table"/>
        <w:tblW w:type="auto" w:w="0"/>
        <w:tblLook w:firstRow="1" w:lastRow="0" w:firstColumn="0" w:lastColumn="0" w:noHBand="0" w:noVBand="0" w:val="0020"/>
        <w:jc w:val="start"/>
        <w:tblInd w:w="720" w:type="dxa"/>
        <w:tblLayout w:type="fixed"/>
      </w:tblPr>
      <w:tblGrid>
        <w:gridCol w:w="1039"/>
        <w:gridCol w:w="2597"/>
        <w:gridCol w:w="3117"/>
        <w:gridCol w:w="2597"/>
      </w:tblGrid>
      <w:tr>
        <w:trPr>
          <w:tblHeader w:val="true"/>
        </w:trPr>
        <w:tc>
          <w:tcPr/>
          <w:p>
            <w:pPr>
              <w:pStyle w:val="Compact"/>
            </w:pPr>
          </w:p>
        </w:tc>
        <w:tc>
          <w:tcPr/>
          <w:p>
            <w:pPr>
              <w:pStyle w:val="Compact"/>
              <w:jc w:val="left"/>
            </w:pPr>
            <m:oMath>
              <m:r>
                <m:t>u</m:t>
              </m:r>
              <m:d>
                <m:dPr>
                  <m:begChr m:val="("/>
                  <m:endChr m:val=")"/>
                  <m:sepChr m:val=""/>
                  <m:grow/>
                </m:dPr>
                <m:e>
                  <m:r>
                    <m:rPr>
                      <m:sty m:val="p"/>
                    </m:rPr>
                    <m:t>±</m:t>
                  </m:r>
                  <m:sSub>
                    <m:e>
                      <m:r>
                        <m:t>ϵ</m:t>
                      </m:r>
                    </m:e>
                    <m:sub>
                      <m:r>
                        <m:t>u</m:t>
                      </m:r>
                    </m:sub>
                  </m:sSub>
                </m:e>
              </m:d>
            </m:oMath>
          </w:p>
        </w:tc>
        <w:tc>
          <w:tcPr/>
          <w:p>
            <w:pPr>
              <w:pStyle w:val="Compact"/>
              <w:jc w:val="left"/>
            </w:pPr>
            <m:oMath>
              <m:r>
                <m:t>R</m:t>
              </m:r>
              <m:r>
                <m:t>e</m:t>
              </m:r>
              <m:d>
                <m:dPr>
                  <m:begChr m:val="("/>
                  <m:endChr m:val=")"/>
                  <m:sepChr m:val=""/>
                  <m:grow/>
                </m:dPr>
                <m:e>
                  <m:r>
                    <m:rPr>
                      <m:sty m:val="p"/>
                    </m:rPr>
                    <m:t>±</m:t>
                  </m:r>
                  <m:sSub>
                    <m:e>
                      <m:r>
                        <m:t>ϵ</m:t>
                      </m:r>
                    </m:e>
                    <m:sub>
                      <m:r>
                        <m:t>R</m:t>
                      </m:r>
                      <m:r>
                        <m:t>e</m:t>
                      </m:r>
                    </m:sub>
                  </m:sSub>
                </m:e>
              </m:d>
            </m:oMath>
          </w:p>
        </w:tc>
        <w:tc>
          <w:tcPr/>
          <w:p>
            <w:pPr>
              <w:pStyle w:val="Compact"/>
              <w:jc w:val="left"/>
            </w:pPr>
            <m:oMath>
              <m:r>
                <m:t>f</m:t>
              </m:r>
              <m:d>
                <m:dPr>
                  <m:begChr m:val="("/>
                  <m:endChr m:val=")"/>
                  <m:sepChr m:val=""/>
                  <m:grow/>
                </m:dPr>
                <m:e>
                  <m:r>
                    <m:rPr>
                      <m:sty m:val="p"/>
                    </m:rPr>
                    <m:t>±</m:t>
                  </m:r>
                  <m:sSub>
                    <m:e>
                      <m:r>
                        <m:t>ϵ</m:t>
                      </m:r>
                    </m:e>
                    <m:sub>
                      <m:r>
                        <m:t>f</m:t>
                      </m:r>
                    </m:sub>
                  </m:sSub>
                </m:e>
              </m:d>
            </m:oMath>
          </w:p>
        </w:tc>
      </w:tr>
      <w:tr>
        <w:tc>
          <w:tcPr/>
          <w:p>
            <w:pPr>
              <w:pStyle w:val="Compact"/>
              <w:jc w:val="left"/>
            </w:pPr>
            <m:oMath>
              <m:sSub>
                <m:e>
                  <m:r>
                    <m:t>H</m:t>
                  </m:r>
                </m:e>
                <m:sub>
                  <m:r>
                    <m:t>1</m:t>
                  </m:r>
                </m:sub>
              </m:sSub>
            </m:oMath>
          </w:p>
        </w:tc>
        <w:tc>
          <w:tcPr/>
          <w:p>
            <w:pPr>
              <w:pStyle w:val="Compact"/>
            </w:pPr>
          </w:p>
        </w:tc>
        <w:tc>
          <w:tcPr/>
          <w:p>
            <w:pPr>
              <w:pStyle w:val="Compact"/>
            </w:pPr>
          </w:p>
        </w:tc>
        <w:tc>
          <w:tcPr/>
          <w:p>
            <w:pPr>
              <w:pStyle w:val="Compact"/>
            </w:pPr>
          </w:p>
        </w:tc>
      </w:tr>
      <w:tr>
        <w:tc>
          <w:tcPr/>
          <w:p>
            <w:pPr>
              <w:pStyle w:val="Compact"/>
              <w:jc w:val="left"/>
            </w:pPr>
            <m:oMath>
              <m:sSub>
                <m:e>
                  <m:r>
                    <m:t>H</m:t>
                  </m:r>
                </m:e>
                <m:sub>
                  <m:r>
                    <m:t>2</m:t>
                  </m:r>
                </m:sub>
              </m:sSub>
            </m:oMath>
          </w:p>
        </w:tc>
        <w:tc>
          <w:tcPr/>
          <w:p>
            <w:pPr>
              <w:pStyle w:val="Compact"/>
            </w:pPr>
          </w:p>
        </w:tc>
        <w:tc>
          <w:tcPr/>
          <w:p>
            <w:pPr>
              <w:pStyle w:val="Compact"/>
            </w:pPr>
          </w:p>
        </w:tc>
        <w:tc>
          <w:tcPr/>
          <w:p>
            <w:pPr>
              <w:pStyle w:val="Compact"/>
            </w:pPr>
          </w:p>
        </w:tc>
      </w:tr>
      <w:tr>
        <w:tc>
          <w:tcPr/>
          <w:p>
            <w:pPr>
              <w:pStyle w:val="Compact"/>
              <w:jc w:val="left"/>
            </w:pPr>
            <m:oMath>
              <m:r>
                <m:rPr>
                  <m:sty m:val="p"/>
                </m:rPr>
                <m:t>⋮</m:t>
              </m:r>
            </m:oMath>
          </w:p>
        </w:tc>
        <w:tc>
          <w:tcPr/>
          <w:p>
            <w:pPr>
              <w:pStyle w:val="Compact"/>
            </w:pPr>
          </w:p>
        </w:tc>
        <w:tc>
          <w:tcPr/>
          <w:p>
            <w:pPr>
              <w:pStyle w:val="Compact"/>
            </w:pPr>
          </w:p>
        </w:tc>
        <w:tc>
          <w:tcPr/>
          <w:p>
            <w:pPr>
              <w:pStyle w:val="Compact"/>
            </w:pPr>
          </w:p>
        </w:tc>
      </w:tr>
      <w:tr>
        <w:tc>
          <w:tcPr/>
          <w:p>
            <w:pPr>
              <w:pStyle w:val="Compact"/>
              <w:jc w:val="left"/>
            </w:pPr>
            <m:oMath>
              <m:sSub>
                <m:e>
                  <m:r>
                    <m:t>H</m:t>
                  </m:r>
                </m:e>
                <m:sub>
                  <m:r>
                    <m:t>11</m:t>
                  </m:r>
                </m:sub>
              </m:sSub>
            </m:oMath>
          </w:p>
        </w:tc>
        <w:tc>
          <w:tcPr/>
          <w:p>
            <w:pPr>
              <w:pStyle w:val="Compact"/>
            </w:pPr>
          </w:p>
        </w:tc>
        <w:tc>
          <w:tcPr/>
          <w:p>
            <w:pPr>
              <w:pStyle w:val="Compact"/>
            </w:pPr>
          </w:p>
        </w:tc>
        <w:tc>
          <w:tcPr/>
          <w:p>
            <w:pPr>
              <w:pStyle w:val="Compact"/>
            </w:pPr>
          </w:p>
        </w:tc>
      </w:tr>
    </w:tbl>
    <w:p>
      <w:pPr>
        <w:numPr>
          <w:ilvl w:val="0"/>
          <w:numId w:val="1001"/>
        </w:numPr>
      </w:pPr>
      <w:r>
        <w:t xml:space="preserve">Representar gráficamente</w:t>
      </w:r>
      <w:r>
        <w:t xml:space="preserve"> </w:t>
      </w:r>
      <m:oMath>
        <m:r>
          <m:t>f</m:t>
        </m:r>
      </m:oMath>
      <w:r>
        <w:t xml:space="preserve"> </w:t>
      </w:r>
      <w:r>
        <w:t xml:space="preserve">en función de</w:t>
      </w:r>
      <w:r>
        <w:t xml:space="preserve"> </w:t>
      </w:r>
      <m:oMath>
        <m:r>
          <m:t>R</m:t>
        </m:r>
        <m:r>
          <m:t>e</m:t>
        </m:r>
      </m:oMath>
      <w:r>
        <w:t xml:space="preserve">. En la misma figura reprensentar también las ecuaciones 2.6 y 2.7.</w:t>
      </w:r>
    </w:p>
    <w:p>
      <w:pPr>
        <w:numPr>
          <w:ilvl w:val="0"/>
          <w:numId w:val="1001"/>
        </w:numPr>
      </w:pPr>
      <w:r>
        <w:t xml:space="preserve">Representar gráficamente</w:t>
      </w:r>
      <w:r>
        <w:t xml:space="preserve"> </w:t>
      </w:r>
      <m:oMath>
        <m:r>
          <m:rPr>
            <m:sty m:val="p"/>
          </m:rPr>
          <m:t>ln</m:t>
        </m:r>
        <m:r>
          <m:t>f</m:t>
        </m:r>
      </m:oMath>
      <w:r>
        <w:t xml:space="preserve"> </w:t>
      </w:r>
      <w:r>
        <w:t xml:space="preserve">en función de</w:t>
      </w:r>
      <w:r>
        <w:t xml:space="preserve"> </w:t>
      </w:r>
      <m:oMath>
        <m:r>
          <m:rPr>
            <m:sty m:val="p"/>
          </m:rPr>
          <m:t>ln</m:t>
        </m:r>
        <m:r>
          <m:t>R</m:t>
        </m:r>
        <m:r>
          <m:t>e</m:t>
        </m:r>
      </m:oMath>
      <w:r>
        <w:t xml:space="preserve"> </w:t>
      </w:r>
      <w:r>
        <w:t xml:space="preserve">y realizar un ajuste lineal, obteniendo el coeficiente de correlación lineal</w:t>
      </w:r>
      <w:r>
        <w:t xml:space="preserve"> </w:t>
      </w:r>
      <m:oMath>
        <m:r>
          <m:t>r</m:t>
        </m:r>
      </m:oMath>
      <w:r>
        <w:t xml:space="preserve">, la pendiente</w:t>
      </w:r>
      <w:r>
        <w:t xml:space="preserve"> </w:t>
      </w:r>
      <m:oMath>
        <m:r>
          <m:t>a</m:t>
        </m:r>
      </m:oMath>
      <w:r>
        <w:t xml:space="preserve">, y la ordenada en el origen</w:t>
      </w:r>
      <w:r>
        <w:t xml:space="preserve"> </w:t>
      </w:r>
      <m:oMath>
        <m:r>
          <m:t>b</m:t>
        </m:r>
      </m:oMath>
      <w:r>
        <w:t xml:space="preserve">.</w:t>
      </w:r>
    </w:p>
    <w:p>
      <w:pPr>
        <w:pStyle w:val="BodyText"/>
      </w:pPr>
      <m:oMathPara>
        <m:oMathParaPr>
          <m:jc m:val="center"/>
        </m:oMathParaPr>
        <m:oMath>
          <m:r>
            <m:t>r</m:t>
          </m:r>
          <m:r>
            <m:rPr>
              <m:sty m:val="p"/>
            </m:rPr>
            <m:t>=</m:t>
          </m:r>
          <m:r>
            <m:rPr>
              <m:nor/>
              <m:sty m:val="p"/>
            </m:rPr>
            <m:t>                  </m:t>
          </m:r>
          <m:r>
            <m:t>a</m:t>
          </m:r>
          <m:d>
            <m:dPr>
              <m:begChr m:val="("/>
              <m:endChr m:val=")"/>
              <m:sepChr m:val=""/>
              <m:grow/>
            </m:dPr>
            <m:e>
              <m:r>
                <m:rPr>
                  <m:sty m:val="p"/>
                </m:rPr>
                <m:t>±</m:t>
              </m:r>
              <m:sSub>
                <m:e>
                  <m:r>
                    <m:t>ϵ</m:t>
                  </m:r>
                </m:e>
                <m:sub>
                  <m:r>
                    <m:t>a</m:t>
                  </m:r>
                </m:sub>
              </m:sSub>
            </m:e>
          </m:d>
          <m:r>
            <m:rPr>
              <m:sty m:val="p"/>
            </m:rPr>
            <m:t>=</m:t>
          </m:r>
          <m:r>
            <m:rPr>
              <m:nor/>
              <m:sty m:val="p"/>
            </m:rPr>
            <m:t>                    </m:t>
          </m:r>
          <m:r>
            <m:t>b</m:t>
          </m:r>
          <m:d>
            <m:dPr>
              <m:begChr m:val="("/>
              <m:endChr m:val=")"/>
              <m:sepChr m:val=""/>
              <m:grow/>
            </m:dPr>
            <m:e>
              <m:r>
                <m:rPr>
                  <m:sty m:val="p"/>
                </m:rPr>
                <m:t>±</m:t>
              </m:r>
              <m:sSub>
                <m:e>
                  <m:r>
                    <m:t>ϵ</m:t>
                  </m:r>
                </m:e>
                <m:sub>
                  <m:r>
                    <m:t>b</m:t>
                  </m:r>
                </m:sub>
              </m:sSub>
            </m:e>
          </m:d>
          <m:r>
            <m:rPr>
              <m:sty m:val="p"/>
            </m:rPr>
            <m:t>=</m:t>
          </m:r>
          <m:r>
            <m:rPr>
              <m:nor/>
              <m:sty m:val="p"/>
            </m:rPr>
            <m:t>                   </m:t>
          </m:r>
        </m:oMath>
      </m:oMathPara>
    </w:p>
    <w:bookmarkEnd w:id="23"/>
    <w:bookmarkStart w:id="24" w:name="discusión"/>
    <w:p>
      <w:pPr>
        <w:pStyle w:val="Heading2"/>
      </w:pPr>
      <w:r>
        <w:t xml:space="preserve">Discusión</w:t>
      </w:r>
    </w:p>
    <w:p>
      <w:pPr>
        <w:pStyle w:val="FirstParagraph"/>
      </w:pPr>
      <w:r>
        <w:t xml:space="preserve">La discusión del experimento es libre, si bien es necesario aclarar al menos los siguientes aspectos:</w:t>
      </w:r>
    </w:p>
    <w:p>
      <w:pPr>
        <w:numPr>
          <w:ilvl w:val="0"/>
          <w:numId w:val="1002"/>
        </w:numPr>
      </w:pPr>
      <w:r>
        <w:t xml:space="preserve">Discutir de forma cuantitativa las principales fuentes de error que afectan al cálculo del factor de fricción de Darcy. Si es viable experimentalmente, indicar de qué manera se podría reducir el error.</w:t>
      </w:r>
    </w:p>
    <w:p>
      <w:pPr>
        <w:numPr>
          <w:ilvl w:val="0"/>
          <w:numId w:val="1002"/>
        </w:numPr>
      </w:pPr>
      <w:r>
        <w:t xml:space="preserve">Discutir si los resultados obtenidos se ajustan mejor a la ley de Hagen-Poiseuille 2.6 o a la ecuación de Blasius 2.7. A la vista del tipo de régimen en el que se movía el fluido, ¿es lógico el resultado?.</w:t>
      </w:r>
    </w:p>
    <w:bookmarkEnd w:id="24"/>
    <w:bookmarkStart w:id="25" w:name="cuestiones"/>
    <w:p>
      <w:pPr>
        <w:pStyle w:val="Heading2"/>
      </w:pPr>
      <w:r>
        <w:t xml:space="preserve">Cuestiones</w:t>
      </w:r>
    </w:p>
    <w:p>
      <w:pPr>
        <w:pStyle w:val="FirstParagraph"/>
      </w:pPr>
      <w:r>
        <w:t xml:space="preserve">La respuesta a las siguientes cuestiones debe incorporarse en la introducción del informe de laboratorio.</w:t>
      </w:r>
    </w:p>
    <w:p>
      <w:pPr>
        <w:numPr>
          <w:ilvl w:val="0"/>
          <w:numId w:val="1003"/>
        </w:numPr>
      </w:pPr>
      <w:r>
        <w:t xml:space="preserve">El término pérdida de carga representa una pérdida de energía del sistema, ¿en qué se invierte dicha energía?</w:t>
      </w:r>
    </w:p>
    <w:p>
      <w:pPr>
        <w:numPr>
          <w:ilvl w:val="0"/>
          <w:numId w:val="1003"/>
        </w:numPr>
      </w:pPr>
      <w:r>
        <w:t xml:space="preserve">Deducir la ecuación 2.6 a partir de la Ley de Hagen-Poseuille 2.5 y la ecuación 2.3.</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2026-09-10T15:22:39Z</dcterms:created>
  <dcterms:modified xsi:type="dcterms:W3CDTF">2026-09-10T15:22:39Z</dcterms:modified>
</cp:coreProperties>
</file>

<file path=docProps/custom.xml><?xml version="1.0" encoding="utf-8"?>
<Properties xmlns="http://schemas.openxmlformats.org/officeDocument/2006/custom-properties" xmlns:vt="http://schemas.openxmlformats.org/officeDocument/2006/docPropsVTypes"/>
</file>