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1.jpg" ContentType="image/jpeg"/>
  <Override PartName="/word/media/rId34.jpg" ContentType="image/jpeg"/>
  <Override PartName="/word/media/rId21.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difracción-de-electrones"/>
    <w:p>
      <w:pPr>
        <w:pStyle w:val="Heading1"/>
      </w:pPr>
      <w:r>
        <w:t xml:space="preserve">Difracción de electrones</w:t>
      </w:r>
    </w:p>
    <w:bookmarkStart w:id="20" w:name="objetivos"/>
    <w:p>
      <w:pPr>
        <w:pStyle w:val="Heading2"/>
      </w:pPr>
      <w:r>
        <w:t xml:space="preserve">Objetivos</w:t>
      </w:r>
    </w:p>
    <w:p>
      <w:pPr>
        <w:pStyle w:val="FirstParagraph"/>
      </w:pPr>
      <w:r>
        <w:t xml:space="preserve">La difracción de electrones en una lámina de grafito policristalino permite comprobar la naturaleza ondulatoria del electrón. En la pantalla fluorescente del tubo de difracción de electrones se observan dos anillos de difracción alrededor de un punto luminoso grande en dirección del rayo. Estos anillos se atribuyen a la difracción de los electrones que cumplen con la condición de Bragg en la red cristalina de los microcristales en la lámina de grafito. La observación es comparable con el resultado de la difracción de rayos X en polvo de cristales según Debye-Scherrer.</w:t>
      </w:r>
    </w:p>
    <w:bookmarkEnd w:id="20"/>
    <w:bookmarkStart w:id="30" w:name="fundamentos-teóricos"/>
    <w:p>
      <w:pPr>
        <w:pStyle w:val="Heading2"/>
      </w:pPr>
      <w:r>
        <w:t xml:space="preserve">Fundamentos teóricos</w:t>
      </w:r>
    </w:p>
    <w:p>
      <w:pPr>
        <w:pStyle w:val="FirstParagraph"/>
      </w:pPr>
      <w:r>
        <w:t xml:space="preserve">En 1924 Louis de Broglie postuló la hipótesis de que las partículas también tienen propiedades ondulatorias, siendo la longitud de onda inversamente proporcional a la cantidad de movimiento de la misma. Sus reflexiones fueron comprobadas por C. Davisson y L. Germer cuando realizaron la difracción de electrones en níquel cristalino. De Broglie estableció la dependencia de la longitud de onda</w:t>
      </w:r>
      <w:r>
        <w:t xml:space="preserve"> </w:t>
      </w:r>
      <m:oMath>
        <m:r>
          <m:t>λ</m:t>
        </m:r>
      </m:oMath>
      <w:r>
        <w:t xml:space="preserve"> </w:t>
      </w:r>
      <w:r>
        <w:t xml:space="preserve">de una partícula con la cantidad de movimiento</w:t>
      </w:r>
      <w:r>
        <w:t xml:space="preserve"> </w:t>
      </w:r>
      <m:oMath>
        <m:r>
          <m:t>p</m:t>
        </m:r>
      </m:oMath>
      <w:r>
        <w:t xml:space="preserve"> </w:t>
      </w:r>
      <w:r>
        <w:t xml:space="preserve">mediante la relación</w:t>
      </w:r>
    </w:p>
    <w:p>
      <w:pPr>
        <w:pStyle w:val="BodyText"/>
      </w:pPr>
      <m:oMathPara>
        <m:oMathParaPr>
          <m:jc m:val="center"/>
        </m:oMathParaPr>
        <m:oMath>
          <m:r>
            <m:t>λ</m:t>
          </m:r>
          <m:r>
            <m:rPr>
              <m:sty m:val="p"/>
            </m:rPr>
            <m:t>=</m:t>
          </m:r>
          <m:f>
            <m:fPr>
              <m:type m:val="bar"/>
            </m:fPr>
            <m:num>
              <m:r>
                <m:t>h</m:t>
              </m:r>
            </m:num>
            <m:den>
              <m:r>
                <m:t>p</m:t>
              </m:r>
            </m:den>
          </m:f>
          <m:r>
            <m:t> </m:t>
          </m:r>
          <m:r>
            <m:rPr>
              <m:nor/>
              <m:sty m:val="p"/>
            </m:rPr>
            <m:t>(7.1)</m:t>
          </m:r>
        </m:oMath>
      </m:oMathPara>
    </w:p>
    <w:p>
      <w:pPr>
        <w:pStyle w:val="FirstParagraph"/>
      </w:pPr>
      <w:r>
        <w:t xml:space="preserve">con</w:t>
      </w:r>
      <w:r>
        <w:t xml:space="preserve"> </w:t>
      </w:r>
      <m:oMath>
        <m:r>
          <m:t>h</m:t>
        </m:r>
      </m:oMath>
      <w:r>
        <w:t xml:space="preserve"> </w:t>
      </w:r>
      <w:r>
        <w:t xml:space="preserve">la constante de Planck. Para los electrones acelerados mediante una tensión de aceleración</w:t>
      </w:r>
      <w:r>
        <w:t xml:space="preserve"> </w:t>
      </w:r>
      <m:oMath>
        <m:sSub>
          <m:e>
            <m:r>
              <m:t>U</m:t>
            </m:r>
          </m:e>
          <m:sub>
            <m:r>
              <m:t>A</m:t>
            </m:r>
          </m:sub>
        </m:sSub>
      </m:oMath>
      <w:r>
        <w:t xml:space="preserve"> </w:t>
      </w:r>
      <w:r>
        <w:t xml:space="preserve">en un tubo de vacío, esta ecuación puede expresarse de la forma:</w:t>
      </w:r>
    </w:p>
    <w:p>
      <w:pPr>
        <w:pStyle w:val="BodyText"/>
      </w:pPr>
      <m:oMathPara>
        <m:oMathParaPr>
          <m:jc m:val="center"/>
        </m:oMathParaPr>
        <m:oMath>
          <m:r>
            <m:t>λ</m:t>
          </m:r>
          <m:r>
            <m:rPr>
              <m:sty m:val="p"/>
            </m:rPr>
            <m:t>=</m:t>
          </m:r>
          <m:f>
            <m:fPr>
              <m:type m:val="bar"/>
            </m:fPr>
            <m:num>
              <m:r>
                <m:t>h</m:t>
              </m:r>
            </m:num>
            <m:den>
              <m:rad>
                <m:radPr>
                  <m:degHide m:val="on"/>
                </m:radPr>
                <m:deg/>
                <m:e>
                  <m:r>
                    <m:t>2</m:t>
                  </m:r>
                  <m:r>
                    <m:rPr>
                      <m:sty m:val="p"/>
                    </m:rPr>
                    <m:t>⋅</m:t>
                  </m:r>
                  <m:r>
                    <m:t>m</m:t>
                  </m:r>
                  <m:r>
                    <m:rPr>
                      <m:sty m:val="p"/>
                    </m:rPr>
                    <m:t>⋅</m:t>
                  </m:r>
                  <m:r>
                    <m:t>e</m:t>
                  </m:r>
                  <m:r>
                    <m:rPr>
                      <m:sty m:val="p"/>
                    </m:rPr>
                    <m:t>⋅</m:t>
                  </m:r>
                  <m:sSub>
                    <m:e>
                      <m:r>
                        <m:t>U</m:t>
                      </m:r>
                    </m:e>
                    <m:sub>
                      <m:r>
                        <m:t>A</m:t>
                      </m:r>
                    </m:sub>
                  </m:sSub>
                </m:e>
              </m:rad>
            </m:den>
          </m:f>
          <m:r>
            <m:t> </m:t>
          </m:r>
          <m:r>
            <m:rPr>
              <m:nor/>
              <m:sty m:val="p"/>
            </m:rPr>
            <m:t>(7.2)</m:t>
          </m:r>
        </m:oMath>
      </m:oMathPara>
    </w:p>
    <w:p>
      <w:pPr>
        <w:pStyle w:val="FirstParagraph"/>
      </w:pPr>
      <w:r>
        <w:t xml:space="preserve">con</w:t>
      </w:r>
      <w:r>
        <w:t xml:space="preserve"> </w:t>
      </w:r>
      <m:oMath>
        <m:r>
          <m:t>m</m:t>
        </m:r>
      </m:oMath>
      <w:r>
        <w:t xml:space="preserve"> </w:t>
      </w:r>
      <w:r>
        <w:t xml:space="preserve">la masa del electrón y</w:t>
      </w:r>
      <w:r>
        <w:t xml:space="preserve"> </w:t>
      </w:r>
      <m:oMath>
        <m:r>
          <m:t>e</m:t>
        </m:r>
      </m:oMath>
      <w:r>
        <w:t xml:space="preserve"> </w:t>
      </w:r>
      <w:r>
        <w:t xml:space="preserve">la carga del electrón.</w:t>
      </w:r>
    </w:p>
    <w:p>
      <w:pPr>
        <w:pStyle w:val="BodyText"/>
      </w:pPr>
      <w:r>
        <w:t xml:space="preserve">En el experimento, se demuestra la naturaleza ondulatoria de los electrones en un tubo de vidrio vacío, realizando una difracción en un grafito policristalino. En la pantalla fluorescente del tubo de vidrio se observan</w:t>
      </w:r>
      <w:r>
        <w:t xml:space="preserve"> </w:t>
      </w:r>
      <w:r>
        <w:t xml:space="preserve">anillos de difracción alrededor de un punto grande central. El diámetro de los anillos depende de la tensión de aceleración. Dichos anillos son producidos por la difracción de los electrones en los planos de rejilla de los microcristales, que cumplen con la condición de Bragg</w:t>
      </w:r>
    </w:p>
    <w:p>
      <w:pPr>
        <w:pStyle w:val="BodyText"/>
      </w:pPr>
      <m:oMathPara>
        <m:oMathParaPr>
          <m:jc m:val="center"/>
        </m:oMathParaPr>
        <m:oMath>
          <m:r>
            <m:t>2</m:t>
          </m:r>
          <m:r>
            <m:rPr>
              <m:sty m:val="p"/>
            </m:rPr>
            <m:t>⋅</m:t>
          </m:r>
          <m:r>
            <m:t>d</m:t>
          </m:r>
          <m:r>
            <m:rPr>
              <m:sty m:val="p"/>
            </m:rPr>
            <m:t>sin</m:t>
          </m:r>
          <m:r>
            <m:t>θ</m:t>
          </m:r>
          <m:r>
            <m:rPr>
              <m:sty m:val="p"/>
            </m:rPr>
            <m:t>=</m:t>
          </m:r>
          <m:r>
            <m:t>n</m:t>
          </m:r>
          <m:r>
            <m:t>λ</m:t>
          </m:r>
          <m:r>
            <m:t> </m:t>
          </m:r>
          <m:r>
            <m:rPr>
              <m:nor/>
              <m:sty m:val="p"/>
            </m:rPr>
            <m:t>(7.3)</m:t>
          </m:r>
        </m:oMath>
      </m:oMathPara>
    </w:p>
    <w:p>
      <w:pPr>
        <w:pStyle w:val="FirstParagraph"/>
      </w:pPr>
      <w:r>
        <w:t xml:space="preserve">donde</w:t>
      </w:r>
      <w:r>
        <w:t xml:space="preserve"> </w:t>
      </w:r>
      <m:oMath>
        <m:r>
          <m:t>θ</m:t>
        </m:r>
      </m:oMath>
      <w:r>
        <w:t xml:space="preserve"> </w:t>
      </w:r>
      <w:r>
        <w:t xml:space="preserve">es el ángulo de Bragg,</w:t>
      </w:r>
      <w:r>
        <w:t xml:space="preserve"> </w:t>
      </w:r>
      <m:oMath>
        <m:r>
          <m:t>n</m:t>
        </m:r>
      </m:oMath>
      <w:r>
        <w:t xml:space="preserve"> </w:t>
      </w:r>
      <w:r>
        <w:t xml:space="preserve">el orden de difracción y</w:t>
      </w:r>
      <w:r>
        <w:t xml:space="preserve"> </w:t>
      </w:r>
      <m:oMath>
        <m:r>
          <m:t>d</m:t>
        </m:r>
      </m:oMath>
      <w:r>
        <w:t xml:space="preserve"> </w:t>
      </w:r>
      <w:r>
        <w:t xml:space="preserve">la distancia entre dos planos reticular del cristal tal cómo se ilustra en la figura 7.1 (a).</w:t>
      </w:r>
    </w:p>
    <w:tbl>
      <w:tblPr>
        <w:tblStyle w:val="FigureTable"/>
        <w:tblW w:type="auto" w:w="0"/>
        <w:tblLook w:firstRow="0" w:lastRow="0" w:firstColumn="0" w:lastColumn="0"/>
        <w:jc w:val="center"/>
      </w:tblPr>
      <w:tblGrid>
        <w:gridCol w:w="7920"/>
      </w:tblGrid>
      <w:tr>
        <w:tc>
          <w:tcPr/>
          <w:p>
            <w:pPr>
              <w:jc w:val="center"/>
            </w:pPr>
            <w:r>
              <w:drawing>
                <wp:inline>
                  <wp:extent cx="2159999" cy="1720465"/>
                  <wp:effectExtent b="0" l="0" r="0" t="0"/>
                  <wp:docPr descr="image" title="" id="22" name="Picture"/>
                  <a:graphic>
                    <a:graphicData uri="http://schemas.openxmlformats.org/drawingml/2006/picture">
                      <pic:pic>
                        <pic:nvPicPr>
                          <pic:cNvPr descr="img/rayos_difractados_DIF.png" id="23" name="Picture"/>
                          <pic:cNvPicPr>
                            <a:picLocks noChangeArrowheads="1" noChangeAspect="1"/>
                          </pic:cNvPicPr>
                        </pic:nvPicPr>
                        <pic:blipFill>
                          <a:blip r:embed="rId21"/>
                          <a:stretch>
                            <a:fillRect/>
                          </a:stretch>
                        </pic:blipFill>
                        <pic:spPr bwMode="auto">
                          <a:xfrm>
                            <a:off x="0" y="0"/>
                            <a:ext cx="2159999" cy="1720465"/>
                          </a:xfrm>
                          <a:prstGeom prst="rect">
                            <a:avLst/>
                          </a:prstGeom>
                          <a:noFill/>
                          <a:ln w="9525">
                            <a:noFill/>
                            <a:headEnd/>
                            <a:tailEnd/>
                          </a:ln>
                        </pic:spPr>
                      </pic:pic>
                    </a:graphicData>
                  </a:graphic>
                </wp:inline>
              </w:drawing>
            </w:r>
            <w:r>
              <w:t xml:space="preserve"> </w:t>
            </w:r>
            <w:r>
              <w:t xml:space="preserve">(a)</w:t>
            </w:r>
            <w:r>
              <w:t xml:space="preserve"> </w:t>
            </w:r>
            <w:r>
              <w:drawing>
                <wp:inline>
                  <wp:extent cx="2159999" cy="2029263"/>
                  <wp:effectExtent b="0" l="0" r="0" t="0"/>
                  <wp:docPr descr="image" title="" id="25" name="Picture"/>
                  <a:graphic>
                    <a:graphicData uri="http://schemas.openxmlformats.org/drawingml/2006/picture">
                      <pic:pic>
                        <pic:nvPicPr>
                          <pic:cNvPr descr="img/red_cristal_DIF.png" id="26" name="Picture"/>
                          <pic:cNvPicPr>
                            <a:picLocks noChangeArrowheads="1" noChangeAspect="1"/>
                          </pic:cNvPicPr>
                        </pic:nvPicPr>
                        <pic:blipFill>
                          <a:blip r:embed="rId24"/>
                          <a:stretch>
                            <a:fillRect/>
                          </a:stretch>
                        </pic:blipFill>
                        <pic:spPr bwMode="auto">
                          <a:xfrm>
                            <a:off x="0" y="0"/>
                            <a:ext cx="2159999" cy="2029263"/>
                          </a:xfrm>
                          <a:prstGeom prst="rect">
                            <a:avLst/>
                          </a:prstGeom>
                          <a:noFill/>
                          <a:ln w="9525">
                            <a:noFill/>
                            <a:headEnd/>
                            <a:tailEnd/>
                          </a:ln>
                        </pic:spPr>
                      </pic:pic>
                    </a:graphicData>
                  </a:graphic>
                </wp:inline>
              </w:drawing>
            </w:r>
            <w:r>
              <w:t xml:space="preserve"> </w:t>
            </w:r>
            <w:r>
              <w:t xml:space="preserve">(b)</w:t>
            </w:r>
          </w:p>
        </w:tc>
      </w:tr>
    </w:tbl>
    <w:p>
      <w:pPr>
        <w:pStyle w:val="ImageCaption"/>
      </w:pPr>
      <w:r>
        <w:t xml:space="preserve">Figura 7.1: En (a): esquema de los rayos difractados por los planos de la red de policristalina. En (b): Esquema de la estructura de la red cristalina.</w:t>
      </w:r>
    </w:p>
    <w:p>
      <w:pPr>
        <w:pStyle w:val="BodyText"/>
      </w:pPr>
      <w:r>
        <w:t xml:space="preserve">El diámetro del anillo de difracción se relaciona con el ángulo de Bragg usando la geometría del aparato y alguna aproximación:</w:t>
      </w:r>
    </w:p>
    <w:p>
      <w:pPr>
        <w:pStyle w:val="BodyText"/>
      </w:pPr>
      <m:oMathPara>
        <m:oMathParaPr>
          <m:jc m:val="center"/>
        </m:oMathParaPr>
        <m:oMath>
          <m:r>
            <m:rPr>
              <m:sty m:val="p"/>
            </m:rPr>
            <m:t>sin</m:t>
          </m:r>
          <m:d>
            <m:dPr>
              <m:begChr m:val="("/>
              <m:endChr m:val=")"/>
              <m:sepChr m:val=""/>
              <m:grow/>
            </m:dPr>
            <m:e>
              <m:r>
                <m:t>2</m:t>
              </m:r>
              <m:r>
                <m:t>θ</m:t>
              </m:r>
            </m:e>
          </m:d>
          <m:r>
            <m:rPr>
              <m:sty m:val="p"/>
            </m:rPr>
            <m:t>≃</m:t>
          </m:r>
          <m:f>
            <m:fPr>
              <m:type m:val="bar"/>
            </m:fPr>
            <m:num>
              <m:r>
                <m:t>1</m:t>
              </m:r>
            </m:num>
            <m:den>
              <m:rad>
                <m:radPr>
                  <m:degHide m:val="on"/>
                </m:radPr>
                <m:deg/>
                <m:e>
                  <m:r>
                    <m:t>1</m:t>
                  </m:r>
                  <m:r>
                    <m:rPr>
                      <m:sty m:val="p"/>
                    </m:rPr>
                    <m:t>+</m:t>
                  </m:r>
                  <m:sSup>
                    <m:e>
                      <m:d>
                        <m:dPr>
                          <m:begChr m:val="("/>
                          <m:endChr m:val=")"/>
                          <m:sepChr m:val=""/>
                          <m:grow/>
                        </m:dPr>
                        <m:e>
                          <m:r>
                            <m:t>2</m:t>
                          </m:r>
                          <m:r>
                            <m:t>L</m:t>
                          </m:r>
                          <m:r>
                            <m:rPr>
                              <m:sty m:val="p"/>
                            </m:rPr>
                            <m:t>/</m:t>
                          </m:r>
                          <m:sSub>
                            <m:e>
                              <m:r>
                                <m:t>D</m:t>
                              </m:r>
                            </m:e>
                            <m:sub>
                              <m:r>
                                <m:t>i</m:t>
                              </m:r>
                            </m:sub>
                          </m:sSub>
                        </m:e>
                      </m:d>
                    </m:e>
                    <m:sup>
                      <m:r>
                        <m:t>2</m:t>
                      </m:r>
                    </m:sup>
                  </m:sSup>
                </m:e>
              </m:rad>
            </m:den>
          </m:f>
          <m:r>
            <m:rPr>
              <m:sty m:val="p"/>
            </m:rPr>
            <m:t>≃</m:t>
          </m:r>
          <m:r>
            <m:t>2</m:t>
          </m:r>
          <m:r>
            <m:rPr>
              <m:sty m:val="p"/>
            </m:rPr>
            <m:t>sin</m:t>
          </m:r>
          <m:r>
            <m:t>θ</m:t>
          </m:r>
          <m:r>
            <m:t> </m:t>
          </m:r>
          <m:r>
            <m:rPr>
              <m:nor/>
              <m:sty m:val="p"/>
            </m:rPr>
            <m:t>(7.4)</m:t>
          </m:r>
        </m:oMath>
      </m:oMathPara>
    </w:p>
    <w:p>
      <w:pPr>
        <w:pStyle w:val="FirstParagraph"/>
      </w:pPr>
      <w:r>
        <w:t xml:space="preserve">donde</w:t>
      </w:r>
      <w:r>
        <w:t xml:space="preserve"> </w:t>
      </w:r>
      <m:oMath>
        <m:r>
          <m:t>L</m:t>
        </m:r>
        <m:r>
          <m:rPr>
            <m:sty m:val="p"/>
          </m:rPr>
          <m:t>=</m:t>
        </m:r>
        <m:r>
          <m:t>13</m:t>
        </m:r>
        <m:r>
          <m:t> </m:t>
        </m:r>
      </m:oMath>
      <w:r>
        <w:t xml:space="preserve">cm es la distancia entre la lámina de gráfito y la pantalla del tubo (ver figura 7.2).</w:t>
      </w:r>
    </w:p>
    <w:p>
      <w:pPr>
        <w:pStyle w:val="CaptionedFigure"/>
      </w:pPr>
      <w:r>
        <w:drawing>
          <wp:inline>
            <wp:extent cx="5334000" cy="1841920"/>
            <wp:effectExtent b="0" l="0" r="0" t="0"/>
            <wp:docPr descr="" title="" id="28" name="Picture"/>
            <a:graphic>
              <a:graphicData uri="http://schemas.openxmlformats.org/drawingml/2006/picture">
                <pic:pic>
                  <pic:nvPicPr>
                    <pic:cNvPr descr="img/anillos_pantalla_DIF.png" id="29" name="Picture"/>
                    <pic:cNvPicPr>
                      <a:picLocks noChangeArrowheads="1" noChangeAspect="1"/>
                    </pic:cNvPicPr>
                  </pic:nvPicPr>
                  <pic:blipFill>
                    <a:blip r:embed="rId27"/>
                    <a:stretch>
                      <a:fillRect/>
                    </a:stretch>
                  </pic:blipFill>
                  <pic:spPr bwMode="auto">
                    <a:xfrm>
                      <a:off x="0" y="0"/>
                      <a:ext cx="5334000" cy="1841920"/>
                    </a:xfrm>
                    <a:prstGeom prst="rect">
                      <a:avLst/>
                    </a:prstGeom>
                    <a:noFill/>
                    <a:ln w="9525">
                      <a:noFill/>
                      <a:headEnd/>
                      <a:tailEnd/>
                    </a:ln>
                  </pic:spPr>
                </pic:pic>
              </a:graphicData>
            </a:graphic>
          </wp:inline>
        </w:drawing>
      </w:r>
    </w:p>
    <w:p>
      <w:pPr>
        <w:pStyle w:val="ImageCaption"/>
      </w:pPr>
      <w:r>
        <w:t xml:space="preserve">Figura 7.2: Esquema de la difracción de electrones por la red cristalina en el tubo de vacío.</w:t>
      </w:r>
    </w:p>
    <w:p>
      <w:pPr>
        <w:pStyle w:val="BodyText"/>
      </w:pPr>
      <w:r>
        <w:t xml:space="preserve">Como el grafito muestra una estructura cristalina con dos distancias entre planos cristalinos</w:t>
      </w:r>
      <w:r>
        <w:t xml:space="preserve"> </w:t>
      </w:r>
      <m:oMath>
        <m:sSub>
          <m:e>
            <m:r>
              <m:t>d</m:t>
            </m:r>
          </m:e>
          <m:sub>
            <m:r>
              <m:t>1</m:t>
            </m:r>
          </m:sub>
        </m:sSub>
        <m:r>
          <m:rPr>
            <m:sty m:val="p"/>
          </m:rPr>
          <m:t>=</m:t>
        </m:r>
        <m:r>
          <m:t>123</m:t>
        </m:r>
        <m:r>
          <m:rPr>
            <m:sty m:val="p"/>
          </m:rPr>
          <m:t>⋅</m:t>
        </m:r>
        <m:sSup>
          <m:e>
            <m:r>
              <m:t>10</m:t>
            </m:r>
          </m:e>
          <m:sup>
            <m:r>
              <m:rPr>
                <m:sty m:val="p"/>
              </m:rPr>
              <m:t>−</m:t>
            </m:r>
            <m:r>
              <m:t>12</m:t>
            </m:r>
          </m:sup>
        </m:sSup>
      </m:oMath>
      <w:r>
        <w:t xml:space="preserve"> </w:t>
      </w:r>
      <w:r>
        <w:t xml:space="preserve">m y</w:t>
      </w:r>
      <w:r>
        <w:t xml:space="preserve"> </w:t>
      </w:r>
      <m:oMath>
        <m:sSub>
          <m:e>
            <m:r>
              <m:t>d</m:t>
            </m:r>
          </m:e>
          <m:sub>
            <m:r>
              <m:t>2</m:t>
            </m:r>
          </m:sub>
        </m:sSub>
        <m:r>
          <m:rPr>
            <m:sty m:val="p"/>
          </m:rPr>
          <m:t>=</m:t>
        </m:r>
        <m:r>
          <m:t>213</m:t>
        </m:r>
        <m:r>
          <m:rPr>
            <m:sty m:val="p"/>
          </m:rPr>
          <m:t>⋅</m:t>
        </m:r>
        <m:sSup>
          <m:e>
            <m:r>
              <m:t>10</m:t>
            </m:r>
          </m:e>
          <m:sup>
            <m:r>
              <m:rPr>
                <m:sty m:val="p"/>
              </m:rPr>
              <m:t>−</m:t>
            </m:r>
            <m:r>
              <m:t>12</m:t>
            </m:r>
          </m:sup>
        </m:sSup>
      </m:oMath>
      <w:r>
        <w:t xml:space="preserve"> </w:t>
      </w:r>
      <w:r>
        <w:t xml:space="preserve">m (ver figura 7.1 (b)), se observan en el primer orden de difracción (n = 1) dos anillos de difracción con los diámetros</w:t>
      </w:r>
      <w:r>
        <w:t xml:space="preserve"> </w:t>
      </w:r>
      <m:oMath>
        <m:sSub>
          <m:e>
            <m:r>
              <m:t>D</m:t>
            </m:r>
          </m:e>
          <m:sub>
            <m:r>
              <m:t>1</m:t>
            </m:r>
          </m:sub>
        </m:sSub>
      </m:oMath>
      <w:r>
        <w:t xml:space="preserve"> </w:t>
      </w:r>
      <w:r>
        <w:t xml:space="preserve">y</w:t>
      </w:r>
      <w:r>
        <w:t xml:space="preserve"> </w:t>
      </w:r>
      <m:oMath>
        <m:sSub>
          <m:e>
            <m:r>
              <m:t>D</m:t>
            </m:r>
          </m:e>
          <m:sub>
            <m:r>
              <m:t>2</m:t>
            </m:r>
          </m:sub>
        </m:sSub>
      </m:oMath>
      <w:r>
        <w:t xml:space="preserve">.</w:t>
      </w:r>
    </w:p>
    <w:p>
      <w:pPr>
        <w:pStyle w:val="BodyText"/>
      </w:pPr>
      <w:r>
        <w:t xml:space="preserve">Partiendo de los diámetros de ambos anillos de difracción y de las distancias entre los planos de rejilla se puede determinar la longitud de onda</w:t>
      </w:r>
      <w:r>
        <w:t xml:space="preserve"> </w:t>
      </w:r>
      <m:oMath>
        <m:r>
          <m:t>λ</m:t>
        </m:r>
      </m:oMath>
      <w:r>
        <w:t xml:space="preserve"> </w:t>
      </w:r>
      <w:r>
        <w:t xml:space="preserve">aplicando la condición de Bragg. Para ángulos de apertura pequeños se tiene:</w:t>
      </w:r>
    </w:p>
    <w:p>
      <w:pPr>
        <w:pStyle w:val="BodyText"/>
      </w:pPr>
      <m:oMathPara>
        <m:oMathParaPr>
          <m:jc m:val="center"/>
        </m:oMathParaPr>
        <m:oMath>
          <m:r>
            <m:t>λ</m:t>
          </m:r>
          <m:r>
            <m:rPr>
              <m:sty m:val="p"/>
            </m:rPr>
            <m:t>=</m:t>
          </m:r>
          <m:sSub>
            <m:e>
              <m:r>
                <m:t>d</m:t>
              </m:r>
            </m:e>
            <m:sub>
              <m:r>
                <m:t>i</m:t>
              </m:r>
            </m:sub>
          </m:sSub>
          <m:f>
            <m:fPr>
              <m:type m:val="bar"/>
            </m:fPr>
            <m:num>
              <m:r>
                <m:t>1</m:t>
              </m:r>
            </m:num>
            <m:den>
              <m:rad>
                <m:radPr>
                  <m:degHide m:val="on"/>
                </m:radPr>
                <m:deg/>
                <m:e>
                  <m:r>
                    <m:t>1</m:t>
                  </m:r>
                  <m:r>
                    <m:rPr>
                      <m:sty m:val="p"/>
                    </m:rPr>
                    <m:t>+</m:t>
                  </m:r>
                  <m:sSup>
                    <m:e>
                      <m:d>
                        <m:dPr>
                          <m:begChr m:val="("/>
                          <m:endChr m:val=")"/>
                          <m:sepChr m:val=""/>
                          <m:grow/>
                        </m:dPr>
                        <m:e>
                          <m:r>
                            <m:t>2</m:t>
                          </m:r>
                          <m:r>
                            <m:t>L</m:t>
                          </m:r>
                          <m:r>
                            <m:rPr>
                              <m:sty m:val="p"/>
                            </m:rPr>
                            <m:t>/</m:t>
                          </m:r>
                          <m:sSub>
                            <m:e>
                              <m:r>
                                <m:t>D</m:t>
                              </m:r>
                            </m:e>
                            <m:sub>
                              <m:r>
                                <m:t>i</m:t>
                              </m:r>
                            </m:sub>
                          </m:sSub>
                        </m:e>
                      </m:d>
                    </m:e>
                    <m:sup>
                      <m:r>
                        <m:t>2</m:t>
                      </m:r>
                    </m:sup>
                  </m:sSup>
                </m:e>
              </m:rad>
            </m:den>
          </m:f>
          <m:r>
            <m:t> </m:t>
          </m:r>
          <m:r>
            <m:rPr>
              <m:nor/>
              <m:sty m:val="p"/>
            </m:rPr>
            <m:t>(7.5)</m:t>
          </m:r>
        </m:oMath>
      </m:oMathPara>
    </w:p>
    <w:p>
      <w:pPr>
        <w:pStyle w:val="FirstParagraph"/>
      </w:pPr>
      <w:r>
        <w:t xml:space="preserve">para</w:t>
      </w:r>
      <w:r>
        <w:t xml:space="preserve"> </w:t>
      </w:r>
      <m:oMath>
        <m:r>
          <m:t>i</m:t>
        </m:r>
        <m:r>
          <m:rPr>
            <m:sty m:val="p"/>
          </m:rPr>
          <m:t>=</m:t>
        </m:r>
        <m:r>
          <m:t>1</m:t>
        </m:r>
        <m:r>
          <m:rPr>
            <m:sty m:val="p"/>
          </m:rPr>
          <m:t>,</m:t>
        </m:r>
        <m:r>
          <m:t>2</m:t>
        </m:r>
      </m:oMath>
      <w:r>
        <w:t xml:space="preserve">. De esta forma se comparan las longitudes de onda con las calculadas previamente.</w:t>
      </w:r>
    </w:p>
    <w:bookmarkEnd w:id="30"/>
    <w:bookmarkStart w:id="37" w:name="montaje-experimental"/>
    <w:p>
      <w:pPr>
        <w:pStyle w:val="Heading2"/>
      </w:pPr>
      <w:r>
        <w:t xml:space="preserve">Montaje experimental</w:t>
      </w:r>
    </w:p>
    <w:p>
      <w:pPr>
        <w:pStyle w:val="FirstParagraph"/>
      </w:pPr>
      <w:r>
        <w:rPr>
          <w:bCs/>
          <w:b/>
        </w:rPr>
        <w:t xml:space="preserve">La película de grafito de la rejilla de difracción sólo tiene algunas capas moleculares de espesor y, por tanto, se puede destruir ante una corriente mayor a 0,2 mA.Durante la experimentación, se debe controlar la corriente anódica, al igual que la película de grafito. En caso de que se queme la rejilla de grafito, o de una corriente de emisión superior a 0,2 mA, se debe desconectar inmediatamente la tensión anódica</w:t>
      </w:r>
      <w:r>
        <w:br/>
      </w:r>
      <w:r>
        <w:rPr>
          <w:bCs/>
          <w:b/>
        </w:rPr>
        <w:t xml:space="preserve">Para evitar quemar la superficie fluorescente del tubo con el rayo de electrones, es conveniente bajar la alta tensión a cero entre cada medida.</w:t>
      </w:r>
      <w:r>
        <w:br/>
      </w:r>
    </w:p>
    <w:p>
      <w:pPr>
        <w:numPr>
          <w:ilvl w:val="0"/>
          <w:numId w:val="1001"/>
        </w:numPr>
      </w:pPr>
      <w:r>
        <w:t xml:space="preserve">Monte el experimento de acuerdo con la fig. 7.3. Conectar la tensión de calentamiento y</w:t>
      </w:r>
      <w:r>
        <w:t xml:space="preserve"> </w:t>
      </w:r>
      <w:r>
        <w:t xml:space="preserve">esperar aproximadamente 1 minuto hasta que la respuesta de calentamiento sea estable.</w:t>
      </w:r>
    </w:p>
    <w:p>
      <w:pPr>
        <w:numPr>
          <w:ilvl w:val="0"/>
          <w:numId w:val="1001"/>
        </w:numPr>
      </w:pPr>
      <w:r>
        <w:t xml:space="preserve">Aplicar una tensión anódica de 4 kV.</w:t>
      </w:r>
    </w:p>
    <w:p>
      <w:pPr>
        <w:numPr>
          <w:ilvl w:val="0"/>
          <w:numId w:val="1001"/>
        </w:numPr>
      </w:pPr>
      <w:r>
        <w:t xml:space="preserve">Determinar el diámetro D de los anillos de difracción sobre la pantalla luminosa</w:t>
      </w:r>
    </w:p>
    <w:tbl>
      <w:tblPr>
        <w:tblStyle w:val="FigureTable"/>
        <w:tblW w:type="auto" w:w="0"/>
        <w:tblLook w:firstRow="0" w:lastRow="0" w:firstColumn="0" w:lastColumn="0"/>
        <w:jc w:val="center"/>
      </w:tblPr>
      <w:tblGrid>
        <w:gridCol w:w="7920"/>
      </w:tblGrid>
      <w:tr>
        <w:tc>
          <w:tcPr/>
          <w:p>
            <w:pPr>
              <w:jc w:val="center"/>
            </w:pPr>
            <w:r>
              <w:drawing>
                <wp:inline>
                  <wp:extent cx="2519999" cy="1937142"/>
                  <wp:effectExtent b="0" l="0" r="0" t="0"/>
                  <wp:docPr descr="image" title="" id="32" name="Picture"/>
                  <a:graphic>
                    <a:graphicData uri="http://schemas.openxmlformats.org/drawingml/2006/picture">
                      <pic:pic>
                        <pic:nvPicPr>
                          <pic:cNvPr descr="img/fig_DIF_3.jpg" id="33" name="Picture"/>
                          <pic:cNvPicPr>
                            <a:picLocks noChangeArrowheads="1" noChangeAspect="1"/>
                          </pic:cNvPicPr>
                        </pic:nvPicPr>
                        <pic:blipFill>
                          <a:blip r:embed="rId31"/>
                          <a:stretch>
                            <a:fillRect/>
                          </a:stretch>
                        </pic:blipFill>
                        <pic:spPr bwMode="auto">
                          <a:xfrm>
                            <a:off x="0" y="0"/>
                            <a:ext cx="2519999" cy="1937142"/>
                          </a:xfrm>
                          <a:prstGeom prst="rect">
                            <a:avLst/>
                          </a:prstGeom>
                          <a:noFill/>
                          <a:ln w="9525">
                            <a:noFill/>
                            <a:headEnd/>
                            <a:tailEnd/>
                          </a:ln>
                        </pic:spPr>
                      </pic:pic>
                    </a:graphicData>
                  </a:graphic>
                </wp:inline>
              </w:drawing>
            </w:r>
            <w:r>
              <w:t xml:space="preserve"> </w:t>
            </w:r>
            <w:r>
              <w:t xml:space="preserve">(a)</w:t>
            </w:r>
            <w:r>
              <w:t xml:space="preserve"> </w:t>
            </w:r>
            <w:r>
              <w:drawing>
                <wp:inline>
                  <wp:extent cx="2519999" cy="1792799"/>
                  <wp:effectExtent b="0" l="0" r="0" t="0"/>
                  <wp:docPr descr="image" title="" id="35" name="Picture"/>
                  <a:graphic>
                    <a:graphicData uri="http://schemas.openxmlformats.org/drawingml/2006/picture">
                      <pic:pic>
                        <pic:nvPicPr>
                          <pic:cNvPr descr="img/fig_DIF_4.jpg" id="36" name="Picture"/>
                          <pic:cNvPicPr>
                            <a:picLocks noChangeArrowheads="1" noChangeAspect="1"/>
                          </pic:cNvPicPr>
                        </pic:nvPicPr>
                        <pic:blipFill>
                          <a:blip r:embed="rId34"/>
                          <a:stretch>
                            <a:fillRect/>
                          </a:stretch>
                        </pic:blipFill>
                        <pic:spPr bwMode="auto">
                          <a:xfrm>
                            <a:off x="0" y="0"/>
                            <a:ext cx="2519999" cy="1792799"/>
                          </a:xfrm>
                          <a:prstGeom prst="rect">
                            <a:avLst/>
                          </a:prstGeom>
                          <a:noFill/>
                          <a:ln w="9525">
                            <a:noFill/>
                            <a:headEnd/>
                            <a:tailEnd/>
                          </a:ln>
                        </pic:spPr>
                      </pic:pic>
                    </a:graphicData>
                  </a:graphic>
                </wp:inline>
              </w:drawing>
            </w:r>
            <w:r>
              <w:t xml:space="preserve"> </w:t>
            </w:r>
            <w:r>
              <w:t xml:space="preserve">(b)</w:t>
            </w:r>
          </w:p>
        </w:tc>
      </w:tr>
    </w:tbl>
    <w:p>
      <w:pPr>
        <w:pStyle w:val="ImageCaption"/>
      </w:pPr>
      <w:r>
        <w:t xml:space="preserve">Figura 7.3: Montaje experimental.</w:t>
      </w:r>
    </w:p>
    <w:bookmarkEnd w:id="37"/>
    <w:bookmarkStart w:id="38" w:name="resultados"/>
    <w:p>
      <w:pPr>
        <w:pStyle w:val="Heading2"/>
      </w:pPr>
      <w:r>
        <w:t xml:space="preserve">Resultados</w:t>
      </w:r>
    </w:p>
    <w:p>
      <w:pPr>
        <w:pStyle w:val="FirstParagraph"/>
      </w:pPr>
      <w:r>
        <w:t xml:space="preserve">Medir los diametros</w:t>
      </w:r>
      <w:r>
        <w:t xml:space="preserve"> </w:t>
      </w:r>
      <m:oMath>
        <m:sSub>
          <m:e>
            <m:r>
              <m:t>D</m:t>
            </m:r>
          </m:e>
          <m:sub>
            <m:r>
              <m:t>1</m:t>
            </m:r>
          </m:sub>
        </m:sSub>
      </m:oMath>
      <w:r>
        <w:t xml:space="preserve"> </w:t>
      </w:r>
      <w:r>
        <w:t xml:space="preserve">y</w:t>
      </w:r>
      <w:r>
        <w:t xml:space="preserve"> </w:t>
      </w:r>
      <m:oMath>
        <m:sSub>
          <m:e>
            <m:r>
              <m:t>D</m:t>
            </m:r>
          </m:e>
          <m:sub>
            <m:r>
              <m:t>2</m:t>
            </m:r>
          </m:sub>
        </m:sSub>
      </m:oMath>
      <w:r>
        <w:t xml:space="preserve"> </w:t>
      </w:r>
      <w:r>
        <w:t xml:space="preserve">en función de las tensiones de anodo marcadas en la tabla siguiente</w:t>
      </w:r>
      <w:r>
        <w:br/>
      </w:r>
    </w:p>
    <w:tbl>
      <w:tblPr>
        <w:tblStyle w:val="Table"/>
        <w:tblW w:type="auto" w:w="0"/>
        <w:tblLook w:firstRow="1" w:lastRow="0" w:firstColumn="0" w:lastColumn="0" w:noHBand="0" w:noVBand="0" w:val="0020"/>
        <w:jc w:val="start"/>
        <w:tblLayout w:type="fixed"/>
      </w:tblPr>
      <w:tblGrid>
        <w:gridCol w:w="838"/>
        <w:gridCol w:w="1419"/>
        <w:gridCol w:w="1419"/>
        <w:gridCol w:w="1419"/>
        <w:gridCol w:w="1419"/>
        <w:gridCol w:w="1419"/>
        <w:gridCol w:w="1417"/>
      </w:tblGrid>
      <w:tr>
        <w:trPr>
          <w:tblHeader w:val="true"/>
        </w:trPr>
        <w:tc>
          <w:tcPr/>
          <w:p>
            <w:pPr>
              <w:pStyle w:val="Compact"/>
              <w:jc w:val="left"/>
            </w:pPr>
            <m:oMath>
              <m:sSub>
                <m:e>
                  <m:r>
                    <m:t>U</m:t>
                  </m:r>
                </m:e>
                <m:sub>
                  <m:r>
                    <m:t>A</m:t>
                  </m:r>
                </m:sub>
              </m:sSub>
            </m:oMath>
            <w:r>
              <w:t xml:space="preserve"> </w:t>
            </w:r>
            <w:r>
              <w:t xml:space="preserve">(kV)</w:t>
            </w:r>
          </w:p>
        </w:tc>
        <w:tc>
          <w:tcPr/>
          <w:p>
            <w:pPr>
              <w:pStyle w:val="Compact"/>
              <w:jc w:val="left"/>
            </w:pPr>
            <m:oMath>
              <m:sSub>
                <m:e>
                  <m:r>
                    <m:t>D</m:t>
                  </m:r>
                </m:e>
                <m:sub>
                  <m:r>
                    <m:t>1</m:t>
                  </m:r>
                </m:sub>
              </m:sSub>
              <m:r>
                <m:rPr>
                  <m:sty m:val="p"/>
                </m:rPr>
                <m:t>±</m:t>
              </m:r>
              <m:sSub>
                <m:e>
                  <m:r>
                    <m:t>ϵ</m:t>
                  </m:r>
                </m:e>
                <m:sub>
                  <m:sSub>
                    <m:e>
                      <m:r>
                        <m:t>D</m:t>
                      </m:r>
                    </m:e>
                    <m:sub>
                      <m:r>
                        <m:t>1</m:t>
                      </m:r>
                    </m:sub>
                  </m:sSub>
                </m:sub>
              </m:sSub>
            </m:oMath>
            <w:r>
              <w:t xml:space="preserve"> </w:t>
            </w:r>
            <w:r>
              <w:t xml:space="preserve">(m)</w:t>
            </w:r>
          </w:p>
        </w:tc>
        <w:tc>
          <w:tcPr/>
          <w:p>
            <w:pPr>
              <w:pStyle w:val="Compact"/>
              <w:jc w:val="left"/>
            </w:pPr>
            <m:oMath>
              <m:sSubSup>
                <m:e>
                  <m:r>
                    <m:t>λ</m:t>
                  </m:r>
                </m:e>
                <m:sub>
                  <m:r>
                    <m:t>1</m:t>
                  </m:r>
                </m:sub>
                <m:sup>
                  <m:r>
                    <m:t>e</m:t>
                  </m:r>
                  <m:r>
                    <m:t>x</m:t>
                  </m:r>
                </m:sup>
              </m:sSubSup>
              <m:r>
                <m:rPr>
                  <m:sty m:val="p"/>
                </m:rPr>
                <m:t>±</m:t>
              </m:r>
              <m:r>
                <m:t>ϵ</m:t>
              </m:r>
            </m:oMath>
            <w:r>
              <w:t xml:space="preserve"> </w:t>
            </w:r>
            <w:r>
              <w:t xml:space="preserve">(m)</w:t>
            </w:r>
          </w:p>
        </w:tc>
        <w:tc>
          <w:tcPr/>
          <w:p>
            <w:pPr>
              <w:pStyle w:val="Compact"/>
              <w:jc w:val="left"/>
            </w:pPr>
            <m:oMath>
              <m:sSubSup>
                <m:e>
                  <m:r>
                    <m:t>λ</m:t>
                  </m:r>
                </m:e>
                <m:sub>
                  <m:r>
                    <m:t>1</m:t>
                  </m:r>
                </m:sub>
                <m:sup>
                  <m:r>
                    <m:t>t</m:t>
                  </m:r>
                  <m:r>
                    <m:t>h</m:t>
                  </m:r>
                </m:sup>
              </m:sSubSup>
              <m:r>
                <m:rPr>
                  <m:sty m:val="p"/>
                </m:rPr>
                <m:t>±</m:t>
              </m:r>
              <m:r>
                <m:t>ϵ</m:t>
              </m:r>
            </m:oMath>
            <w:r>
              <w:t xml:space="preserve"> </w:t>
            </w:r>
            <w:r>
              <w:t xml:space="preserve">(m)</w:t>
            </w:r>
          </w:p>
        </w:tc>
        <w:tc>
          <w:tcPr/>
          <w:p>
            <w:pPr>
              <w:pStyle w:val="Compact"/>
              <w:jc w:val="left"/>
            </w:pPr>
            <m:oMath>
              <m:sSub>
                <m:e>
                  <m:r>
                    <m:t>D</m:t>
                  </m:r>
                </m:e>
                <m:sub>
                  <m:r>
                    <m:t>2</m:t>
                  </m:r>
                </m:sub>
              </m:sSub>
              <m:r>
                <m:rPr>
                  <m:sty m:val="p"/>
                </m:rPr>
                <m:t>±</m:t>
              </m:r>
              <m:sSub>
                <m:e>
                  <m:r>
                    <m:t>ϵ</m:t>
                  </m:r>
                </m:e>
                <m:sub>
                  <m:sSub>
                    <m:e>
                      <m:r>
                        <m:t>D</m:t>
                      </m:r>
                    </m:e>
                    <m:sub>
                      <m:r>
                        <m:t>2</m:t>
                      </m:r>
                    </m:sub>
                  </m:sSub>
                </m:sub>
              </m:sSub>
            </m:oMath>
            <w:r>
              <w:t xml:space="preserve"> </w:t>
            </w:r>
            <w:r>
              <w:t xml:space="preserve">(m)</w:t>
            </w:r>
          </w:p>
        </w:tc>
        <w:tc>
          <w:tcPr/>
          <w:p>
            <w:pPr>
              <w:pStyle w:val="Compact"/>
              <w:jc w:val="left"/>
            </w:pPr>
            <m:oMath>
              <m:sSubSup>
                <m:e>
                  <m:r>
                    <m:t>λ</m:t>
                  </m:r>
                </m:e>
                <m:sub>
                  <m:r>
                    <m:t>2</m:t>
                  </m:r>
                </m:sub>
                <m:sup>
                  <m:r>
                    <m:t>e</m:t>
                  </m:r>
                  <m:r>
                    <m:t>x</m:t>
                  </m:r>
                </m:sup>
              </m:sSubSup>
              <m:r>
                <m:rPr>
                  <m:sty m:val="p"/>
                </m:rPr>
                <m:t>±</m:t>
              </m:r>
              <m:r>
                <m:t>ϵ</m:t>
              </m:r>
            </m:oMath>
            <w:r>
              <w:t xml:space="preserve"> </w:t>
            </w:r>
            <w:r>
              <w:t xml:space="preserve">(m)</w:t>
            </w:r>
          </w:p>
        </w:tc>
        <w:tc>
          <w:tcPr/>
          <w:p>
            <w:pPr>
              <w:pStyle w:val="Compact"/>
              <w:jc w:val="left"/>
            </w:pPr>
            <m:oMath>
              <m:sSubSup>
                <m:e>
                  <m:r>
                    <m:t>λ</m:t>
                  </m:r>
                </m:e>
                <m:sub>
                  <m:r>
                    <m:t>2</m:t>
                  </m:r>
                </m:sub>
                <m:sup>
                  <m:r>
                    <m:t>t</m:t>
                  </m:r>
                  <m:r>
                    <m:t>h</m:t>
                  </m:r>
                </m:sup>
              </m:sSubSup>
              <m:r>
                <m:rPr>
                  <m:sty m:val="p"/>
                </m:rPr>
                <m:t>±</m:t>
              </m:r>
              <m:r>
                <m:t>ϵ</m:t>
              </m:r>
            </m:oMath>
            <w:r>
              <w:t xml:space="preserve"> </w:t>
            </w:r>
            <w:r>
              <w:t xml:space="preserve">(m)</w:t>
            </w:r>
          </w:p>
        </w:tc>
      </w:tr>
      <w:tr>
        <w:tc>
          <w:tcPr/>
          <w:p>
            <w:pPr>
              <w:pStyle w:val="Compact"/>
              <w:jc w:val="left"/>
            </w:pPr>
            <w:r>
              <w:t xml:space="preserve">3</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3.5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4</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4.5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br/>
      </w:r>
    </w:p>
    <w:p>
      <w:pPr>
        <w:numPr>
          <w:ilvl w:val="0"/>
          <w:numId w:val="1002"/>
        </w:numPr>
      </w:pPr>
      <w:r>
        <w:t xml:space="preserve">A partir de las medidas anteriores calcular la longitud de onda de Bragg experimental</w:t>
      </w:r>
      <w:r>
        <w:t xml:space="preserve"> </w:t>
      </w:r>
      <m:oMath>
        <m:sSub>
          <m:e>
            <m:r>
              <m:t>λ</m:t>
            </m:r>
          </m:e>
          <m:sub>
            <m:r>
              <m:t>e</m:t>
            </m:r>
            <m:r>
              <m:t>x</m:t>
            </m:r>
          </m:sub>
        </m:sSub>
      </m:oMath>
      <w:r>
        <w:t xml:space="preserve"> </w:t>
      </w:r>
      <w:r>
        <w:t xml:space="preserve">haciendo uso de la ecuación (7.5) y la longitud de onda teórica de de Broglie con la ecuación (7.2).</w:t>
      </w:r>
    </w:p>
    <w:p>
      <w:pPr>
        <w:numPr>
          <w:ilvl w:val="0"/>
          <w:numId w:val="1002"/>
        </w:numPr>
      </w:pPr>
      <w:r>
        <w:t xml:space="preserve">Representar en una gráfica</w:t>
      </w:r>
      <w:r>
        <w:t xml:space="preserve"> </w:t>
      </w:r>
      <m:oMath>
        <m:sSub>
          <m:e>
            <m:r>
              <m:t>λ</m:t>
            </m:r>
          </m:e>
          <m:sub>
            <m:r>
              <m:t>e</m:t>
            </m:r>
            <m:r>
              <m:t>x</m:t>
            </m:r>
          </m:sub>
        </m:sSub>
      </m:oMath>
      <w:r>
        <w:t xml:space="preserve"> </w:t>
      </w:r>
      <w:r>
        <w:t xml:space="preserve">en función de</w:t>
      </w:r>
      <w:r>
        <w:t xml:space="preserve"> </w:t>
      </w:r>
      <m:oMath>
        <m:sSub>
          <m:e>
            <m:r>
              <m:t>λ</m:t>
            </m:r>
          </m:e>
          <m:sub>
            <m:r>
              <m:t>t</m:t>
            </m:r>
            <m:r>
              <m:t>h</m:t>
            </m:r>
          </m:sub>
        </m:sSub>
      </m:oMath>
      <w:r>
        <w:t xml:space="preserve"> </w:t>
      </w:r>
      <w:r>
        <w:t xml:space="preserve">para cada anillo. Valorar la adecuación entre experimento y teoría realizando un ajuste lineal para el conjunto de datos.</w:t>
      </w:r>
    </w:p>
    <w:p>
      <w:pPr>
        <w:numPr>
          <w:ilvl w:val="0"/>
          <w:numId w:val="1002"/>
        </w:numPr>
      </w:pPr>
      <w:r>
        <w:t xml:space="preserve">Representar en una gráfica</w:t>
      </w:r>
      <w:r>
        <w:t xml:space="preserve"> </w:t>
      </w:r>
      <m:oMath>
        <m:sSub>
          <m:e>
            <m:r>
              <m:t>D</m:t>
            </m:r>
          </m:e>
          <m:sub>
            <m:r>
              <m:t>1</m:t>
            </m:r>
          </m:sub>
        </m:sSub>
      </m:oMath>
      <w:r>
        <w:t xml:space="preserve"> </w:t>
      </w:r>
      <w:r>
        <w:t xml:space="preserve">y</w:t>
      </w:r>
      <w:r>
        <w:t xml:space="preserve"> </w:t>
      </w:r>
      <m:oMath>
        <m:sSub>
          <m:e>
            <m:r>
              <m:t>D</m:t>
            </m:r>
          </m:e>
          <m:sub>
            <m:r>
              <m:t>2</m:t>
            </m:r>
          </m:sub>
        </m:sSub>
      </m:oMath>
      <w:r>
        <w:t xml:space="preserve"> </w:t>
      </w:r>
      <w:r>
        <w:t xml:space="preserve">en función de</w:t>
      </w:r>
      <w:r>
        <w:t xml:space="preserve"> </w:t>
      </w:r>
      <m:oMath>
        <m:r>
          <m:t>1</m:t>
        </m:r>
        <m:r>
          <m:rPr>
            <m:sty m:val="p"/>
          </m:rPr>
          <m:t>/</m:t>
        </m:r>
        <m:rad>
          <m:radPr>
            <m:degHide m:val="on"/>
          </m:radPr>
          <m:deg/>
          <m:e>
            <m:sSub>
              <m:e>
                <m:r>
                  <m:t>U</m:t>
                </m:r>
              </m:e>
              <m:sub>
                <m:r>
                  <m:t>A</m:t>
                </m:r>
              </m:sub>
            </m:sSub>
          </m:e>
        </m:rad>
      </m:oMath>
      <w:r>
        <w:t xml:space="preserve">. Calcular la distancias reticulares</w:t>
      </w:r>
      <w:r>
        <w:t xml:space="preserve"> </w:t>
      </w:r>
      <m:oMath>
        <m:sSub>
          <m:e>
            <m:r>
              <m:t>d</m:t>
            </m:r>
          </m:e>
          <m:sub>
            <m:r>
              <m:t>1</m:t>
            </m:r>
          </m:sub>
        </m:sSub>
      </m:oMath>
      <w:r>
        <w:t xml:space="preserve"> </w:t>
      </w:r>
      <w:r>
        <w:t xml:space="preserve">y</w:t>
      </w:r>
      <w:r>
        <w:t xml:space="preserve"> </w:t>
      </w:r>
      <m:oMath>
        <m:sSub>
          <m:e>
            <m:r>
              <m:t>d</m:t>
            </m:r>
          </m:e>
          <m:sub>
            <m:r>
              <m:t>2</m:t>
            </m:r>
          </m:sub>
        </m:sSub>
      </m:oMath>
      <w:r>
        <w:t xml:space="preserve"> </w:t>
      </w:r>
      <w:r>
        <w:t xml:space="preserve">de la red de difracción mediante un ajuste lineal de los dos conjuntos de datos. La ecuación teórica corresponde a una aproximación para pequeños ángulos de los ángulos de difracción:</w:t>
      </w:r>
    </w:p>
    <w:p>
      <w:pPr>
        <w:pStyle w:val="BodyText"/>
      </w:pPr>
      <m:oMathPara>
        <m:oMathParaPr>
          <m:jc m:val="center"/>
        </m:oMathParaPr>
        <m:oMath>
          <m:sSup>
            <m:e>
              <m:r>
                <m:t>λ</m:t>
              </m:r>
            </m:e>
            <m:sup>
              <m:r>
                <m:t>t</m:t>
              </m:r>
              <m:r>
                <m:t>h</m:t>
              </m:r>
            </m:sup>
          </m:sSup>
          <m:r>
            <m:rPr>
              <m:sty m:val="p"/>
            </m:rPr>
            <m:t>=</m:t>
          </m:r>
          <m:f>
            <m:fPr>
              <m:type m:val="bar"/>
            </m:fPr>
            <m:num>
              <m:r>
                <m:t>h</m:t>
              </m:r>
            </m:num>
            <m:den>
              <m:rad>
                <m:radPr>
                  <m:degHide m:val="on"/>
                </m:radPr>
                <m:deg/>
                <m:e>
                  <m:r>
                    <m:t>2</m:t>
                  </m:r>
                  <m:r>
                    <m:rPr>
                      <m:sty m:val="p"/>
                    </m:rPr>
                    <m:t>⋅</m:t>
                  </m:r>
                  <m:r>
                    <m:t>m</m:t>
                  </m:r>
                  <m:r>
                    <m:rPr>
                      <m:sty m:val="p"/>
                    </m:rPr>
                    <m:t>⋅</m:t>
                  </m:r>
                  <m:r>
                    <m:t>e</m:t>
                  </m:r>
                  <m:r>
                    <m:rPr>
                      <m:sty m:val="p"/>
                    </m:rPr>
                    <m:t>⋅</m:t>
                  </m:r>
                  <m:sSub>
                    <m:e>
                      <m:r>
                        <m:t>U</m:t>
                      </m:r>
                    </m:e>
                    <m:sub>
                      <m:r>
                        <m:t>A</m:t>
                      </m:r>
                    </m:sub>
                  </m:sSub>
                </m:e>
              </m:rad>
            </m:den>
          </m:f>
          <m:r>
            <m:rPr>
              <m:sty m:val="p"/>
            </m:rPr>
            <m:t>≃</m:t>
          </m:r>
          <m:r>
            <m:t>2</m:t>
          </m:r>
          <m:sSub>
            <m:e>
              <m:r>
                <m:t>d</m:t>
              </m:r>
            </m:e>
            <m:sub>
              <m:r>
                <m:t>i</m:t>
              </m:r>
            </m:sub>
          </m:sSub>
          <m:f>
            <m:fPr>
              <m:type m:val="bar"/>
            </m:fPr>
            <m:num>
              <m:sSub>
                <m:e>
                  <m:r>
                    <m:t>D</m:t>
                  </m:r>
                </m:e>
                <m:sub>
                  <m:r>
                    <m:t>i</m:t>
                  </m:r>
                </m:sub>
              </m:sSub>
            </m:num>
            <m:den>
              <m:r>
                <m:t>4</m:t>
              </m:r>
              <m:r>
                <m:t>L</m:t>
              </m:r>
            </m:den>
          </m:f>
          <m:r>
            <m:t> </m:t>
          </m:r>
          <m:r>
            <m:rPr>
              <m:nor/>
              <m:sty m:val="p"/>
            </m:rPr>
            <m:t>(7.6)</m:t>
          </m:r>
        </m:oMath>
      </m:oMathPara>
    </w:p>
    <w:p>
      <w:pPr>
        <w:numPr>
          <w:ilvl w:val="0"/>
          <w:numId w:val="1000"/>
        </w:numPr>
      </w:pPr>
      <w:r>
        <w:t xml:space="preserve">siendo</w:t>
      </w:r>
      <w:r>
        <w:t xml:space="preserve"> </w:t>
      </w:r>
      <m:oMath>
        <m:r>
          <m:t>L</m:t>
        </m:r>
        <m:r>
          <m:rPr>
            <m:sty m:val="p"/>
          </m:rPr>
          <m:t>=</m:t>
        </m:r>
        <m:r>
          <m:t>13</m:t>
        </m:r>
        <m:r>
          <m:t> </m:t>
        </m:r>
      </m:oMath>
      <w:r>
        <w:t xml:space="preserve">cm</w:t>
      </w:r>
    </w:p>
    <w:bookmarkEnd w:id="38"/>
    <w:bookmarkStart w:id="39" w:name="discusión"/>
    <w:p>
      <w:pPr>
        <w:pStyle w:val="Heading2"/>
      </w:pPr>
      <w:r>
        <w:t xml:space="preserve">Discusión</w:t>
      </w:r>
    </w:p>
    <w:p>
      <w:pPr>
        <w:numPr>
          <w:ilvl w:val="0"/>
          <w:numId w:val="1003"/>
        </w:numPr>
      </w:pPr>
      <w:r>
        <w:t xml:space="preserve">Discutir cualquier otro resultado o problema de interés encontrado en el experimento.</w:t>
      </w:r>
    </w:p>
    <w:bookmarkEnd w:id="39"/>
    <w:bookmarkStart w:id="40" w:name="cuestiones"/>
    <w:p>
      <w:pPr>
        <w:pStyle w:val="Heading2"/>
      </w:pPr>
      <w:r>
        <w:t xml:space="preserve">Cuestiones</w:t>
      </w:r>
    </w:p>
    <w:p>
      <w:pPr>
        <w:numPr>
          <w:ilvl w:val="0"/>
          <w:numId w:val="1004"/>
        </w:numPr>
      </w:pPr>
      <w:r>
        <w:t xml:space="preserve">¿Son los electrones capaces de excitar a otros electrones de los átomos de la red a niveles</w:t>
      </w:r>
      <w:r>
        <w:t xml:space="preserve"> </w:t>
      </w:r>
      <w:r>
        <w:t xml:space="preserve">superiores? En otras palabras, ¿qué tipo de scattering estamos estudiando?</w:t>
      </w:r>
    </w:p>
    <w:p>
      <w:pPr>
        <w:numPr>
          <w:ilvl w:val="0"/>
          <w:numId w:val="1004"/>
        </w:numPr>
      </w:pPr>
      <w:r>
        <w:t xml:space="preserve">¿Por qué se ve el tercer anillo asociado a d2?</w:t>
      </w:r>
    </w:p>
    <w:p>
      <w:pPr>
        <w:numPr>
          <w:ilvl w:val="0"/>
          <w:numId w:val="1004"/>
        </w:numPr>
      </w:pPr>
      <w:r>
        <w:t xml:space="preserve">¿Por qué se observa un anillo y no un punto, como cabría esperar a priori?</w:t>
      </w:r>
    </w:p>
    <w:p>
      <w:pPr>
        <w:numPr>
          <w:ilvl w:val="0"/>
          <w:numId w:val="1004"/>
        </w:numPr>
      </w:pPr>
      <w:r>
        <w:t xml:space="preserve">¿Qué otras partículas, además de los electrones, pueden experimentar procesos de difracción?</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sz w:val="18"/>
      <w:szCs w:val="18"/>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Recuadro" w:type="paragraph">
    <w:name w:val="Recuadro"/>
    <w:basedOn w:val="BodyText"/>
    <w:qFormat/>
    <w:pPr>
      <w:pBdr>
        <w:top w:color="000000" w:space="6" w:sz="8" w:val="single"/>
        <w:left w:color="000000" w:space="6" w:sz="8" w:val="single"/>
        <w:bottom w:color="000000" w:space="6" w:sz="8" w:val="single"/>
        <w:right w:color="000000" w:space="6" w:sz="8" w:val="single"/>
      </w:pBdr>
      <w:ind w:left="284" w:right="284"/>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31" Target="media/rId31.jpg" /><Relationship Type="http://schemas.openxmlformats.org/officeDocument/2006/relationships/image" Id="rId34" Target="media/rId34.jpg" /><Relationship Type="http://schemas.openxmlformats.org/officeDocument/2006/relationships/image" Id="rId21" Target="media/rId21.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000000"/>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2026-09-10T15:49:31Z</dcterms:created>
  <dcterms:modified xsi:type="dcterms:W3CDTF">2026-09-10T15:49:31Z</dcterms:modified>
</cp:coreProperties>
</file>

<file path=docProps/custom.xml><?xml version="1.0" encoding="utf-8"?>
<Properties xmlns="http://schemas.openxmlformats.org/officeDocument/2006/custom-properties" xmlns:vt="http://schemas.openxmlformats.org/officeDocument/2006/docPropsVTypes"/>
</file>