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tulo1"/>
        <w:keepNext/>
        <w:spacing w:after="80"/>
      </w:pPr>
      <w:r>
        <w:rPr>
          <w:rFonts w:ascii="Times New Roman" w:hAnsi="Times New Roman"/>
          <w:b/>
          <w:i w:val="0"/>
          <w:color w:val="000000"/>
          <w:sz w:val="24"/>
        </w:rPr>
        <w:t>Efecto invernadero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Objetivo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El objetivo de esta práctica es comparar la evolución de la temperatura en dos recipientes sometidos a la misma fuente calorífica: uno contiene aire y el otro una atmósfera enriquecida en CO₂. Se estudiarán por separado los procesos de calentamiento y enfriamiento y se determinará la constante de enfriamiento de cada recipiente.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Fundamento teórico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La Tierra recibe radiación solar y emite energía hacia el espacio, principalmente en el infrarrojo. Los gases de efecto invernadero absorben parte de esa radiación emitida y modifican el balance energético. Entre estos gases se encuentran el vapor de agua, el dióxido de carbono y el metano.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La emitancia radiante E es la energía emitida por unidad de superficie y de tiempo. Según la ley de Stefan-Boltzmann, depende de la cuarta potencia de la temperatura absoluta: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E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·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σ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·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perscript"/>
              </w:rPr>
              <w:t>4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(3.1)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donde σ = 5,67 × 10</w:t>
      </w:r>
      <w:r>
        <w:rPr>
          <w:rFonts w:ascii="Times New Roman" w:hAnsi="Times New Roman"/>
          <w:b w:val="0"/>
          <w:i w:val="0"/>
          <w:color w:val="000000"/>
          <w:sz w:val="19"/>
          <w:vertAlign w:val="superscript"/>
        </w:rPr>
        <w:t>−8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 W·m</w:t>
      </w:r>
      <w:r>
        <w:rPr>
          <w:rFonts w:ascii="Times New Roman" w:hAnsi="Times New Roman"/>
          <w:b w:val="0"/>
          <w:i w:val="0"/>
          <w:color w:val="000000"/>
          <w:sz w:val="19"/>
          <w:vertAlign w:val="superscript"/>
        </w:rPr>
        <w:t>−2</w:t>
      </w:r>
      <w:r>
        <w:rPr>
          <w:rFonts w:ascii="Times New Roman" w:hAnsi="Times New Roman"/>
          <w:b w:val="0"/>
          <w:i w:val="0"/>
          <w:color w:val="000000"/>
          <w:sz w:val="19"/>
        </w:rPr>
        <w:t>·K</w:t>
      </w:r>
      <w:r>
        <w:rPr>
          <w:rFonts w:ascii="Times New Roman" w:hAnsi="Times New Roman"/>
          <w:b w:val="0"/>
          <w:i w:val="0"/>
          <w:color w:val="000000"/>
          <w:sz w:val="19"/>
          <w:vertAlign w:val="superscript"/>
        </w:rPr>
        <w:t>−4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 es la constante de Stefan-Boltzmann y ε es la emisividad de la superficie. La potencia neta radiada por un cuerpo de área A a temperatura T hacia un entorno a temperatura T₀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P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neta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εσA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perscript"/>
              </w:rPr>
              <w:t>4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−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perscript"/>
              </w:rPr>
              <w:t>4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(3.2)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Cuando la diferencia entre T y T₀ es pequeña, la potencia neta es aproximadamente proporcional a ΔT = T − T₀. Esta aproximación conduce a la ley del enfriamiento de Newton: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dT/dt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−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−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(3.3)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Su solución para una temperatura inicial T(0)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T(t)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+ [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T(0)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−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e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perscript"/>
              </w:rPr>
              <w:t>−kt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(3.4)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Linealización del enfriamiento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Definiendo ΔT(t) = T(t) − T₀, la solución anterior puede escribirse como ΔT(t) = ΔT(0)e⁻ᵏᵗ. Al tomar logaritmos se obtiene una relación lineal: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ln ΔT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−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ln ΔT(0)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(3.5)</w:t>
            </w:r>
          </w:p>
        </w:tc>
      </w:tr>
    </w:tbl>
    <w:p>
      <w:pPr>
        <w:pStyle w:val="Textoindependiente"/>
        <w:keepNext w:val="0"/>
        <w:spacing w:before="0" w:after="0" w:line="240" w:lineRule="auto"/>
        <w:ind w:firstLine="0"/>
        <w:jc w:val="both"/>
      </w:pP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Por tanto, la pendiente del ajuste cumple m = −k. Como k se obtiene cambiando únicamente el signo de m, su incertidumbre es εk = εm. Si se propaga la incertidumbre de temperatura, εΔT = √(εT² + εT₀²) y εln(ΔT) = εΔT/|ΔT|.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Montaje experimental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El montaje consta de dos recipientes de vidrio iguales, cada uno cerrado con un tapón atravesado por un termómetro. Uno contiene aire. En el segundo se genera CO₂ mediante la reacción entre media cucharada de bicarbonato sódico y 10 mL de vinagre:</w:t>
      </w:r>
    </w:p>
    <w:p>
      <w:pPr>
        <w:pStyle w:val="Textoindependiente"/>
        <w:keepNext w:val="0"/>
        <w:spacing w:before="40" w:after="80" w:line="240" w:lineRule="auto"/>
        <w:ind w:firstLine="0"/>
        <w:jc w:val="center"/>
      </w:pPr>
      <w:r>
        <w:rPr>
          <w:rFonts w:ascii="Cambria Math" w:hAnsi="Cambria Math"/>
          <w:b w:val="0"/>
          <w:i w:val="0"/>
          <w:color w:val="000000"/>
          <w:sz w:val="20"/>
        </w:rPr>
        <w:t>NaHCO₃ + CH₃COOH → CH₃COONa + H₂O + CO₂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Tras finalizar la reacción, se tapa el recipiente para retener el CO₂. Ambos recipientes se sitúan a unos 10 cm del foco. Se registran sus temperaturas durante el calentamiento: cada 30 s durante los primeros 10 min y después cada minuto hasta la estabilización, aproximadamente a los 25 min.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Después se desconecta y se aparta el foco y se separan los recipientes para que no intercambien calor entre sí. Se repite la misma pauta de medida durante el enfriamiento hasta aproximarse a la temperatura ambiente. El procedimiento completo se realiza dos veces; antes de la segunda repetición se vacía y limpia el recipiente empleado para generar el CO₂.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Importante: las dos repeticiones deben analizarse por separado. La concentración de CO₂ no puede garantizarse idéntica y, por ello, no deben promediarse las temperaturas de los dos experimentos.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Experimento 1  Calentamiento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Anote simultáneamente la temperatura de los dos recipientes. Durante los primeros 10 min realice una lectura cada 30 s y, después, una lectura cada minuto hasta los 25 min o hasta alcanzar el criterio indicado en el guion.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T₀ ± εT₀ (°C)</w:t>
            </w:r>
          </w:p>
        </w:tc>
        <w:tc>
          <w:tcPr>
            <w:tcW w:type="dxa" w:w="2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εTaire = εTCO₂ (°C)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Experimento 1  Enfriamiento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Anote simultáneamente la temperatura de los dos recipientes. Durante los primeros 10 min realice una lectura cada 30 s y, después, una lectura cada minuto hasta los 25 min o hasta alcanzar el criterio indicado en el guion.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T₀ ± εT₀ (°C)</w:t>
            </w:r>
          </w:p>
        </w:tc>
        <w:tc>
          <w:tcPr>
            <w:tcW w:type="dxa" w:w="2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εTaire = εTCO₂ (°C)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Experimento 2  Calentamiento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Anote simultáneamente la temperatura de los dos recipientes. Durante los primeros 10 min realice una lectura cada 30 s y, después, una lectura cada minuto hasta los 25 min o hasta alcanzar el criterio indicado en el guion.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T₀ ± εT₀ (°C)</w:t>
            </w:r>
          </w:p>
        </w:tc>
        <w:tc>
          <w:tcPr>
            <w:tcW w:type="dxa" w:w="2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εTaire = εTCO₂ (°C)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Experimento 2  Enfriamiento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Anote simultáneamente la temperatura de los dos recipientes. Durante los primeros 10 min realice una lectura cada 30 s y, después, una lectura cada minuto hasta los 25 min o hasta alcanzar el criterio indicado en el guion.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T₀ ± εT₀ (°C)</w:t>
            </w:r>
          </w:p>
        </w:tc>
        <w:tc>
          <w:tcPr>
            <w:tcW w:type="dxa" w:w="2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εTaire = εTCO₂ (°C)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 (min)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Taire ± εTaire (°C)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TCO₂ ± εTCO₂ (°C)</w:t>
            </w: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8,5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Representaciones gráficas del experimento 1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1. Represente en una misma gráfica la evolución de la temperatura de los recipientes con aire y con CO₂ durante el calentamiento y el enfriamiento. Distinga claramente las cuatro series e identifique el instante en que se retira el foco.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773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27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2. Para cada serie de enfriamiento calcule ΔT = T − T₀ y represente ln(ΔT) frente al tiempo. Utilice únicamente puntos con ΔT &gt; 0 y ajuste una recta de la forma ln(ΔT) = mt +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773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27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Representaciones gráficas del experimento 2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1. Represente en una misma gráfica la evolución de la temperatura de los recipientes con aire y con CO₂ durante el calentamiento y el enfriamiento. Distinga claramente las cuatro series e identifique el instante en que se retira el foco.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773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27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2. Para cada serie de enfriamiento calcule ΔT = T − T₀ y represente ln(ΔT) frente al tiempo. Utilice únicamente puntos con ΔT &gt; 0 y ajuste una recta de la forma ln(ΔT) = mt +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773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27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Resultados de los ajustes lineales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1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Experimento</w:t>
            </w:r>
          </w:p>
        </w:tc>
        <w:tc>
          <w:tcPr>
            <w:tcW w:type="dxa" w:w="1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Recipiente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 ± εm (min⁻¹)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b ± εb</w:t>
            </w:r>
          </w:p>
        </w:tc>
        <w:tc>
          <w:tcPr>
            <w:tcW w:type="dxa" w:w="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R²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k ± εk (min⁻¹)</w:t>
            </w:r>
          </w:p>
        </w:tc>
        <w:tc>
          <w:tcPr>
            <w:tcW w:type="dxa" w:w="1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Intervalo</w:t>
            </w:r>
          </w:p>
        </w:tc>
      </w:tr>
      <w:tr>
        <w:trPr>
          <w:trHeight w:val="425" w:hRule="atLeast"/>
        </w:trPr>
        <w:tc>
          <w:tcPr>
            <w:tcW w:type="dxa" w:w="11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Aire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25" w:hRule="atLeast"/>
        </w:trPr>
        <w:tc>
          <w:tcPr>
            <w:tcW w:type="dxa" w:w="11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CO₂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25" w:hRule="atLeast"/>
        </w:trPr>
        <w:tc>
          <w:tcPr>
            <w:tcW w:type="dxa" w:w="11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Aire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25" w:hRule="atLeast"/>
        </w:trPr>
        <w:tc>
          <w:tcPr>
            <w:tcW w:type="dxa" w:w="11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CO₂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pStyle w:val="Textoindependiente"/>
        <w:keepNext w:val="0"/>
        <w:spacing w:before="0" w:after="80" w:line="240" w:lineRule="auto"/>
        <w:ind w:firstLine="0"/>
        <w:jc w:val="both"/>
      </w:pPr>
    </w:p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Relación entre la pendiente y la constante de enfriamiento:  </w:t>
      </w:r>
      <w:r>
        <w:rPr>
          <w:rFonts w:ascii="Times New Roman" w:hAnsi="Times New Roman"/>
          <w:b w:val="0"/>
          <w:i w:val="0"/>
          <w:color w:val="000000"/>
          <w:sz w:val="19"/>
        </w:rPr>
        <w:t>k = −m    y    εk = εm</w:t>
      </w:r>
    </w:p>
    <w:p>
      <w:pPr>
        <w:pStyle w:val="Textoindependiente"/>
        <w:keepNext w:val="0"/>
        <w:spacing w:before="0" w:after="500" w:line="240" w:lineRule="auto"/>
        <w:ind w:firstLine="0"/>
        <w:jc w:val="both"/>
      </w:pPr>
    </w:p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>Cálculo representativo de ΔT, ln(ΔT) y su incertidumbre:</w:t>
      </w:r>
    </w:p>
    <w:p>
      <w:pPr>
        <w:pStyle w:val="Textoindependiente"/>
        <w:keepNext w:val="0"/>
        <w:spacing w:before="0" w:after="1200" w:line="240" w:lineRule="auto"/>
        <w:ind w:firstLine="0"/>
        <w:jc w:val="both"/>
      </w:pPr>
    </w:p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>Comparación de k para aire y CO₂ en los dos experimentos:</w:t>
      </w:r>
    </w:p>
    <w:p>
      <w:pPr>
        <w:pStyle w:val="Textoindependiente"/>
        <w:keepNext w:val="0"/>
        <w:spacing w:before="0" w:after="1560" w:line="240" w:lineRule="auto"/>
        <w:ind w:firstLine="0"/>
        <w:jc w:val="both"/>
      </w:pPr>
    </w:p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>Interpretación conjunta del calentamiento y el enfriamiento:</w:t>
      </w:r>
    </w:p>
    <w:p>
      <w:pPr>
        <w:pStyle w:val="Textoindependiente"/>
        <w:keepNext w:val="0"/>
        <w:spacing w:before="0" w:after="2100" w:line="240" w:lineRule="auto"/>
        <w:ind w:firstLine="0"/>
        <w:jc w:val="both"/>
      </w:pP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Conclusión:  </w:t>
      </w:r>
      <w:r>
        <w:rPr>
          <w:rFonts w:ascii="Times New Roman" w:hAnsi="Times New Roman"/>
          <w:b w:val="0"/>
          <w:i w:val="0"/>
          <w:color w:val="000000"/>
          <w:sz w:val="19"/>
        </w:rPr>
        <w:t>indique si los resultados son coherentes con la explicación teórica y señale las principales limitaciones experimentales.</w:t>
      </w:r>
    </w:p>
    <w:sectPr w:rsidR="007C5844" w:rsidRPr="007C5844" w:rsidSect="008B7D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DE51A" w14:textId="77777777" w:rsidR="00486B61" w:rsidRDefault="00486B61">
      <w:r>
        <w:separator/>
      </w:r>
    </w:p>
  </w:endnote>
  <w:endnote w:type="continuationSeparator" w:id="0">
    <w:p w14:paraId="4D249B0F" w14:textId="77777777" w:rsidR="00486B61" w:rsidRDefault="0048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B0818" w14:textId="77777777" w:rsidR="007C5844" w:rsidRDefault="007C58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42F9D" w14:textId="7803B428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8B7D60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B71B4" w14:textId="77777777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E0420" w14:textId="77777777" w:rsidR="00486B61" w:rsidRDefault="00486B61">
      <w:r>
        <w:separator/>
      </w:r>
    </w:p>
  </w:footnote>
  <w:footnote w:type="continuationSeparator" w:id="0">
    <w:p w14:paraId="0C211922" w14:textId="77777777" w:rsidR="00486B61" w:rsidRDefault="0048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BE6E" w14:textId="77777777" w:rsidR="008B7D60" w:rsidRDefault="008B7D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79A20" w14:textId="238D4597" w:rsidR="008B7D60" w:rsidRPr="008B7D60" w:rsidRDefault="008B7D60">
    <w:pPr>
      <w:pStyle w:val="Encabezado"/>
      <w:rPr>
        <w:color w:val="FF0000"/>
        <w:lang w:val="es-ES"/>
      </w:rPr>
    </w:pPr>
    <w:bookmarkStart w:id="1" w:name="_GoBack"/>
    <w:r w:rsidRPr="008B7D60">
      <w:rPr>
        <w:color w:val="FF0000"/>
      </w:rPr>
      <w:t>Alumno 1:</w:t>
    </w:r>
    <w:r w:rsidRPr="008B7D60">
      <w:rPr>
        <w:color w:val="FF0000"/>
      </w:rPr>
      <w:ptab w:relativeTo="margin" w:alignment="center" w:leader="none"/>
    </w:r>
    <w:r w:rsidRPr="008B7D60">
      <w:rPr>
        <w:color w:val="FF0000"/>
      </w:rPr>
      <w:t>Alumno 2:</w:t>
    </w:r>
    <w:r w:rsidRPr="008B7D60">
      <w:rPr>
        <w:color w:val="FF0000"/>
      </w:rPr>
      <w:ptab w:relativeTo="margin" w:alignment="right" w:leader="none"/>
    </w:r>
    <w:r w:rsidRPr="008B7D60">
      <w:rPr>
        <w:color w:val="FF0000"/>
      </w:rPr>
      <w:t>Alumno 3: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04AE7" w14:textId="77777777" w:rsidR="008B7D60" w:rsidRDefault="008B7D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8DD"/>
    <w:multiLevelType w:val="multilevel"/>
    <w:tmpl w:val="4EF2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AF68F1"/>
    <w:multiLevelType w:val="multilevel"/>
    <w:tmpl w:val="7286FBFE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0B5CB1"/>
    <w:multiLevelType w:val="multilevel"/>
    <w:tmpl w:val="9BA698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DB7117"/>
    <w:multiLevelType w:val="multilevel"/>
    <w:tmpl w:val="B504CE9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7B0"/>
    <w:rsid w:val="000422D8"/>
    <w:rsid w:val="000501F9"/>
    <w:rsid w:val="000847B0"/>
    <w:rsid w:val="000957FB"/>
    <w:rsid w:val="000A3C1D"/>
    <w:rsid w:val="000C3E1C"/>
    <w:rsid w:val="0010518B"/>
    <w:rsid w:val="00116EC2"/>
    <w:rsid w:val="00130288"/>
    <w:rsid w:val="00137C03"/>
    <w:rsid w:val="0015798E"/>
    <w:rsid w:val="001810C1"/>
    <w:rsid w:val="002048E2"/>
    <w:rsid w:val="00204F0B"/>
    <w:rsid w:val="00231E7F"/>
    <w:rsid w:val="00244EE7"/>
    <w:rsid w:val="002E4362"/>
    <w:rsid w:val="0037724A"/>
    <w:rsid w:val="003F384D"/>
    <w:rsid w:val="00452BEA"/>
    <w:rsid w:val="00486B61"/>
    <w:rsid w:val="005264E9"/>
    <w:rsid w:val="005C55F7"/>
    <w:rsid w:val="005D27B0"/>
    <w:rsid w:val="005D6198"/>
    <w:rsid w:val="005D6C29"/>
    <w:rsid w:val="006240FF"/>
    <w:rsid w:val="00685F77"/>
    <w:rsid w:val="006B0E72"/>
    <w:rsid w:val="006E29E3"/>
    <w:rsid w:val="0071098A"/>
    <w:rsid w:val="00745F45"/>
    <w:rsid w:val="007C42EA"/>
    <w:rsid w:val="007C5844"/>
    <w:rsid w:val="007E4AF4"/>
    <w:rsid w:val="008472F0"/>
    <w:rsid w:val="00853EC7"/>
    <w:rsid w:val="00856052"/>
    <w:rsid w:val="00866814"/>
    <w:rsid w:val="00877279"/>
    <w:rsid w:val="008964E3"/>
    <w:rsid w:val="00897E4F"/>
    <w:rsid w:val="008B7D60"/>
    <w:rsid w:val="00963714"/>
    <w:rsid w:val="00974E18"/>
    <w:rsid w:val="00997E0E"/>
    <w:rsid w:val="009A008B"/>
    <w:rsid w:val="009F76B7"/>
    <w:rsid w:val="00A07C71"/>
    <w:rsid w:val="00A9553C"/>
    <w:rsid w:val="00B51BF5"/>
    <w:rsid w:val="00B80B2C"/>
    <w:rsid w:val="00B87562"/>
    <w:rsid w:val="00BA27E4"/>
    <w:rsid w:val="00BAC888"/>
    <w:rsid w:val="00BE2F30"/>
    <w:rsid w:val="00C4226B"/>
    <w:rsid w:val="00C5215E"/>
    <w:rsid w:val="00C56BEA"/>
    <w:rsid w:val="00C67238"/>
    <w:rsid w:val="00C735C3"/>
    <w:rsid w:val="00C818C7"/>
    <w:rsid w:val="00C92766"/>
    <w:rsid w:val="00D07A6F"/>
    <w:rsid w:val="00D80E21"/>
    <w:rsid w:val="00DB0C8A"/>
    <w:rsid w:val="00DC5C06"/>
    <w:rsid w:val="00E97438"/>
    <w:rsid w:val="00EB5511"/>
    <w:rsid w:val="00EB7398"/>
    <w:rsid w:val="00EF74F4"/>
    <w:rsid w:val="00F05E4E"/>
    <w:rsid w:val="00F67E43"/>
    <w:rsid w:val="00F772B1"/>
    <w:rsid w:val="00F7782F"/>
    <w:rsid w:val="00F865B2"/>
    <w:rsid w:val="00FD1477"/>
    <w:rsid w:val="00FF00BE"/>
    <w:rsid w:val="01965484"/>
    <w:rsid w:val="021AC796"/>
    <w:rsid w:val="02D57A35"/>
    <w:rsid w:val="02E264B2"/>
    <w:rsid w:val="03D8A59A"/>
    <w:rsid w:val="05C117F6"/>
    <w:rsid w:val="05CF95B2"/>
    <w:rsid w:val="05DDEE47"/>
    <w:rsid w:val="06FFC181"/>
    <w:rsid w:val="07EE6836"/>
    <w:rsid w:val="07F9B9B4"/>
    <w:rsid w:val="09A72B30"/>
    <w:rsid w:val="0A0F9D96"/>
    <w:rsid w:val="0A17886A"/>
    <w:rsid w:val="0D51206E"/>
    <w:rsid w:val="0F07FE5B"/>
    <w:rsid w:val="0F8F3251"/>
    <w:rsid w:val="0FE3793D"/>
    <w:rsid w:val="1045D7AE"/>
    <w:rsid w:val="124531C9"/>
    <w:rsid w:val="145B73ED"/>
    <w:rsid w:val="14D1E2EA"/>
    <w:rsid w:val="14E8CF6E"/>
    <w:rsid w:val="1511DB34"/>
    <w:rsid w:val="1698C528"/>
    <w:rsid w:val="174578F9"/>
    <w:rsid w:val="18F586CE"/>
    <w:rsid w:val="193A439E"/>
    <w:rsid w:val="198C67CD"/>
    <w:rsid w:val="1B169016"/>
    <w:rsid w:val="1C60B3E2"/>
    <w:rsid w:val="1C9AC30A"/>
    <w:rsid w:val="1FDD2F77"/>
    <w:rsid w:val="1FF32AAA"/>
    <w:rsid w:val="266B18C6"/>
    <w:rsid w:val="26A15AF0"/>
    <w:rsid w:val="26DEA423"/>
    <w:rsid w:val="276DC7BA"/>
    <w:rsid w:val="285C2456"/>
    <w:rsid w:val="286C7FFD"/>
    <w:rsid w:val="298389FA"/>
    <w:rsid w:val="2ACC1214"/>
    <w:rsid w:val="2BD5DEA0"/>
    <w:rsid w:val="2CEDFA8E"/>
    <w:rsid w:val="2D4BF3F9"/>
    <w:rsid w:val="2F2C3389"/>
    <w:rsid w:val="311F2DBD"/>
    <w:rsid w:val="31B9B49F"/>
    <w:rsid w:val="31DA8A53"/>
    <w:rsid w:val="32266457"/>
    <w:rsid w:val="32646E53"/>
    <w:rsid w:val="3394B4CC"/>
    <w:rsid w:val="34149420"/>
    <w:rsid w:val="359772DE"/>
    <w:rsid w:val="3797CBFF"/>
    <w:rsid w:val="3AEAAC6B"/>
    <w:rsid w:val="3BAD9B7D"/>
    <w:rsid w:val="3C8C835B"/>
    <w:rsid w:val="3E198808"/>
    <w:rsid w:val="3ECA7B12"/>
    <w:rsid w:val="4051F152"/>
    <w:rsid w:val="40CB6E8A"/>
    <w:rsid w:val="42D1E0D8"/>
    <w:rsid w:val="435F673A"/>
    <w:rsid w:val="472D47B1"/>
    <w:rsid w:val="48A7CB4E"/>
    <w:rsid w:val="4974CB37"/>
    <w:rsid w:val="4ABE51DB"/>
    <w:rsid w:val="4E1FD0C7"/>
    <w:rsid w:val="503DC5FB"/>
    <w:rsid w:val="50DF0D66"/>
    <w:rsid w:val="52064E05"/>
    <w:rsid w:val="521F415C"/>
    <w:rsid w:val="5336E652"/>
    <w:rsid w:val="536DC86B"/>
    <w:rsid w:val="5451B944"/>
    <w:rsid w:val="553AD406"/>
    <w:rsid w:val="5691F731"/>
    <w:rsid w:val="576A347D"/>
    <w:rsid w:val="578469C9"/>
    <w:rsid w:val="58708EF2"/>
    <w:rsid w:val="5AA535B8"/>
    <w:rsid w:val="5AA92F6A"/>
    <w:rsid w:val="5B7B3346"/>
    <w:rsid w:val="5BDE7C65"/>
    <w:rsid w:val="5C050ACF"/>
    <w:rsid w:val="5C8F7004"/>
    <w:rsid w:val="5CA7FAB1"/>
    <w:rsid w:val="5FDAB27D"/>
    <w:rsid w:val="6111B2C2"/>
    <w:rsid w:val="62C5C019"/>
    <w:rsid w:val="634CD52F"/>
    <w:rsid w:val="63A54794"/>
    <w:rsid w:val="6421271E"/>
    <w:rsid w:val="642E1241"/>
    <w:rsid w:val="66FCA4E0"/>
    <w:rsid w:val="6839A086"/>
    <w:rsid w:val="6C1FDDBF"/>
    <w:rsid w:val="6FBD8AF6"/>
    <w:rsid w:val="7120B726"/>
    <w:rsid w:val="71CCC33E"/>
    <w:rsid w:val="72084651"/>
    <w:rsid w:val="7270BEF6"/>
    <w:rsid w:val="735C81A1"/>
    <w:rsid w:val="73DA07E0"/>
    <w:rsid w:val="795D5F1B"/>
    <w:rsid w:val="7A3DE76A"/>
    <w:rsid w:val="7ADE7899"/>
    <w:rsid w:val="7AF374DA"/>
    <w:rsid w:val="7B411775"/>
    <w:rsid w:val="7D3427CC"/>
    <w:rsid w:val="7FE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F12D1"/>
  <w15:docId w15:val="{7090B955-895D-4823-A236-DB01A7F8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</w:pPr>
    <w:rPr>
      <w:rFonts w:ascii="Times New Roman" w:hAnsi="Times New Roman"/>
      <w:sz w:val="19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  <w:color w:val="000000"/>
    </w:rPr>
  </w:style>
  <w:style w:type="paragraph" w:styleId="Ttulo3">
    <w:name w:val="heading 3"/>
    <w:basedOn w:val="Heading"/>
    <w:next w:val="Textoindependiente"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character" w:styleId="Textodelmarcadordeposicin">
    <w:name w:val="Placeholder Text"/>
    <w:basedOn w:val="Fuentedeprrafopredeter"/>
    <w:uiPriority w:val="99"/>
    <w:semiHidden/>
    <w:rsid w:val="000C3E1C"/>
    <w:rPr>
      <w:color w:val="808080"/>
    </w:rPr>
  </w:style>
  <w:style w:type="paragraph" w:styleId="NormalWeb">
    <w:name w:val="Normal (Web)"/>
    <w:basedOn w:val="Normal"/>
    <w:uiPriority w:val="99"/>
    <w:unhideWhenUsed/>
    <w:rsid w:val="005D27B0"/>
    <w:pPr>
      <w:widowControl/>
      <w:suppressAutoHyphens w:val="0"/>
      <w:overflowPunct/>
      <w:spacing w:before="100" w:beforeAutospacing="1" w:after="100" w:afterAutospacing="1"/>
    </w:pPr>
    <w:rPr>
      <w:rFonts w:eastAsia="Times New Roman" w:cs="Times New Roman"/>
      <w:kern w:val="0"/>
      <w:lang w:val="es-ES"/>
    </w:rPr>
  </w:style>
  <w:style w:type="character" w:customStyle="1" w:styleId="katex-mathml">
    <w:name w:val="katex-mathml"/>
    <w:basedOn w:val="Fuentedeprrafopredeter"/>
    <w:rsid w:val="00A9553C"/>
  </w:style>
  <w:style w:type="character" w:customStyle="1" w:styleId="mopen">
    <w:name w:val="mopen"/>
    <w:basedOn w:val="Fuentedeprrafopredeter"/>
    <w:rsid w:val="00A9553C"/>
  </w:style>
  <w:style w:type="character" w:customStyle="1" w:styleId="mord">
    <w:name w:val="mord"/>
    <w:basedOn w:val="Fuentedeprrafopredeter"/>
    <w:rsid w:val="00A9553C"/>
  </w:style>
  <w:style w:type="character" w:customStyle="1" w:styleId="mbin">
    <w:name w:val="mbin"/>
    <w:basedOn w:val="Fuentedeprrafopredeter"/>
    <w:rsid w:val="00A9553C"/>
  </w:style>
  <w:style w:type="character" w:customStyle="1" w:styleId="vlist-s">
    <w:name w:val="vlist-s"/>
    <w:basedOn w:val="Fuentedeprrafopredeter"/>
    <w:rsid w:val="00A9553C"/>
  </w:style>
  <w:style w:type="character" w:customStyle="1" w:styleId="mclose">
    <w:name w:val="mclose"/>
    <w:basedOn w:val="Fuentedeprrafopredeter"/>
    <w:rsid w:val="00A9553C"/>
  </w:style>
  <w:style w:type="character" w:customStyle="1" w:styleId="TextoindependienteCar">
    <w:name w:val="Texto independiente Car"/>
    <w:basedOn w:val="Fuentedeprrafopredeter"/>
    <w:link w:val="Textoindependiente"/>
    <w:rsid w:val="00EB7398"/>
  </w:style>
  <w:style w:type="character" w:customStyle="1" w:styleId="mpunct">
    <w:name w:val="mpunct"/>
    <w:basedOn w:val="Fuentedeprrafopredeter"/>
    <w:rsid w:val="007E4AF4"/>
  </w:style>
  <w:style w:type="character" w:customStyle="1" w:styleId="mspace">
    <w:name w:val="mspace"/>
    <w:basedOn w:val="Fuentedeprrafopredeter"/>
    <w:rsid w:val="007E4AF4"/>
  </w:style>
  <w:style w:type="table" w:styleId="Tablaconcuadrcula">
    <w:name w:val="Table Grid"/>
    <w:basedOn w:val="Tablanormal"/>
    <w:uiPriority w:val="39"/>
    <w:rsid w:val="00EB5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B7D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55C1-E3BD-489C-A1DB-AC22DCA2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647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Used Villuendas</cp:lastModifiedBy>
  <cp:revision>56</cp:revision>
  <dcterms:created xsi:type="dcterms:W3CDTF">2025-07-16T08:42:00Z</dcterms:created>
  <dcterms:modified xsi:type="dcterms:W3CDTF">2025-09-23T15:34:00Z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2025-07-15T13:29:27Z</dcterms:modified>
  <cp:revision>38</cp:revision>
  <dc:subject/>
  <dc:title/>
</cp:coreProperties>
</file>