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2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ampo-magnético"/>
    <w:p>
      <w:pPr>
        <w:pStyle w:val="Heading1"/>
      </w:pPr>
      <w:r>
        <w:t xml:space="preserve">Campo magnético</w:t>
      </w:r>
    </w:p>
    <w:bookmarkStart w:id="20" w:name="objetivo"/>
    <w:p>
      <w:pPr>
        <w:pStyle w:val="Heading2"/>
      </w:pPr>
      <w:r>
        <w:t xml:space="preserve">Objetivo</w:t>
      </w:r>
    </w:p>
    <w:p>
      <w:pPr>
        <w:pStyle w:val="FirstParagraph"/>
      </w:pPr>
      <w:r>
        <w:t xml:space="preserve">Se trata de obtener una estimación de la permeabilidad del vacío mediante la medida de la intensidad de campo magnético creado por una bobina. Se obtendrán medidas de la intensidad del campo a lo largo del eje de la bobina. Usando los resultados teóricos se podrá obtener un valor de</w:t>
      </w:r>
      <w:r>
        <w:t xml:space="preserve"> </w:t>
      </w:r>
      <m:oMath>
        <m:sSub>
          <m:e>
            <m:r>
              <m:t>μ</m:t>
            </m:r>
          </m:e>
          <m:sub>
            <m:r>
              <m:t>0</m:t>
            </m:r>
          </m:sub>
        </m:sSub>
      </m:oMath>
      <w:r>
        <w:t xml:space="preserve">.</w:t>
      </w:r>
    </w:p>
    <w:bookmarkEnd w:id="20"/>
    <w:bookmarkStart w:id="24" w:name="fundamento-teórico"/>
    <w:p>
      <w:pPr>
        <w:pStyle w:val="Heading2"/>
      </w:pPr>
      <w:r>
        <w:t xml:space="preserve">Fundamento teórico</w:t>
      </w:r>
    </w:p>
    <w:p>
      <w:pPr>
        <w:pStyle w:val="FirstParagraph"/>
      </w:pPr>
      <w:r>
        <w:t xml:space="preserve">El campo magnético estático creado por un filamento de corriente, en</w:t>
      </w:r>
      <w:r>
        <w:t xml:space="preserve"> </w:t>
      </w:r>
      <w:r>
        <w:t xml:space="preserve">el caso de corriente constante, viene dado por la</w:t>
      </w:r>
      <w:r>
        <w:t xml:space="preserve"> </w:t>
      </w:r>
      <w:r>
        <w:rPr>
          <w:iCs/>
          <w:i/>
        </w:rPr>
        <w:t xml:space="preserve">ley de Biot-Savart</w:t>
      </w:r>
      <w:r>
        <w:t xml:space="preserve">,</w:t>
      </w:r>
    </w:p>
    <w:p>
      <w:pPr>
        <w:pStyle w:val="BodyText"/>
      </w:pPr>
      <m:oMathPara>
        <m:oMathParaPr>
          <m:jc m:val="center"/>
        </m:oMathParaPr>
        <m:oMath>
          <m:acc>
            <m:accPr>
              <m:chr m:val="⃗"/>
            </m:accPr>
            <m:e>
              <m:r>
                <m:t>B</m:t>
              </m:r>
            </m:e>
          </m:acc>
          <m:d>
            <m:dPr>
              <m:begChr m:val="("/>
              <m:endChr m:val=")"/>
              <m:sepChr m:val=""/>
              <m:grow/>
            </m:dPr>
            <m:e>
              <m:acc>
                <m:accPr>
                  <m:chr m:val="⃗"/>
                </m:accPr>
                <m:e>
                  <m:r>
                    <m:t>r</m:t>
                  </m:r>
                </m:e>
              </m:acc>
            </m:e>
          </m:d>
          <m:r>
            <m:rPr>
              <m:sty m:val="p"/>
            </m:rPr>
            <m:t>=</m:t>
          </m:r>
          <m:f>
            <m:fPr>
              <m:type m:val="bar"/>
            </m:fPr>
            <m:num>
              <m:sSub>
                <m:e>
                  <m:r>
                    <m:t>μ</m:t>
                  </m:r>
                </m:e>
                <m:sub>
                  <m:r>
                    <m:t>0</m:t>
                  </m:r>
                </m:sub>
              </m:sSub>
            </m:num>
            <m:den>
              <m:r>
                <m:t>4</m:t>
              </m:r>
              <m:r>
                <m:t>π</m:t>
              </m:r>
            </m:den>
          </m:f>
          <m:r>
            <m:rPr>
              <m:sty m:val="p"/>
            </m:rPr>
            <m:t>∫</m:t>
          </m:r>
          <m:f>
            <m:fPr>
              <m:type m:val="bar"/>
            </m:fPr>
            <m:num>
              <m:acc>
                <m:accPr>
                  <m:chr m:val="⃗"/>
                </m:accPr>
                <m:e>
                  <m:r>
                    <m:t>d</m:t>
                  </m:r>
                  <m:r>
                    <m:t>j</m:t>
                  </m:r>
                </m:e>
              </m:acc>
              <m:r>
                <m:rPr>
                  <m:sty m:val="p"/>
                </m:rPr>
                <m:t>×</m:t>
              </m:r>
              <m:d>
                <m:dPr>
                  <m:begChr m:val="("/>
                  <m:endChr m:val=")"/>
                  <m:sepChr m:val=""/>
                  <m:grow/>
                </m:dPr>
                <m:e>
                  <m:acc>
                    <m:accPr>
                      <m:chr m:val="⃗"/>
                    </m:accPr>
                    <m:e>
                      <m:r>
                        <m:t>r</m:t>
                      </m:r>
                    </m:e>
                  </m:acc>
                  <m:r>
                    <m:rPr>
                      <m:sty m:val="p"/>
                    </m:rPr>
                    <m:t>−</m:t>
                  </m:r>
                  <m:acc>
                    <m:accPr>
                      <m:chr m:val="⃗"/>
                    </m:accPr>
                    <m:e>
                      <m:sSub>
                        <m:e>
                          <m:r>
                            <m:t>r</m:t>
                          </m:r>
                        </m:e>
                        <m:sub>
                          <m:r>
                            <m:t>0</m:t>
                          </m:r>
                        </m:sub>
                      </m:sSub>
                    </m:e>
                  </m:acc>
                </m:e>
              </m:d>
            </m:num>
            <m:den>
              <m:sSup>
                <m:e>
                  <m:d>
                    <m:dPr>
                      <m:begChr m:val="|"/>
                      <m:endChr m:val="|"/>
                      <m:sepChr m:val=""/>
                      <m:grow/>
                    </m:dPr>
                    <m:e>
                      <m:acc>
                        <m:accPr>
                          <m:chr m:val="⃗"/>
                        </m:accPr>
                        <m:e>
                          <m:r>
                            <m:t>r</m:t>
                          </m:r>
                        </m:e>
                      </m:acc>
                      <m:r>
                        <m:rPr>
                          <m:sty m:val="p"/>
                        </m:rPr>
                        <m:t>−</m:t>
                      </m:r>
                      <m:acc>
                        <m:accPr>
                          <m:chr m:val="⃗"/>
                        </m:accPr>
                        <m:e>
                          <m:sSub>
                            <m:e>
                              <m:r>
                                <m:t>r</m:t>
                              </m:r>
                            </m:e>
                            <m:sub>
                              <m:r>
                                <m:t>0</m:t>
                              </m:r>
                            </m:sub>
                          </m:sSub>
                        </m:e>
                      </m:acc>
                    </m:e>
                  </m:d>
                </m:e>
                <m:sup>
                  <m:r>
                    <m:t>3</m:t>
                  </m:r>
                </m:sup>
              </m:sSup>
            </m:den>
          </m:f>
          <m:r>
            <m:rPr>
              <m:sty m:val="p"/>
            </m:rPr>
            <m:t>,</m:t>
          </m:r>
          <m:r>
            <m:t> </m:t>
          </m:r>
          <m:r>
            <m:rPr>
              <m:nor/>
              <m:sty m:val="p"/>
            </m:rPr>
            <m:t>(1.1)</m:t>
          </m:r>
        </m:oMath>
      </m:oMathPara>
    </w:p>
    <w:p>
      <w:pPr>
        <w:pStyle w:val="FirstParagraph"/>
      </w:pPr>
      <w:r>
        <w:t xml:space="preserve">donde</w:t>
      </w:r>
      <w:r>
        <w:t xml:space="preserve"> </w:t>
      </w:r>
      <m:oMath>
        <m:sSub>
          <m:e>
            <m:r>
              <m:t>μ</m:t>
            </m:r>
          </m:e>
          <m:sub>
            <m:r>
              <m:t>0</m:t>
            </m:r>
          </m:sub>
        </m:sSub>
        <m:r>
          <m:rPr>
            <m:sty m:val="p"/>
          </m:rPr>
          <m:t>=</m:t>
        </m:r>
      </m:oMath>
      <w:r>
        <w:t xml:space="preserve"> </w:t>
      </w:r>
      <m:oMath>
        <m:r>
          <m:t>4</m:t>
        </m:r>
        <m:r>
          <m:t>π</m:t>
        </m:r>
        <m:r>
          <m:rPr>
            <m:sty m:val="p"/>
          </m:rPr>
          <m:t>⋅</m:t>
        </m:r>
        <m:sSup>
          <m:e>
            <m:r>
              <m:t>10</m:t>
            </m:r>
          </m:e>
          <m:sup>
            <m:r>
              <m:rPr>
                <m:sty m:val="p"/>
              </m:rPr>
              <m:t>−</m:t>
            </m:r>
            <m:r>
              <m:t>7</m:t>
            </m:r>
          </m:sup>
        </m:sSup>
      </m:oMath>
      <w:r>
        <w:t xml:space="preserve"> </w:t>
      </w:r>
      <m:oMath>
        <m:r>
          <m:t> </m:t>
        </m:r>
        <m:r>
          <m:t> </m:t>
        </m:r>
        <m:r>
          <m:rPr>
            <m:sty m:val="p"/>
          </m:rPr>
          <m:t>T</m:t>
        </m:r>
        <m:r>
          <m:rPr>
            <m:sty m:val="p"/>
          </m:rPr>
          <m:t>⋅</m:t>
        </m:r>
        <m:r>
          <m:t> </m:t>
        </m:r>
        <m:r>
          <m:t> </m:t>
        </m:r>
        <m:r>
          <m:rPr>
            <m:sty m:val="p"/>
          </m:rPr>
          <m:t>m</m:t>
        </m:r>
        <m:r>
          <m:rPr>
            <m:sty m:val="p"/>
          </m:rPr>
          <m:t>⋅</m:t>
        </m:r>
        <m:r>
          <m:t> </m:t>
        </m:r>
        <m:r>
          <m:t> </m:t>
        </m:r>
        <m:sSup>
          <m:e>
            <m:r>
              <m:rPr>
                <m:sty m:val="p"/>
              </m:rPr>
              <m:t>A</m:t>
            </m:r>
          </m:e>
          <m:sup>
            <m:r>
              <m:rPr>
                <m:sty m:val="p"/>
              </m:rPr>
              <m:t>−</m:t>
            </m:r>
            <m:r>
              <m:t>1</m:t>
            </m:r>
          </m:sup>
        </m:sSup>
      </m:oMath>
      <w:r>
        <w:t xml:space="preserve"> </w:t>
      </w:r>
      <w:r>
        <w:t xml:space="preserve">es la</w:t>
      </w:r>
      <w:r>
        <w:t xml:space="preserve"> </w:t>
      </w:r>
      <w:r>
        <w:rPr>
          <w:iCs/>
          <w:i/>
        </w:rPr>
        <w:t xml:space="preserve">permeabilidad del vacío</w:t>
      </w:r>
      <w:r>
        <w:t xml:space="preserve">,</w:t>
      </w:r>
      <w:r>
        <w:t xml:space="preserve"> </w:t>
      </w:r>
      <m:oMath>
        <m:acc>
          <m:accPr>
            <m:chr m:val="⃗"/>
          </m:accPr>
          <m:e>
            <m:r>
              <m:t>r</m:t>
            </m:r>
          </m:e>
        </m:acc>
      </m:oMath>
      <w:r>
        <w:t xml:space="preserve"> </w:t>
      </w:r>
      <w:r>
        <w:t xml:space="preserve">es el</w:t>
      </w:r>
      <w:r>
        <w:t xml:space="preserve"> </w:t>
      </w:r>
      <w:r>
        <w:t xml:space="preserve">vector de posición del punto del espacio donde se calcula el campo,</w:t>
      </w:r>
      <w:r>
        <w:t xml:space="preserve"> </w:t>
      </w:r>
      <m:oMath>
        <m:acc>
          <m:accPr>
            <m:chr m:val="⃗"/>
          </m:accPr>
          <m:e>
            <m:sSub>
              <m:e>
                <m:r>
                  <m:t>r</m:t>
                </m:r>
              </m:e>
              <m:sub>
                <m:r>
                  <m:t>0</m:t>
                </m:r>
              </m:sub>
            </m:sSub>
          </m:e>
        </m:acc>
      </m:oMath>
      <w:r>
        <w:t xml:space="preserve"> </w:t>
      </w:r>
      <w:r>
        <w:t xml:space="preserve">es un punto genérico del filamento de corriente</w:t>
      </w:r>
      <w:r>
        <w:t xml:space="preserve"> </w:t>
      </w:r>
      <w:r>
        <w:t xml:space="preserve">y</w:t>
      </w:r>
      <w:r>
        <w:t xml:space="preserve"> </w:t>
      </w:r>
      <m:oMath>
        <m:acc>
          <m:accPr>
            <m:chr m:val="⃗"/>
          </m:accPr>
          <m:e>
            <m:r>
              <m:t>d</m:t>
            </m:r>
            <m:r>
              <m:t>j</m:t>
            </m:r>
          </m:e>
        </m:acc>
        <m:r>
          <m:rPr>
            <m:sty m:val="p"/>
          </m:rPr>
          <m:t>=</m:t>
        </m:r>
        <m:r>
          <m:t>I</m:t>
        </m:r>
        <m:acc>
          <m:accPr>
            <m:chr m:val="⃗"/>
          </m:accPr>
          <m:e>
            <m:r>
              <m:t>d</m:t>
            </m:r>
            <m:r>
              <m:t>l</m:t>
            </m:r>
          </m:e>
        </m:acc>
      </m:oMath>
      <w:r>
        <w:t xml:space="preserve"> </w:t>
      </w:r>
      <w:r>
        <w:t xml:space="preserve">es el vector</w:t>
      </w:r>
      <w:r>
        <w:t xml:space="preserve"> </w:t>
      </w:r>
      <w:r>
        <w:rPr>
          <w:iCs/>
          <w:i/>
        </w:rPr>
        <w:t xml:space="preserve">elemento de</w:t>
      </w:r>
      <w:r>
        <w:rPr>
          <w:iCs/>
          <w:i/>
        </w:rPr>
        <w:t xml:space="preserve"> </w:t>
      </w:r>
      <w:r>
        <w:rPr>
          <w:iCs/>
          <w:i/>
        </w:rPr>
        <w:t xml:space="preserve">corriente</w:t>
      </w:r>
      <w:r>
        <w:t xml:space="preserve"> </w:t>
      </w:r>
      <w:r>
        <w:t xml:space="preserve">por el filamento, en el cuál</w:t>
      </w:r>
      <w:r>
        <w:t xml:space="preserve"> </w:t>
      </w:r>
      <m:oMath>
        <m:r>
          <m:t>I</m:t>
        </m:r>
      </m:oMath>
      <w:r>
        <w:t xml:space="preserve"> </w:t>
      </w:r>
      <w:r>
        <w:t xml:space="preserve">es la corriente eléctrica</w:t>
      </w:r>
      <w:r>
        <w:t xml:space="preserve"> </w:t>
      </w:r>
      <w:r>
        <w:t xml:space="preserve">que circula a lo largo del filamento, y</w:t>
      </w:r>
      <w:r>
        <w:t xml:space="preserve"> </w:t>
      </w:r>
      <m:oMath>
        <m:acc>
          <m:accPr>
            <m:chr m:val="⃗"/>
          </m:accPr>
          <m:e>
            <m:r>
              <m:t>d</m:t>
            </m:r>
            <m:r>
              <m:t>l</m:t>
            </m:r>
          </m:e>
        </m:acc>
      </m:oMath>
      <w:r>
        <w:t xml:space="preserve"> </w:t>
      </w:r>
      <w:r>
        <w:t xml:space="preserve">es el vector</w:t>
      </w:r>
      <w:r>
        <w:t xml:space="preserve"> </w:t>
      </w:r>
      <w:r>
        <w:t xml:space="preserve">desplazamiento de la corriente, calculado en el punto genérico</w:t>
      </w:r>
      <w:r>
        <w:t xml:space="preserve"> </w:t>
      </w:r>
      <m:oMath>
        <m:acc>
          <m:accPr>
            <m:chr m:val="⃗"/>
          </m:accPr>
          <m:e>
            <m:sSub>
              <m:e>
                <m:r>
                  <m:t>r</m:t>
                </m:r>
              </m:e>
              <m:sub>
                <m:r>
                  <m:t>0</m:t>
                </m:r>
              </m:sub>
            </m:sSub>
          </m:e>
        </m:acc>
      </m:oMath>
      <w:r>
        <w:t xml:space="preserve">.</w:t>
      </w:r>
    </w:p>
    <w:p>
      <w:pPr>
        <w:pStyle w:val="BodyText"/>
      </w:pPr>
      <w:r>
        <w:t xml:space="preserve">La bobina se puede considerar como una espira circular de radio</w:t>
      </w:r>
      <w:r>
        <w:t xml:space="preserve"> </w:t>
      </w:r>
      <m:oMath>
        <m:r>
          <m:t>R</m:t>
        </m:r>
      </m:oMath>
      <w:r>
        <w:t xml:space="preserve">, con</w:t>
      </w:r>
      <w:r>
        <w:t xml:space="preserve"> </w:t>
      </w:r>
      <m:oMath>
        <m:r>
          <m:t>N</m:t>
        </m:r>
      </m:oMath>
      <w:r>
        <w:t xml:space="preserve"> </w:t>
      </w:r>
      <w:r>
        <w:t xml:space="preserve">vueltas, por la cuál circula una intensidad de corriente</w:t>
      </w:r>
      <w:r>
        <w:t xml:space="preserve"> </w:t>
      </w:r>
      <m:oMath>
        <m:r>
          <m:t>I</m:t>
        </m:r>
      </m:oMath>
      <w:r>
        <w:t xml:space="preserve">. Seguidamente, usaremos la ley de Biot-Savart para calcular el campo producido por la bobina. Para ello, elegimos un sistema de coordenadas como sigue. El eje común de las bobinas se toma como eje</w:t>
      </w:r>
      <w:r>
        <w:t xml:space="preserve"> </w:t>
      </w:r>
      <m:oMath>
        <m:r>
          <m:t>z</m:t>
        </m:r>
      </m:oMath>
      <w:r>
        <w:t xml:space="preserve">, de tal manera que el centro de la bobina está en</w:t>
      </w:r>
      <w:r>
        <w:t xml:space="preserve"> </w:t>
      </w:r>
      <m:oMath>
        <m:r>
          <m:t>z</m:t>
        </m:r>
        <m:r>
          <m:rPr>
            <m:sty m:val="p"/>
          </m:rPr>
          <m:t>=</m:t>
        </m:r>
        <m:r>
          <m:t>0</m:t>
        </m:r>
      </m:oMath>
      <w:r>
        <w:t xml:space="preserve">. La corriente</w:t>
      </w:r>
      <w:r>
        <w:t xml:space="preserve"> </w:t>
      </w:r>
      <m:oMath>
        <m:r>
          <m:t>I</m:t>
        </m:r>
      </m:oMath>
      <w:r>
        <w:t xml:space="preserve"> </w:t>
      </w:r>
      <w:r>
        <w:t xml:space="preserve">circula por la bobina recorriendo en sentido antihorario un círculo de radio</w:t>
      </w:r>
      <w:r>
        <w:t xml:space="preserve"> </w:t>
      </w:r>
      <m:oMath>
        <m:r>
          <m:t>R</m:t>
        </m:r>
      </m:oMath>
      <w:r>
        <w:t xml:space="preserve"> </w:t>
      </w:r>
      <w:r>
        <w:t xml:space="preserve">en el plano</w:t>
      </w:r>
      <w:r>
        <w:t xml:space="preserve"> </w:t>
      </w:r>
      <m:oMath>
        <m:r>
          <m:t>z</m:t>
        </m:r>
        <m:r>
          <m:rPr>
            <m:sty m:val="p"/>
          </m:rPr>
          <m:t>=</m:t>
        </m:r>
        <m:r>
          <m:t>0</m:t>
        </m:r>
      </m:oMath>
      <w:r>
        <w:t xml:space="preserve">. El campo magnético sobre un punto cualquiera del espacio</w:t>
      </w:r>
      <w:r>
        <w:t xml:space="preserve"> </w:t>
      </w:r>
      <m:oMath>
        <m:acc>
          <m:accPr>
            <m:chr m:val="⃗"/>
          </m:accPr>
          <m:e>
            <m:r>
              <m:t>r</m:t>
            </m:r>
          </m:e>
        </m:acc>
        <m:r>
          <m:rPr>
            <m:sty m:val="p"/>
          </m:rPr>
          <m:t>=</m:t>
        </m:r>
        <m:r>
          <m:t>x</m:t>
        </m:r>
        <m:acc>
          <m:accPr>
            <m:chr m:val="⃗"/>
          </m:accPr>
          <m:e>
            <m:r>
              <m:t>i</m:t>
            </m:r>
          </m:e>
        </m:acc>
        <m:r>
          <m:rPr>
            <m:sty m:val="p"/>
          </m:rPr>
          <m:t>+</m:t>
        </m:r>
        <m:r>
          <m:t>y</m:t>
        </m:r>
        <m:acc>
          <m:accPr>
            <m:chr m:val="⃗"/>
          </m:accPr>
          <m:e>
            <m:r>
              <m:t>j</m:t>
            </m:r>
          </m:e>
        </m:acc>
        <m:r>
          <m:rPr>
            <m:sty m:val="p"/>
          </m:rPr>
          <m:t>+</m:t>
        </m:r>
        <m:r>
          <m:t>z</m:t>
        </m:r>
        <m:acc>
          <m:accPr>
            <m:chr m:val="⃗"/>
          </m:accPr>
          <m:e>
            <m:r>
              <m:t>k</m:t>
            </m:r>
          </m:e>
        </m:acc>
      </m:oMath>
      <w:r>
        <w:t xml:space="preserve"> </w:t>
      </w:r>
      <w:r>
        <w:t xml:space="preserve">resulta más sencillo si se utilizan</w:t>
      </w:r>
      <w:r>
        <w:t xml:space="preserve"> </w:t>
      </w:r>
      <w:r>
        <w:rPr>
          <w:iCs/>
          <w:i/>
        </w:rPr>
        <w:t xml:space="preserve">coordenadas cilíndricas</w:t>
      </w:r>
      <m:oMath>
        <m:d>
          <m:dPr>
            <m:begChr m:val="("/>
            <m:endChr m:val=")"/>
            <m:sepChr m:val=""/>
            <m:grow/>
          </m:dPr>
          <m:e>
            <m:r>
              <m:t>ρ</m:t>
            </m:r>
            <m:r>
              <m:rPr>
                <m:sty m:val="p"/>
              </m:rPr>
              <m:t>,</m:t>
            </m:r>
            <m:r>
              <m:t>θ</m:t>
            </m:r>
            <m:r>
              <m:rPr>
                <m:sty m:val="p"/>
              </m:rPr>
              <m:t>,</m:t>
            </m:r>
            <m:r>
              <m:t>z</m:t>
            </m:r>
          </m:e>
        </m:d>
      </m:oMath>
      <w:r>
        <w:t xml:space="preserve"> </w:t>
      </w:r>
      <w:r>
        <w:t xml:space="preserve">y sus respectivos vectores unitarios asociados</w:t>
      </w:r>
      <w:r>
        <w:t xml:space="preserve"> </w:t>
      </w:r>
      <m:oMath>
        <m:d>
          <m:dPr>
            <m:begChr m:val="("/>
            <m:endChr m:val=")"/>
            <m:sepChr m:val=""/>
            <m:grow/>
          </m:dPr>
          <m:e>
            <m:acc>
              <m:accPr>
                <m:chr m:val="⃗"/>
              </m:accPr>
              <m:e>
                <m:sSub>
                  <m:e>
                    <m:r>
                      <m:t>u</m:t>
                    </m:r>
                  </m:e>
                  <m:sub>
                    <m:r>
                      <m:t>ρ</m:t>
                    </m:r>
                  </m:sub>
                </m:sSub>
              </m:e>
            </m:acc>
            <m:r>
              <m:rPr>
                <m:sty m:val="p"/>
              </m:rPr>
              <m:t>,</m:t>
            </m:r>
            <m:acc>
              <m:accPr>
                <m:chr m:val="⃗"/>
              </m:accPr>
              <m:e>
                <m:sSub>
                  <m:e>
                    <m:r>
                      <m:t>u</m:t>
                    </m:r>
                  </m:e>
                  <m:sub>
                    <m:r>
                      <m:t>θ</m:t>
                    </m:r>
                  </m:sub>
                </m:sSub>
              </m:e>
            </m:acc>
            <m:r>
              <m:rPr>
                <m:sty m:val="p"/>
              </m:rPr>
              <m:t>,</m:t>
            </m:r>
            <m:acc>
              <m:accPr>
                <m:chr m:val="⃗"/>
              </m:accPr>
              <m:e>
                <m:sSub>
                  <m:e>
                    <m:r>
                      <m:t>u</m:t>
                    </m:r>
                  </m:e>
                  <m:sub>
                    <m:r>
                      <m:t>z</m:t>
                    </m:r>
                  </m:sub>
                </m:sSub>
              </m:e>
            </m:acc>
          </m:e>
        </m:d>
      </m:oMath>
      <w:r>
        <w:t xml:space="preserve"> </w:t>
      </w:r>
      <w:r>
        <w:t xml:space="preserve">tal como mostrado en la figura 1.1.</w:t>
      </w:r>
    </w:p>
    <w:p>
      <w:pPr>
        <w:pStyle w:val="CaptionedFigure"/>
      </w:pPr>
      <w:r>
        <w:drawing>
          <wp:inline>
            <wp:extent cx="1799999" cy="1774999"/>
            <wp:effectExtent b="0" l="0" r="0" t="0"/>
            <wp:docPr descr="" title="" id="22" name="Picture"/>
            <a:graphic>
              <a:graphicData uri="http://schemas.openxmlformats.org/drawingml/2006/picture">
                <pic:pic>
                  <pic:nvPicPr>
                    <pic:cNvPr descr="png/coordenadas_cilindricas.png" id="23" name="Picture"/>
                    <pic:cNvPicPr>
                      <a:picLocks noChangeArrowheads="1" noChangeAspect="1"/>
                    </pic:cNvPicPr>
                  </pic:nvPicPr>
                  <pic:blipFill>
                    <a:blip r:embed="rId21"/>
                    <a:stretch>
                      <a:fillRect/>
                    </a:stretch>
                  </pic:blipFill>
                  <pic:spPr bwMode="auto">
                    <a:xfrm>
                      <a:off x="0" y="0"/>
                      <a:ext cx="1799999" cy="1774999"/>
                    </a:xfrm>
                    <a:prstGeom prst="rect">
                      <a:avLst/>
                    </a:prstGeom>
                    <a:noFill/>
                    <a:ln w="9525">
                      <a:noFill/>
                      <a:headEnd/>
                      <a:tailEnd/>
                    </a:ln>
                  </pic:spPr>
                </pic:pic>
              </a:graphicData>
            </a:graphic>
          </wp:inline>
        </w:drawing>
      </w:r>
    </w:p>
    <w:p>
      <w:pPr>
        <w:pStyle w:val="ImageCaption"/>
      </w:pPr>
      <w:r>
        <w:t xml:space="preserve">Figura 1.1: Ejemplo de sistema de coordenadas cilíndricas.</w:t>
      </w:r>
    </w:p>
    <w:p>
      <w:pPr>
        <w:pStyle w:val="BodyText"/>
      </w:pPr>
      <w:r>
        <w:t xml:space="preserve">Con estas expresiones y usando argumentos de simetría, el campo magnético de la bobina resulta:</w:t>
      </w:r>
    </w:p>
    <w:p>
      <w:pPr>
        <w:pStyle w:val="BodyText"/>
      </w:pPr>
      <m:oMathPara>
        <m:oMathParaPr>
          <m:jc m:val="center"/>
        </m:oMathParaPr>
        <m:oMath>
          <m:acc>
            <m:accPr>
              <m:chr m:val="⃗"/>
            </m:accPr>
            <m:e>
              <m:r>
                <m:t>B</m:t>
              </m:r>
            </m:e>
          </m:acc>
          <m:d>
            <m:dPr>
              <m:begChr m:val="("/>
              <m:endChr m:val=")"/>
              <m:sepChr m:val=""/>
              <m:grow/>
            </m:dPr>
            <m:e>
              <m:r>
                <m:t>ρ</m:t>
              </m:r>
              <m:r>
                <m:rPr>
                  <m:sty m:val="p"/>
                </m:rPr>
                <m:t>,</m:t>
              </m:r>
              <m:r>
                <m:t>z</m:t>
              </m:r>
            </m:e>
          </m:d>
          <m:r>
            <m:rPr>
              <m:sty m:val="p"/>
            </m:rPr>
            <m:t>=</m:t>
          </m:r>
          <m:sSub>
            <m:e>
              <m:r>
                <m:t>B</m:t>
              </m:r>
            </m:e>
            <m:sub>
              <m:r>
                <m:t>ρ</m:t>
              </m:r>
            </m:sub>
          </m:sSub>
          <m:d>
            <m:dPr>
              <m:begChr m:val="("/>
              <m:endChr m:val=")"/>
              <m:sepChr m:val=""/>
              <m:grow/>
            </m:dPr>
            <m:e>
              <m:r>
                <m:t>ρ</m:t>
              </m:r>
              <m:r>
                <m:rPr>
                  <m:sty m:val="p"/>
                </m:rPr>
                <m:t>,</m:t>
              </m:r>
              <m:r>
                <m:t>z</m:t>
              </m:r>
            </m:e>
          </m:d>
          <m:acc>
            <m:accPr>
              <m:chr m:val="⃗"/>
            </m:accPr>
            <m:e>
              <m:sSub>
                <m:e>
                  <m:r>
                    <m:t>u</m:t>
                  </m:r>
                </m:e>
                <m:sub>
                  <m:r>
                    <m:t>ρ</m:t>
                  </m:r>
                </m:sub>
              </m:sSub>
            </m:e>
          </m:acc>
          <m:r>
            <m:rPr>
              <m:sty m:val="p"/>
            </m:rPr>
            <m:t>+</m:t>
          </m:r>
          <m:sSub>
            <m:e>
              <m:r>
                <m:t>B</m:t>
              </m:r>
            </m:e>
            <m:sub>
              <m:r>
                <m:t>θ</m:t>
              </m:r>
            </m:sub>
          </m:sSub>
          <m:d>
            <m:dPr>
              <m:begChr m:val="("/>
              <m:endChr m:val=")"/>
              <m:sepChr m:val=""/>
              <m:grow/>
            </m:dPr>
            <m:e>
              <m:r>
                <m:t>ρ</m:t>
              </m:r>
              <m:r>
                <m:rPr>
                  <m:sty m:val="p"/>
                </m:rPr>
                <m:t>,</m:t>
              </m:r>
              <m:r>
                <m:t>z</m:t>
              </m:r>
            </m:e>
          </m:d>
          <m:acc>
            <m:accPr>
              <m:chr m:val="⃗"/>
            </m:accPr>
            <m:e>
              <m:sSub>
                <m:e>
                  <m:r>
                    <m:t>u</m:t>
                  </m:r>
                </m:e>
                <m:sub>
                  <m:r>
                    <m:t>θ</m:t>
                  </m:r>
                </m:sub>
              </m:sSub>
            </m:e>
          </m:acc>
          <m:r>
            <m:rPr>
              <m:sty m:val="p"/>
            </m:rPr>
            <m:t>+</m:t>
          </m:r>
          <m:sSub>
            <m:e>
              <m:r>
                <m:t>B</m:t>
              </m:r>
            </m:e>
            <m:sub>
              <m:r>
                <m:t>z</m:t>
              </m:r>
            </m:sub>
          </m:sSub>
          <m:d>
            <m:dPr>
              <m:begChr m:val="("/>
              <m:endChr m:val=")"/>
              <m:sepChr m:val=""/>
              <m:grow/>
            </m:dPr>
            <m:e>
              <m:r>
                <m:t>ρ</m:t>
              </m:r>
              <m:r>
                <m:rPr>
                  <m:sty m:val="p"/>
                </m:rPr>
                <m:t>,</m:t>
              </m:r>
              <m:r>
                <m:t>z</m:t>
              </m:r>
            </m:e>
          </m:d>
          <m:acc>
            <m:accPr>
              <m:chr m:val="⃗"/>
            </m:accPr>
            <m:e>
              <m:sSub>
                <m:e>
                  <m:r>
                    <m:t>u</m:t>
                  </m:r>
                </m:e>
                <m:sub>
                  <m:r>
                    <m:t>z</m:t>
                  </m:r>
                </m:sub>
              </m:sSub>
            </m:e>
          </m:acc>
          <m:r>
            <m:rPr>
              <m:sty m:val="p"/>
            </m:rPr>
            <m:t>,</m:t>
          </m:r>
          <m:r>
            <m:t> </m:t>
          </m:r>
          <m:r>
            <m:rPr>
              <m:nor/>
              <m:sty m:val="p"/>
            </m:rPr>
            <m:t>(1.2)</m:t>
          </m:r>
        </m:oMath>
      </m:oMathPara>
    </w:p>
    <w:p>
      <w:pPr>
        <w:pStyle w:val="FirstParagraph"/>
      </w:pPr>
      <w:r>
        <w:t xml:space="preserve">es decir,</w:t>
      </w:r>
      <w:r>
        <w:t xml:space="preserve"> </w:t>
      </w:r>
      <w:r>
        <w:rPr>
          <w:iCs/>
          <w:i/>
        </w:rPr>
        <w:t xml:space="preserve">el campo no depende de la coordenada</w:t>
      </w:r>
      <w:r>
        <w:t xml:space="preserve"> </w:t>
      </w:r>
      <m:oMath>
        <m:r>
          <m:t>θ</m:t>
        </m:r>
      </m:oMath>
      <w:r>
        <w:t xml:space="preserve">. Una</w:t>
      </w:r>
      <w:r>
        <w:t xml:space="preserve"> </w:t>
      </w:r>
      <w:r>
        <w:t xml:space="preserve">simplificación considerable ocurre cuando consideramos el</w:t>
      </w:r>
      <w:r>
        <w:t xml:space="preserve"> </w:t>
      </w:r>
      <w:r>
        <w:rPr>
          <w:iCs/>
          <w:i/>
        </w:rPr>
        <w:t xml:space="preserve">campo en</w:t>
      </w:r>
      <w:r>
        <w:rPr>
          <w:iCs/>
          <w:i/>
        </w:rPr>
        <w:t xml:space="preserve"> </w:t>
      </w:r>
      <w:r>
        <w:rPr>
          <w:iCs/>
          <w:i/>
        </w:rPr>
        <w:t xml:space="preserve">el eje de la bobina</w:t>
      </w:r>
      <w:r>
        <w:t xml:space="preserve">, es decir, cuando</w:t>
      </w:r>
      <w:r>
        <w:t xml:space="preserve"> </w:t>
      </w:r>
      <m:oMath>
        <m:r>
          <m:t>ρ</m:t>
        </m:r>
        <m:r>
          <m:rPr>
            <m:sty m:val="p"/>
          </m:rPr>
          <m:t>=</m:t>
        </m:r>
        <m:r>
          <m:t>0</m:t>
        </m:r>
      </m:oMath>
      <w:r>
        <w:t xml:space="preserve">. Entonces,</w:t>
      </w:r>
    </w:p>
    <w:p>
      <w:pPr>
        <w:pStyle w:val="BodyText"/>
      </w:pPr>
      <m:oMathPara>
        <m:oMathParaPr>
          <m:jc m:val="center"/>
        </m:oMathParaPr>
        <m:oMath>
          <m:sSub>
            <m:e>
              <m:r>
                <m:t>B</m:t>
              </m:r>
            </m:e>
            <m:sub>
              <m:r>
                <m:t>ρ</m:t>
              </m:r>
            </m:sub>
          </m:sSub>
          <m:d>
            <m:dPr>
              <m:begChr m:val="("/>
              <m:endChr m:val=")"/>
              <m:sepChr m:val=""/>
              <m:grow/>
            </m:dPr>
            <m:e>
              <m:r>
                <m:t>z</m:t>
              </m:r>
            </m:e>
          </m:d>
          <m:r>
            <m:rPr>
              <m:sty m:val="p"/>
            </m:rPr>
            <m:t>=</m:t>
          </m:r>
          <m:r>
            <m:t>0</m:t>
          </m:r>
          <m:r>
            <m:rPr>
              <m:sty m:val="p"/>
            </m:rPr>
            <m:t>,</m:t>
          </m:r>
          <m:r>
            <m:rPr>
              <m:nor/>
              <m:sty m:val="p"/>
            </m:rPr>
            <m:t>   </m:t>
          </m:r>
          <m:sSub>
            <m:e>
              <m:r>
                <m:t>B</m:t>
              </m:r>
            </m:e>
            <m:sub>
              <m:r>
                <m:t>z</m:t>
              </m:r>
            </m:sub>
          </m:sSub>
          <m:d>
            <m:dPr>
              <m:begChr m:val="("/>
              <m:endChr m:val=")"/>
              <m:sepChr m:val=""/>
              <m:grow/>
            </m:dPr>
            <m:e>
              <m:r>
                <m:t>z</m:t>
              </m:r>
            </m:e>
          </m:d>
          <m:r>
            <m:rPr>
              <m:sty m:val="p"/>
            </m:rPr>
            <m:t>=</m:t>
          </m:r>
          <m:f>
            <m:fPr>
              <m:type m:val="bar"/>
            </m:fPr>
            <m:num>
              <m:sSub>
                <m:e>
                  <m:r>
                    <m:t>μ</m:t>
                  </m:r>
                </m:e>
                <m:sub>
                  <m:r>
                    <m:t>0</m:t>
                  </m:r>
                </m:sub>
              </m:sSub>
              <m:r>
                <m:t>N</m:t>
              </m:r>
              <m:r>
                <m:t>I</m:t>
              </m:r>
              <m:sSup>
                <m:e>
                  <m:r>
                    <m:t>R</m:t>
                  </m:r>
                </m:e>
                <m:sup>
                  <m:r>
                    <m:t>2</m:t>
                  </m:r>
                </m:sup>
              </m:sSup>
            </m:num>
            <m:den>
              <m:r>
                <m:t>2</m:t>
              </m:r>
            </m:den>
          </m:f>
          <m:f>
            <m:fPr>
              <m:type m:val="bar"/>
            </m:fPr>
            <m:num>
              <m:r>
                <m:t>1</m:t>
              </m:r>
            </m:num>
            <m:den>
              <m:sSup>
                <m:e>
                  <m:d>
                    <m:dPr>
                      <m:begChr m:val="("/>
                      <m:endChr m:val=")"/>
                      <m:sepChr m:val=""/>
                      <m:grow/>
                    </m:dPr>
                    <m:e>
                      <m:sSup>
                        <m:e>
                          <m:r>
                            <m:t>z</m:t>
                          </m:r>
                        </m:e>
                        <m:sup>
                          <m:r>
                            <m:t>2</m:t>
                          </m:r>
                        </m:sup>
                      </m:sSup>
                      <m:r>
                        <m:rPr>
                          <m:sty m:val="p"/>
                        </m:rPr>
                        <m:t>+</m:t>
                      </m:r>
                      <m:sSup>
                        <m:e>
                          <m:r>
                            <m:t>R</m:t>
                          </m:r>
                        </m:e>
                        <m:sup>
                          <m:r>
                            <m:t>2</m:t>
                          </m:r>
                        </m:sup>
                      </m:sSup>
                    </m:e>
                  </m:d>
                </m:e>
                <m:sup>
                  <m:r>
                    <m:t>3</m:t>
                  </m:r>
                  <m:r>
                    <m:rPr>
                      <m:sty m:val="p"/>
                    </m:rPr>
                    <m:t>/</m:t>
                  </m:r>
                  <m:r>
                    <m:t>2</m:t>
                  </m:r>
                </m:sup>
              </m:sSup>
            </m:den>
          </m:f>
          <m:r>
            <m:rPr>
              <m:sty m:val="p"/>
            </m:rPr>
            <m:t>,</m:t>
          </m:r>
          <m:r>
            <m:t> </m:t>
          </m:r>
          <m:r>
            <m:rPr>
              <m:nor/>
              <m:sty m:val="p"/>
            </m:rPr>
            <m:t>(1.3)</m:t>
          </m:r>
        </m:oMath>
      </m:oMathPara>
    </w:p>
    <w:bookmarkEnd w:id="24"/>
    <w:bookmarkStart w:id="31" w:name="montaje-experimental"/>
    <w:p>
      <w:pPr>
        <w:pStyle w:val="Heading2"/>
      </w:pPr>
      <w:r>
        <w:t xml:space="preserve">Montaje experimental</w:t>
      </w:r>
    </w:p>
    <w:p>
      <w:pPr>
        <w:pStyle w:val="CaptionedFigure"/>
      </w:pPr>
      <w:r>
        <w:drawing>
          <wp:inline>
            <wp:extent cx="4768415" cy="3576311"/>
            <wp:effectExtent b="0" l="0" r="0" t="0"/>
            <wp:docPr descr="" title="" id="26" name="Picture"/>
            <a:graphic>
              <a:graphicData uri="http://schemas.openxmlformats.org/drawingml/2006/picture">
                <pic:pic>
                  <pic:nvPicPr>
                    <pic:cNvPr descr="figures/foto_CM.jpg" id="27" name="Picture"/>
                    <pic:cNvPicPr>
                      <a:picLocks noChangeArrowheads="1" noChangeAspect="1"/>
                    </pic:cNvPicPr>
                  </pic:nvPicPr>
                  <pic:blipFill>
                    <a:blip r:embed="rId25"/>
                    <a:stretch>
                      <a:fillRect/>
                    </a:stretch>
                  </pic:blipFill>
                  <pic:spPr bwMode="auto">
                    <a:xfrm>
                      <a:off x="0" y="0"/>
                      <a:ext cx="4768415" cy="3576311"/>
                    </a:xfrm>
                    <a:prstGeom prst="rect">
                      <a:avLst/>
                    </a:prstGeom>
                    <a:noFill/>
                    <a:ln w="9525">
                      <a:noFill/>
                      <a:headEnd/>
                      <a:tailEnd/>
                    </a:ln>
                  </pic:spPr>
                </pic:pic>
              </a:graphicData>
            </a:graphic>
          </wp:inline>
        </w:drawing>
      </w:r>
    </w:p>
    <w:p>
      <w:pPr>
        <w:pStyle w:val="ImageCaption"/>
      </w:pPr>
      <w:r>
        <w:t xml:space="preserve">Figura 1.2: Montaje experimental.</w:t>
      </w:r>
    </w:p>
    <w:p>
      <w:pPr>
        <w:pStyle w:val="BodyText"/>
      </w:pPr>
      <w:r>
        <w:t xml:space="preserve">El aspecto general del montaje es el de la figura 1.2. El sistema de referencia es como sigue. El origen está en el centro de la bobina. El eje</w:t>
      </w:r>
      <w:r>
        <w:t xml:space="preserve"> </w:t>
      </w:r>
      <m:oMath>
        <m:r>
          <m:t>z</m:t>
        </m:r>
      </m:oMath>
      <w:r>
        <w:t xml:space="preserve"> </w:t>
      </w:r>
      <w:r>
        <w:t xml:space="preserve">es el eje longitudinal perpendicular al plano de la bobina.</w:t>
      </w:r>
      <w:r>
        <w:t xml:space="preserve"> </w:t>
      </w:r>
      <w:r>
        <w:t xml:space="preserve">El campo magnético no depende del ángulo</w:t>
      </w:r>
      <w:r>
        <w:t xml:space="preserve"> </w:t>
      </w:r>
      <m:oMath>
        <m:r>
          <m:t>θ</m:t>
        </m:r>
      </m:oMath>
      <w:r>
        <w:t xml:space="preserve">, ni tiene componente</w:t>
      </w:r>
      <w:r>
        <w:t xml:space="preserve"> </w:t>
      </w:r>
      <m:oMath>
        <m:r>
          <m:t>θ</m:t>
        </m:r>
      </m:oMath>
      <w:r>
        <w:t xml:space="preserve">, así que se miden las componentes</w:t>
      </w:r>
      <w:r>
        <w:t xml:space="preserve"> </w:t>
      </w:r>
      <m:oMath>
        <m:sSub>
          <m:e>
            <m:r>
              <m:t>B</m:t>
            </m:r>
          </m:e>
          <m:sub>
            <m:r>
              <m:t>z</m:t>
            </m:r>
          </m:sub>
        </m:sSub>
        <m:d>
          <m:dPr>
            <m:begChr m:val="("/>
            <m:endChr m:val=")"/>
            <m:sepChr m:val=""/>
            <m:grow/>
          </m:dPr>
          <m:e>
            <m:r>
              <m:t>ρ</m:t>
            </m:r>
            <m:r>
              <m:rPr>
                <m:sty m:val="p"/>
              </m:rPr>
              <m:t>,</m:t>
            </m:r>
            <m:r>
              <m:t>z</m:t>
            </m:r>
          </m:e>
        </m:d>
      </m:oMath>
      <w:r>
        <w:t xml:space="preserve"> </w:t>
      </w:r>
      <w:r>
        <w:t xml:space="preserve">y</w:t>
      </w:r>
      <w:r>
        <w:t xml:space="preserve"> </w:t>
      </w:r>
      <m:oMath>
        <m:sSub>
          <m:e>
            <m:r>
              <m:t>B</m:t>
            </m:r>
          </m:e>
          <m:sub>
            <m:r>
              <m:t>ρ</m:t>
            </m:r>
          </m:sub>
        </m:sSub>
        <m:d>
          <m:dPr>
            <m:begChr m:val="("/>
            <m:endChr m:val=")"/>
            <m:sepChr m:val=""/>
            <m:grow/>
          </m:dPr>
          <m:e>
            <m:r>
              <m:t>ρ</m:t>
            </m:r>
            <m:r>
              <m:rPr>
                <m:sty m:val="p"/>
              </m:rPr>
              <m:t>,</m:t>
            </m:r>
            <m:r>
              <m:t>z</m:t>
            </m:r>
          </m:e>
        </m:d>
      </m:oMath>
      <w:r>
        <w:t xml:space="preserve">.</w:t>
      </w:r>
    </w:p>
    <w:p>
      <w:pPr>
        <w:pStyle w:val="BodyText"/>
      </w:pPr>
      <w:r>
        <w:t xml:space="preserve">La barra de la</w:t>
      </w:r>
      <w:r>
        <w:t xml:space="preserve"> </w:t>
      </w:r>
      <w:r>
        <w:rPr>
          <w:iCs/>
          <w:i/>
        </w:rPr>
        <w:t xml:space="preserve">sonda Hall</w:t>
      </w:r>
      <w:r>
        <w:t xml:space="preserve"> </w:t>
      </w:r>
      <w:r>
        <w:t xml:space="preserve">indica la dirección del campo que se está midiendo, esto es, hay que colocarla según el eje</w:t>
      </w:r>
      <w:r>
        <w:t xml:space="preserve"> </w:t>
      </w:r>
      <m:oMath>
        <m:r>
          <m:t>z</m:t>
        </m:r>
      </m:oMath>
      <w:r>
        <w:t xml:space="preserve"> </w:t>
      </w:r>
      <w:r>
        <w:t xml:space="preserve">si se quiere medir</w:t>
      </w:r>
      <w:r>
        <w:t xml:space="preserve"> </w:t>
      </w:r>
      <m:oMath>
        <m:sSub>
          <m:e>
            <m:r>
              <m:t>B</m:t>
            </m:r>
          </m:e>
          <m:sub>
            <m:r>
              <m:t>z</m:t>
            </m:r>
          </m:sub>
        </m:sSub>
      </m:oMath>
      <w:r>
        <w:t xml:space="preserve"> </w:t>
      </w:r>
      <w:r>
        <w:t xml:space="preserve">y según el eje</w:t>
      </w:r>
      <w:r>
        <w:t xml:space="preserve"> </w:t>
      </w:r>
      <m:oMath>
        <m:r>
          <m:t>ρ</m:t>
        </m:r>
      </m:oMath>
      <w:r>
        <w:t xml:space="preserve"> </w:t>
      </w:r>
      <w:r>
        <w:t xml:space="preserve">si se mide</w:t>
      </w:r>
      <w:r>
        <w:t xml:space="preserve"> </w:t>
      </w:r>
      <m:oMath>
        <m:sSub>
          <m:e>
            <m:r>
              <m:t>B</m:t>
            </m:r>
          </m:e>
          <m:sub>
            <m:r>
              <m:t>ρ</m:t>
            </m:r>
          </m:sub>
        </m:sSub>
      </m:oMath>
      <w:r>
        <w:t xml:space="preserve">. Para medir la componente</w:t>
      </w:r>
      <w:r>
        <w:t xml:space="preserve"> </w:t>
      </w:r>
      <m:oMath>
        <m:sSub>
          <m:e>
            <m:r>
              <m:t>B</m:t>
            </m:r>
          </m:e>
          <m:sub>
            <m:r>
              <m:t>z</m:t>
            </m:r>
          </m:sub>
        </m:sSub>
        <m:d>
          <m:dPr>
            <m:begChr m:val="("/>
            <m:endChr m:val=")"/>
            <m:sepChr m:val=""/>
            <m:grow/>
          </m:dPr>
          <m:e>
            <m:r>
              <m:t>ρ</m:t>
            </m:r>
            <m:r>
              <m:rPr>
                <m:sty m:val="p"/>
              </m:rPr>
              <m:t>=</m:t>
            </m:r>
            <m:r>
              <m:t>0</m:t>
            </m:r>
            <m:r>
              <m:rPr>
                <m:sty m:val="p"/>
              </m:rPr>
              <m:t>,</m:t>
            </m:r>
            <m:r>
              <m:t>z</m:t>
            </m:r>
          </m:e>
        </m:d>
      </m:oMath>
      <w:r>
        <w:t xml:space="preserve"> </w:t>
      </w:r>
      <w:r>
        <w:t xml:space="preserve">(ver Fig. 1.3.(a)), se ha de colocar la barra de la sonda a lo largo del eje</w:t>
      </w:r>
      <w:r>
        <w:t xml:space="preserve"> </w:t>
      </w:r>
      <m:oMath>
        <m:r>
          <m:t>z</m:t>
        </m:r>
      </m:oMath>
      <w:r>
        <w:t xml:space="preserve">, y de forma análoga para medir la componente</w:t>
      </w:r>
      <w:r>
        <w:t xml:space="preserve"> </w:t>
      </w:r>
      <m:oMath>
        <m:sSub>
          <m:e>
            <m:r>
              <m:t>B</m:t>
            </m:r>
          </m:e>
          <m:sub>
            <m:r>
              <m:t>ρ</m:t>
            </m:r>
          </m:sub>
        </m:sSub>
        <m:d>
          <m:dPr>
            <m:begChr m:val="("/>
            <m:endChr m:val=")"/>
            <m:sepChr m:val=""/>
            <m:grow/>
          </m:dPr>
          <m:e>
            <m:r>
              <m:t>ρ</m:t>
            </m:r>
            <m:r>
              <m:rPr>
                <m:sty m:val="p"/>
              </m:rPr>
              <m:t>,</m:t>
            </m:r>
            <m:r>
              <m:t>z</m:t>
            </m:r>
          </m:e>
        </m:d>
      </m:oMath>
      <w:r>
        <w:t xml:space="preserve"> </w:t>
      </w:r>
      <w:r>
        <w:t xml:space="preserve">se colocará la sonda según la dirección radial (ver Fig. 1.3.(b)). El extremo de la sonda indica el punto del espacio en el que queremos medir el campo magnético.</w:t>
      </w:r>
    </w:p>
    <w:p>
      <w:pPr>
        <w:pStyle w:val="BodyText"/>
      </w:pPr>
      <w:r>
        <w:t xml:space="preserve">Es importante calibrar la sonda Hall antes de cualquier medida. Se debe realizar la calibración en ausencia de campo magnético generado por las bobinas. Además, conviene tener en cuenta ciertas normas generales de seguridad. En general, los equipos de los laboratorios están preparados para su manejo por parte de los alumnos de las asignaturas de Física. Sin</w:t>
      </w:r>
      <w:r>
        <w:t xml:space="preserve"> </w:t>
      </w:r>
      <w:r>
        <w:t xml:space="preserve">embargo, en el caso de la bobina, la corriente que circula por la bobina no es pequeña. Es, pues, de sentido común reducir la corriente a cero cada vez que se vaya a manipular el circuito. Una vez elegido el montaje adecuado para la medición, se vuelve a introducir la corriente.</w:t>
      </w:r>
    </w:p>
    <w:p>
      <w:pPr>
        <w:pStyle w:val="CaptionedFigure"/>
      </w:pPr>
      <w:r>
        <w:drawing>
          <wp:inline>
            <wp:extent cx="5105134" cy="2879999"/>
            <wp:effectExtent b="0" l="0" r="0" t="0"/>
            <wp:docPr descr="" title="" id="29" name="Picture"/>
            <a:graphic>
              <a:graphicData uri="http://schemas.openxmlformats.org/drawingml/2006/picture">
                <pic:pic>
                  <pic:nvPicPr>
                    <pic:cNvPr descr="png/sonda_CM.png" id="30" name="Picture"/>
                    <pic:cNvPicPr>
                      <a:picLocks noChangeArrowheads="1" noChangeAspect="1"/>
                    </pic:cNvPicPr>
                  </pic:nvPicPr>
                  <pic:blipFill>
                    <a:blip r:embed="rId28"/>
                    <a:stretch>
                      <a:fillRect/>
                    </a:stretch>
                  </pic:blipFill>
                  <pic:spPr bwMode="auto">
                    <a:xfrm>
                      <a:off x="0" y="0"/>
                      <a:ext cx="5105134" cy="2879999"/>
                    </a:xfrm>
                    <a:prstGeom prst="rect">
                      <a:avLst/>
                    </a:prstGeom>
                    <a:noFill/>
                    <a:ln w="9525">
                      <a:noFill/>
                      <a:headEnd/>
                      <a:tailEnd/>
                    </a:ln>
                  </pic:spPr>
                </pic:pic>
              </a:graphicData>
            </a:graphic>
          </wp:inline>
        </w:drawing>
      </w:r>
    </w:p>
    <w:p>
      <w:pPr>
        <w:pStyle w:val="ImageCaption"/>
      </w:pPr>
      <w:r>
        <w:t xml:space="preserve">Figura 1.3: Medida de las componentes del campo magnético con una sonda Hall.</w:t>
      </w:r>
    </w:p>
    <w:bookmarkEnd w:id="31"/>
    <w:bookmarkStart w:id="32" w:name="resultados"/>
    <w:p>
      <w:pPr>
        <w:pStyle w:val="Heading2"/>
      </w:pPr>
      <w:r>
        <w:t xml:space="preserve">Resultados</w:t>
      </w:r>
    </w:p>
    <w:p>
      <w:pPr>
        <w:pStyle w:val="FirstParagraph"/>
      </w:pPr>
      <w:r>
        <w:t xml:space="preserve">Medir el diámetro de la bobina</w:t>
      </w:r>
      <w:r>
        <w:t xml:space="preserve"> </w:t>
      </w:r>
      <m:oMath>
        <m:r>
          <m:t>2</m:t>
        </m:r>
        <m:r>
          <m:t>R</m:t>
        </m:r>
      </m:oMath>
      <w:r>
        <w:t xml:space="preserve">. Alimentar la bobina con una intensidad</w:t>
      </w:r>
      <w:r>
        <w:t xml:space="preserve"> </w:t>
      </w:r>
      <m:oMath>
        <m:r>
          <m:t>I</m:t>
        </m:r>
        <m:r>
          <m:rPr>
            <m:sty m:val="p"/>
          </m:rPr>
          <m:t>=</m:t>
        </m:r>
        <m:r>
          <m:t>2</m:t>
        </m:r>
        <m:r>
          <m:t> </m:t>
        </m:r>
        <m:r>
          <m:t> </m:t>
        </m:r>
        <m:r>
          <m:rPr>
            <m:sty m:val="p"/>
          </m:rPr>
          <m:t>A</m:t>
        </m:r>
      </m:oMath>
      <w:r>
        <w:t xml:space="preserve">. El número de vueltas de la bobina es</w:t>
      </w:r>
      <w:r>
        <w:t xml:space="preserve"> </w:t>
      </w:r>
      <m:oMath>
        <m:r>
          <m:t>N</m:t>
        </m:r>
        <m:r>
          <m:rPr>
            <m:sty m:val="p"/>
          </m:rPr>
          <m:t>=</m:t>
        </m:r>
        <m:r>
          <m:t>100</m:t>
        </m:r>
      </m:oMath>
      <w:r>
        <w:t xml:space="preserve">. Para la corriente anterior, se van a tomar 20 medidas de la componentes axial (</w:t>
      </w:r>
      <m:oMath>
        <m:sSub>
          <m:e>
            <m:r>
              <m:t>B</m:t>
            </m:r>
          </m:e>
          <m:sub>
            <m:r>
              <m:t>z</m:t>
            </m:r>
          </m:sub>
        </m:sSub>
      </m:oMath>
      <w:r>
        <w:t xml:space="preserve">) del campo para</w:t>
      </w:r>
      <w:r>
        <w:t xml:space="preserve"> </w:t>
      </w:r>
      <m:oMath>
        <m:r>
          <m:t>ρ</m:t>
        </m:r>
        <m:r>
          <m:rPr>
            <m:sty m:val="p"/>
          </m:rPr>
          <m:t>=</m:t>
        </m:r>
        <m:r>
          <m:t>0</m:t>
        </m:r>
      </m:oMath>
      <w:r>
        <w:t xml:space="preserve"> </w:t>
      </w:r>
      <w:r>
        <w:t xml:space="preserve">m entre</w:t>
      </w:r>
      <w:r>
        <w:t xml:space="preserve"> </w:t>
      </w:r>
      <m:oMath>
        <m:r>
          <m:t>z</m:t>
        </m:r>
        <m:r>
          <m:rPr>
            <m:sty m:val="p"/>
          </m:rPr>
          <m:t>=</m:t>
        </m:r>
        <m:r>
          <m:t>0</m:t>
        </m:r>
      </m:oMath>
      <w:r>
        <w:t xml:space="preserve"> </w:t>
      </w:r>
      <w:r>
        <w:t xml:space="preserve">cm y</w:t>
      </w:r>
      <w:r>
        <w:t xml:space="preserve"> </w:t>
      </w:r>
      <m:oMath>
        <m:r>
          <m:t>z</m:t>
        </m:r>
        <m:r>
          <m:rPr>
            <m:sty m:val="p"/>
          </m:rPr>
          <m:t>=</m:t>
        </m:r>
        <m:r>
          <m:t>20</m:t>
        </m:r>
        <m:r>
          <m:t> </m:t>
        </m:r>
      </m:oMath>
      <w:r>
        <w:t xml:space="preserve">cm.</w:t>
      </w:r>
    </w:p>
    <w:p>
      <w:pPr>
        <w:numPr>
          <w:ilvl w:val="0"/>
          <w:numId w:val="1001"/>
        </w:numPr>
      </w:pPr>
      <w:r>
        <w:t xml:space="preserve">Medir el campo</w:t>
      </w:r>
      <w:r>
        <w:t xml:space="preserve"> </w:t>
      </w:r>
      <m:oMath>
        <m:sSub>
          <m:e>
            <m:r>
              <m:t>B</m:t>
            </m:r>
          </m:e>
          <m:sub>
            <m:r>
              <m:t>z</m:t>
            </m:r>
          </m:sub>
        </m:sSub>
        <m:d>
          <m:dPr>
            <m:begChr m:val="("/>
            <m:endChr m:val=")"/>
            <m:sepChr m:val=""/>
            <m:grow/>
          </m:dPr>
          <m:e>
            <m:r>
              <m:t>z</m:t>
            </m:r>
            <m:r>
              <m:rPr>
                <m:sty m:val="p"/>
              </m:rPr>
              <m:t>,</m:t>
            </m:r>
            <m:r>
              <m:t>0</m:t>
            </m:r>
          </m:e>
        </m:d>
      </m:oMath>
      <w:r>
        <w:t xml:space="preserve">.</w:t>
      </w:r>
    </w:p>
    <w:tbl>
      <w:tblPr>
        <w:tblStyle w:val="Table"/>
        <w:tblW w:type="auto" w:w="0"/>
        <w:tblLook w:firstRow="1" w:lastRow="0" w:firstColumn="0" w:lastColumn="0" w:noHBand="0" w:noVBand="0" w:val="0020"/>
        <w:jc w:val="start"/>
        <w:tblInd w:w="720" w:type="dxa"/>
        <w:tblLayout w:type="fixed"/>
      </w:tblPr>
      <w:tblGrid>
        <w:gridCol w:w="3896"/>
        <w:gridCol w:w="5454"/>
      </w:tblGrid>
      <w:tr>
        <w:trPr>
          <w:tblHeader w:val="true"/>
        </w:trPr>
        <w:tc>
          <w:tcPr/>
          <w:p>
            <w:pPr>
              <w:pStyle w:val="Compact"/>
              <w:jc w:val="left"/>
            </w:pPr>
            <m:oMath>
              <m:r>
                <m:t>z</m:t>
              </m:r>
              <m:d>
                <m:dPr>
                  <m:begChr m:val="("/>
                  <m:endChr m:val=")"/>
                  <m:sepChr m:val=""/>
                  <m:grow/>
                </m:dPr>
                <m:e>
                  <m:r>
                    <m:rPr>
                      <m:sty m:val="p"/>
                    </m:rPr>
                    <m:t>±</m:t>
                  </m:r>
                  <m:sSub>
                    <m:e>
                      <m:r>
                        <m:t>ε</m:t>
                      </m:r>
                    </m:e>
                    <m:sub>
                      <m:r>
                        <m:t>z</m:t>
                      </m:r>
                    </m:sub>
                  </m:sSub>
                </m:e>
              </m:d>
            </m:oMath>
          </w:p>
        </w:tc>
        <w:tc>
          <w:tcPr/>
          <w:p>
            <w:pPr>
              <w:pStyle w:val="Compact"/>
              <w:jc w:val="left"/>
            </w:pPr>
            <m:oMath>
              <m:sSub>
                <m:e>
                  <m:r>
                    <m:t>B</m:t>
                  </m:r>
                </m:e>
                <m:sub>
                  <m:r>
                    <m:t>z</m:t>
                  </m:r>
                </m:sub>
              </m:sSub>
              <m:d>
                <m:dPr>
                  <m:begChr m:val="("/>
                  <m:endChr m:val=")"/>
                  <m:sepChr m:val=""/>
                  <m:grow/>
                </m:dPr>
                <m:e>
                  <m:r>
                    <m:rPr>
                      <m:sty m:val="p"/>
                    </m:rPr>
                    <m:t>±</m:t>
                  </m:r>
                  <m:sSub>
                    <m:e>
                      <m:r>
                        <m:t>ε</m:t>
                      </m:r>
                    </m:e>
                    <m:sub>
                      <m:sSub>
                        <m:e>
                          <m:r>
                            <m:t>B</m:t>
                          </m:r>
                        </m:e>
                        <m:sub>
                          <m:r>
                            <m:t>z</m:t>
                          </m:r>
                        </m:sub>
                      </m:sSub>
                    </m:sub>
                  </m:sSub>
                </m:e>
              </m:d>
            </m:oMath>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numPr>
          <w:ilvl w:val="0"/>
          <w:numId w:val="1001"/>
        </w:numPr>
      </w:pPr>
      <w:r>
        <w:t xml:space="preserve">Representar en una gráfica</w:t>
      </w:r>
      <w:r>
        <w:t xml:space="preserve"> </w:t>
      </w:r>
      <m:oMath>
        <m:sSub>
          <m:e>
            <m:r>
              <m:t>B</m:t>
            </m:r>
          </m:e>
          <m:sub>
            <m:r>
              <m:t>z</m:t>
            </m:r>
          </m:sub>
        </m:sSub>
      </m:oMath>
      <w:r>
        <w:t xml:space="preserve"> </w:t>
      </w:r>
      <w:r>
        <w:t xml:space="preserve">en función de</w:t>
      </w:r>
      <w:r>
        <w:t xml:space="preserve"> </w:t>
      </w:r>
      <m:oMath>
        <m:r>
          <m:t>z</m:t>
        </m:r>
      </m:oMath>
      <w:r>
        <w:t xml:space="preserve"> </w:t>
      </w:r>
      <w:r>
        <w:t xml:space="preserve">para las medidas que corresponden a</w:t>
      </w:r>
      <w:r>
        <w:t xml:space="preserve"> </w:t>
      </w:r>
      <m:oMath>
        <m:r>
          <m:t>ρ</m:t>
        </m:r>
        <m:r>
          <m:rPr>
            <m:sty m:val="p"/>
          </m:rPr>
          <m:t>=</m:t>
        </m:r>
        <m:r>
          <m:t>0</m:t>
        </m:r>
      </m:oMath>
      <w:r>
        <w:t xml:space="preserve">.</w:t>
      </w:r>
    </w:p>
    <w:p>
      <w:pPr>
        <w:numPr>
          <w:ilvl w:val="0"/>
          <w:numId w:val="1001"/>
        </w:numPr>
      </w:pPr>
      <w:r>
        <w:t xml:space="preserve">En otra gráfica, representar los valores de</w:t>
      </w:r>
      <w:r>
        <w:t xml:space="preserve"> </w:t>
      </w:r>
      <m:oMath>
        <m:sSub>
          <m:e>
            <m:r>
              <m:t>B</m:t>
            </m:r>
          </m:e>
          <m:sub>
            <m:r>
              <m:t>z</m:t>
            </m:r>
          </m:sub>
        </m:sSub>
      </m:oMath>
      <w:r>
        <w:t xml:space="preserve"> </w:t>
      </w:r>
      <w:r>
        <w:t xml:space="preserve">en función de la variable</w:t>
      </w:r>
      <w:r>
        <w:t xml:space="preserve"> </w:t>
      </w:r>
      <m:oMath>
        <m:r>
          <m:t>t</m:t>
        </m:r>
        <m:r>
          <m:rPr>
            <m:sty m:val="p"/>
          </m:rPr>
          <m:t>=</m:t>
        </m:r>
        <m:sSup>
          <m:e>
            <m:d>
              <m:dPr>
                <m:begChr m:val="("/>
                <m:endChr m:val=")"/>
                <m:sepChr m:val=""/>
                <m:grow/>
              </m:dPr>
              <m:e>
                <m:sSup>
                  <m:e>
                    <m:r>
                      <m:t>z</m:t>
                    </m:r>
                  </m:e>
                  <m:sup>
                    <m:r>
                      <m:t>2</m:t>
                    </m:r>
                  </m:sup>
                </m:sSup>
                <m:r>
                  <m:rPr>
                    <m:sty m:val="p"/>
                  </m:rPr>
                  <m:t>+</m:t>
                </m:r>
                <m:sSup>
                  <m:e>
                    <m:r>
                      <m:t>R</m:t>
                    </m:r>
                  </m:e>
                  <m:sup>
                    <m:r>
                      <m:t>2</m:t>
                    </m:r>
                  </m:sup>
                </m:sSup>
              </m:e>
            </m:d>
          </m:e>
          <m:sup>
            <m:r>
              <m:rPr>
                <m:sty m:val="p"/>
              </m:rPr>
              <m:t>−</m:t>
            </m:r>
            <m:r>
              <m:t>3</m:t>
            </m:r>
            <m:r>
              <m:rPr>
                <m:sty m:val="p"/>
              </m:rPr>
              <m:t>/</m:t>
            </m:r>
            <m:r>
              <m:t>2</m:t>
            </m:r>
          </m:sup>
        </m:sSup>
      </m:oMath>
      <w:r>
        <w:t xml:space="preserve"> </w:t>
      </w:r>
      <w:r>
        <w:t xml:space="preserve">y calcular el coeficiente de</w:t>
      </w:r>
      <w:r>
        <w:t xml:space="preserve"> </w:t>
      </w:r>
      <w:r>
        <w:t xml:space="preserve">correlación lineal</w:t>
      </w:r>
      <w:r>
        <w:t xml:space="preserve"> </w:t>
      </w:r>
      <m:oMath>
        <m:r>
          <m:t>r</m:t>
        </m:r>
      </m:oMath>
      <w:r>
        <w:t xml:space="preserve">, la pendiente</w:t>
      </w:r>
      <w:r>
        <w:t xml:space="preserve"> </w:t>
      </w:r>
      <m:oMath>
        <m:r>
          <m:t>a</m:t>
        </m:r>
      </m:oMath>
      <w:r>
        <w:t xml:space="preserve"> </w:t>
      </w:r>
      <w:r>
        <w:t xml:space="preserve">y la ordenada en el origen</w:t>
      </w:r>
      <w:r>
        <w:t xml:space="preserve"> </w:t>
      </w:r>
      <m:oMath>
        <m:r>
          <m:t>b</m:t>
        </m:r>
      </m:oMath>
      <w:r>
        <w:t xml:space="preserve"> </w:t>
      </w:r>
      <w:r>
        <w:t xml:space="preserve">de la recta de mínimos cuadrados</w:t>
      </w:r>
      <w:r>
        <w:t xml:space="preserve"> </w:t>
      </w:r>
      <m:oMath>
        <m:sSub>
          <m:e>
            <m:r>
              <m:t>B</m:t>
            </m:r>
          </m:e>
          <m:sub>
            <m:r>
              <m:t>z</m:t>
            </m:r>
          </m:sub>
        </m:sSub>
        <m:d>
          <m:dPr>
            <m:begChr m:val="("/>
            <m:endChr m:val=")"/>
            <m:sepChr m:val=""/>
            <m:grow/>
          </m:dPr>
          <m:e>
            <m:r>
              <m:t>z</m:t>
            </m:r>
          </m:e>
        </m:d>
        <m:r>
          <m:rPr>
            <m:sty m:val="p"/>
          </m:rPr>
          <m:t>=</m:t>
        </m:r>
        <m:r>
          <m:t>a</m:t>
        </m:r>
        <m:r>
          <m:t> </m:t>
        </m:r>
        <m:r>
          <m:t>t</m:t>
        </m:r>
        <m:r>
          <m:rPr>
            <m:sty m:val="p"/>
          </m:rPr>
          <m:t>+</m:t>
        </m:r>
        <m:r>
          <m:t>b</m:t>
        </m:r>
      </m:oMath>
      <w:r>
        <w:t xml:space="preserve">.</w:t>
      </w:r>
    </w:p>
    <w:p>
      <w:pPr>
        <w:pStyle w:val="BodyText"/>
      </w:pPr>
      <m:oMathPara>
        <m:oMathParaPr>
          <m:jc m:val="center"/>
        </m:oMathParaPr>
        <m:oMath>
          <m:r>
            <m:t>r</m:t>
          </m:r>
          <m:r>
            <m:rPr>
              <m:sty m:val="p"/>
            </m:rPr>
            <m:t>=</m:t>
          </m:r>
          <m:r>
            <m:rPr>
              <m:nor/>
              <m:sty m:val="p"/>
            </m:rPr>
            <m:t>                     </m:t>
          </m:r>
          <m:r>
            <m:t>a</m:t>
          </m:r>
          <m:d>
            <m:dPr>
              <m:begChr m:val="("/>
              <m:endChr m:val=")"/>
              <m:sepChr m:val=""/>
              <m:grow/>
            </m:dPr>
            <m:e>
              <m:r>
                <m:rPr>
                  <m:sty m:val="p"/>
                </m:rPr>
                <m:t>±</m:t>
              </m:r>
              <m:sSub>
                <m:e>
                  <m:r>
                    <m:t>ε</m:t>
                  </m:r>
                </m:e>
                <m:sub>
                  <m:r>
                    <m:t>a</m:t>
                  </m:r>
                </m:sub>
              </m:sSub>
            </m:e>
          </m:d>
          <m:r>
            <m:rPr>
              <m:sty m:val="p"/>
            </m:rPr>
            <m:t>=</m:t>
          </m:r>
          <m:r>
            <m:rPr>
              <m:nor/>
              <m:sty m:val="p"/>
            </m:rPr>
            <m:t>                      </m:t>
          </m:r>
          <m:r>
            <m:t>b</m:t>
          </m:r>
          <m:d>
            <m:dPr>
              <m:begChr m:val="("/>
              <m:endChr m:val=")"/>
              <m:sepChr m:val=""/>
              <m:grow/>
            </m:dPr>
            <m:e>
              <m:r>
                <m:rPr>
                  <m:sty m:val="p"/>
                </m:rPr>
                <m:t>±</m:t>
              </m:r>
              <m:sSub>
                <m:e>
                  <m:r>
                    <m:t>ε</m:t>
                  </m:r>
                </m:e>
                <m:sub>
                  <m:r>
                    <m:t>b</m:t>
                  </m:r>
                </m:sub>
              </m:sSub>
            </m:e>
          </m:d>
          <m:r>
            <m:rPr>
              <m:sty m:val="p"/>
            </m:rPr>
            <m:t>=</m:t>
          </m:r>
          <m:r>
            <m:rPr>
              <m:nor/>
              <m:sty m:val="p"/>
            </m:rPr>
            <m:t>                   </m:t>
          </m:r>
        </m:oMath>
      </m:oMathPara>
    </w:p>
    <w:p>
      <w:pPr>
        <w:numPr>
          <w:ilvl w:val="0"/>
          <w:numId w:val="1001"/>
        </w:numPr>
      </w:pPr>
      <w:r>
        <w:t xml:space="preserve">A partir de los datos del ajuste anterior y de los datos del experimento hallar el valor de la permeabilidad del vacío</w:t>
      </w:r>
      <w:r>
        <w:t xml:space="preserve"> </w:t>
      </w:r>
      <m:oMath>
        <m:sSub>
          <m:e>
            <m:r>
              <m:t>μ</m:t>
            </m:r>
          </m:e>
          <m:sub>
            <m:r>
              <m:t>0</m:t>
            </m:r>
          </m:sub>
        </m:sSub>
      </m:oMath>
      <w:r>
        <w:t xml:space="preserve">.</w:t>
      </w:r>
    </w:p>
    <w:p>
      <w:pPr>
        <w:numPr>
          <w:ilvl w:val="0"/>
          <w:numId w:val="1001"/>
        </w:numPr>
      </w:pPr>
      <w:r>
        <w:t xml:space="preserve">Medir las componentes</w:t>
      </w:r>
      <w:r>
        <w:t xml:space="preserve"> </w:t>
      </w:r>
      <m:oMath>
        <m:sSub>
          <m:e>
            <m:r>
              <m:t>B</m:t>
            </m:r>
          </m:e>
          <m:sub>
            <m:r>
              <m:t>z</m:t>
            </m:r>
          </m:sub>
        </m:sSub>
        <m:d>
          <m:dPr>
            <m:begChr m:val="("/>
            <m:endChr m:val=")"/>
            <m:sepChr m:val=""/>
            <m:grow/>
          </m:dPr>
          <m:e>
            <m:r>
              <m:t>ρ</m:t>
            </m:r>
            <m:r>
              <m:rPr>
                <m:sty m:val="p"/>
              </m:rPr>
              <m:t>,</m:t>
            </m:r>
            <m:r>
              <m:t>z</m:t>
            </m:r>
          </m:e>
        </m:d>
      </m:oMath>
      <w:r>
        <w:t xml:space="preserve"> </w:t>
      </w:r>
      <w:r>
        <w:t xml:space="preserve">y</w:t>
      </w:r>
      <w:r>
        <w:t xml:space="preserve"> </w:t>
      </w:r>
      <m:oMath>
        <m:sSub>
          <m:e>
            <m:r>
              <m:t>B</m:t>
            </m:r>
          </m:e>
          <m:sub>
            <m:r>
              <m:t>ρ</m:t>
            </m:r>
          </m:sub>
        </m:sSub>
        <m:d>
          <m:dPr>
            <m:begChr m:val="("/>
            <m:endChr m:val=")"/>
            <m:sepChr m:val=""/>
            <m:grow/>
          </m:dPr>
          <m:e>
            <m:r>
              <m:t>ρ</m:t>
            </m:r>
            <m:r>
              <m:rPr>
                <m:sty m:val="p"/>
              </m:rPr>
              <m:t>,</m:t>
            </m:r>
            <m:r>
              <m:t>z</m:t>
            </m:r>
          </m:e>
        </m:d>
      </m:oMath>
      <w:r>
        <w:t xml:space="preserve"> </w:t>
      </w:r>
      <w:r>
        <w:t xml:space="preserve">del campo magnético para los puntos de coordenadas siguientes:</w:t>
      </w:r>
    </w:p>
    <w:tbl>
      <w:tblPr>
        <w:tblStyle w:val="Table"/>
        <w:tblW w:type="auto" w:w="0"/>
        <w:tblLook w:firstRow="1" w:lastRow="0" w:firstColumn="0" w:lastColumn="0" w:noHBand="0" w:noVBand="0" w:val="0020"/>
        <w:jc w:val="start"/>
        <w:tblInd w:w="720" w:type="dxa"/>
        <w:tblLayout w:type="fixed"/>
      </w:tblPr>
      <w:tblGrid>
        <w:gridCol w:w="2096"/>
        <w:gridCol w:w="2418"/>
        <w:gridCol w:w="2257"/>
        <w:gridCol w:w="2579"/>
      </w:tblGrid>
      <w:tr>
        <w:trPr>
          <w:tblHeader w:val="true"/>
        </w:trPr>
        <w:tc>
          <w:tcPr/>
          <w:p>
            <w:pPr>
              <w:pStyle w:val="Compact"/>
              <w:jc w:val="left"/>
            </w:pPr>
            <m:oMath>
              <m:r>
                <m:t>z</m:t>
              </m:r>
              <m:d>
                <m:dPr>
                  <m:begChr m:val="("/>
                  <m:endChr m:val=")"/>
                  <m:sepChr m:val=""/>
                  <m:grow/>
                </m:dPr>
                <m:e>
                  <m:r>
                    <m:rPr>
                      <m:sty m:val="p"/>
                    </m:rPr>
                    <m:t>±</m:t>
                  </m:r>
                  <m:sSub>
                    <m:e>
                      <m:r>
                        <m:t>ε</m:t>
                      </m:r>
                    </m:e>
                    <m:sub>
                      <m:r>
                        <m:t>z</m:t>
                      </m:r>
                    </m:sub>
                  </m:sSub>
                </m:e>
              </m:d>
            </m:oMath>
            <w:r>
              <w:t xml:space="preserve">cm</w:t>
            </w:r>
          </w:p>
        </w:tc>
        <w:tc>
          <w:tcPr/>
          <w:p>
            <w:pPr>
              <w:pStyle w:val="Compact"/>
              <w:jc w:val="left"/>
            </w:pPr>
            <m:oMath>
              <m:r>
                <m:t>ρ</m:t>
              </m:r>
              <m:d>
                <m:dPr>
                  <m:begChr m:val="("/>
                  <m:endChr m:val=")"/>
                  <m:sepChr m:val=""/>
                  <m:grow/>
                </m:dPr>
                <m:e>
                  <m:r>
                    <m:rPr>
                      <m:sty m:val="p"/>
                    </m:rPr>
                    <m:t>±</m:t>
                  </m:r>
                  <m:sSub>
                    <m:e>
                      <m:r>
                        <m:t>ε</m:t>
                      </m:r>
                    </m:e>
                    <m:sub>
                      <m:r>
                        <m:t>ρ</m:t>
                      </m:r>
                    </m:sub>
                  </m:sSub>
                </m:e>
              </m:d>
            </m:oMath>
            <w:r>
              <w:t xml:space="preserve">cm</w:t>
            </w:r>
          </w:p>
        </w:tc>
        <w:tc>
          <w:tcPr/>
          <w:p>
            <w:pPr>
              <w:pStyle w:val="Compact"/>
              <w:jc w:val="left"/>
            </w:pPr>
            <m:oMath>
              <m:sSub>
                <m:e>
                  <m:r>
                    <m:t>B</m:t>
                  </m:r>
                </m:e>
                <m:sub>
                  <m:r>
                    <m:t>z</m:t>
                  </m:r>
                </m:sub>
              </m:sSub>
              <m:d>
                <m:dPr>
                  <m:begChr m:val="("/>
                  <m:endChr m:val=")"/>
                  <m:sepChr m:val=""/>
                  <m:grow/>
                </m:dPr>
                <m:e>
                  <m:r>
                    <m:rPr>
                      <m:sty m:val="p"/>
                    </m:rPr>
                    <m:t>±</m:t>
                  </m:r>
                  <m:sSub>
                    <m:e>
                      <m:r>
                        <m:t>ε</m:t>
                      </m:r>
                    </m:e>
                    <m:sub>
                      <m:sSub>
                        <m:e>
                          <m:r>
                            <m:t>B</m:t>
                          </m:r>
                        </m:e>
                        <m:sub>
                          <m:r>
                            <m:t>z</m:t>
                          </m:r>
                        </m:sub>
                      </m:sSub>
                    </m:sub>
                  </m:sSub>
                </m:e>
              </m:d>
            </m:oMath>
          </w:p>
        </w:tc>
        <w:tc>
          <w:tcPr/>
          <w:p>
            <w:pPr>
              <w:pStyle w:val="Compact"/>
              <w:jc w:val="left"/>
            </w:pPr>
            <m:oMath>
              <m:sSub>
                <m:e>
                  <m:r>
                    <m:t>B</m:t>
                  </m:r>
                </m:e>
                <m:sub>
                  <m:r>
                    <m:t>ρ</m:t>
                  </m:r>
                </m:sub>
              </m:sSub>
              <m:d>
                <m:dPr>
                  <m:begChr m:val="("/>
                  <m:endChr m:val=")"/>
                  <m:sepChr m:val=""/>
                  <m:grow/>
                </m:dPr>
                <m:e>
                  <m:r>
                    <m:rPr>
                      <m:sty m:val="p"/>
                    </m:rPr>
                    <m:t>±</m:t>
                  </m:r>
                  <m:sSub>
                    <m:e>
                      <m:r>
                        <m:t>ε</m:t>
                      </m:r>
                    </m:e>
                    <m:sub>
                      <m:sSub>
                        <m:e>
                          <m:r>
                            <m:t>B</m:t>
                          </m:r>
                        </m:e>
                        <m:sub>
                          <m:r>
                            <m:t>ρ</m:t>
                          </m:r>
                        </m:sub>
                      </m:sSub>
                    </m:sub>
                  </m:sSub>
                </m:e>
              </m:d>
            </m:oMath>
          </w:p>
        </w:tc>
      </w:tr>
      <w:tr>
        <w:tc>
          <w:tcPr/>
          <w:p>
            <w:pPr>
              <w:pStyle w:val="Compact"/>
              <w:jc w:val="left"/>
            </w:pPr>
            <w:r>
              <w:t xml:space="preserve">0</w:t>
            </w:r>
          </w:p>
        </w:tc>
        <w:tc>
          <w:tcPr/>
          <w:p>
            <w:pPr>
              <w:pStyle w:val="Compact"/>
              <w:jc w:val="left"/>
            </w:pPr>
            <w:r>
              <w:t xml:space="preserve">-10</w:t>
            </w:r>
          </w:p>
        </w:tc>
        <w:tc>
          <w:tcPr/>
          <w:p>
            <w:pPr>
              <w:pStyle w:val="Compact"/>
            </w:pPr>
          </w:p>
        </w:tc>
        <w:tc>
          <w:tcPr/>
          <w:p>
            <w:pPr>
              <w:pStyle w:val="Compact"/>
            </w:pPr>
          </w:p>
        </w:tc>
      </w:tr>
      <w:tr>
        <w:tc>
          <w:tcPr/>
          <w:p>
            <w:pPr>
              <w:pStyle w:val="Compact"/>
              <w:jc w:val="left"/>
            </w:pPr>
            <w:r>
              <w:t xml:space="preserve">0</w:t>
            </w:r>
          </w:p>
        </w:tc>
        <w:tc>
          <w:tcPr/>
          <w:p>
            <w:pPr>
              <w:pStyle w:val="Compact"/>
              <w:jc w:val="left"/>
            </w:pPr>
            <w:r>
              <w:t xml:space="preserve">0</w:t>
            </w:r>
          </w:p>
        </w:tc>
        <w:tc>
          <w:tcPr/>
          <w:p>
            <w:pPr>
              <w:pStyle w:val="Compact"/>
            </w:pPr>
          </w:p>
        </w:tc>
        <w:tc>
          <w:tcPr/>
          <w:p>
            <w:pPr>
              <w:pStyle w:val="Compact"/>
            </w:pPr>
          </w:p>
        </w:tc>
      </w:tr>
      <w:tr>
        <w:tc>
          <w:tcPr/>
          <w:p>
            <w:pPr>
              <w:pStyle w:val="Compact"/>
              <w:jc w:val="left"/>
            </w:pPr>
            <w:r>
              <w:t xml:space="preserve">0</w:t>
            </w:r>
          </w:p>
        </w:tc>
        <w:tc>
          <w:tcPr/>
          <w:p>
            <w:pPr>
              <w:pStyle w:val="Compact"/>
              <w:jc w:val="left"/>
            </w:pPr>
            <w:r>
              <w:t xml:space="preserve">10</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-20</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-10</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0</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10</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20</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-20</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-10</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0</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10</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20</w:t>
            </w:r>
          </w:p>
        </w:tc>
        <w:tc>
          <w:tcPr/>
          <w:p>
            <w:pPr>
              <w:pStyle w:val="Compact"/>
            </w:pPr>
          </w:p>
        </w:tc>
        <w:tc>
          <w:tcPr/>
          <w:p>
            <w:pPr>
              <w:pStyle w:val="Compact"/>
            </w:pPr>
          </w:p>
        </w:tc>
      </w:tr>
    </w:tbl>
    <w:p>
      <w:pPr>
        <w:numPr>
          <w:ilvl w:val="0"/>
          <w:numId w:val="1001"/>
        </w:numPr>
      </w:pPr>
      <w:r>
        <w:t xml:space="preserve">Representar gráficamente los vectores campo</w:t>
      </w:r>
      <w:r>
        <w:t xml:space="preserve"> </w:t>
      </w:r>
      <m:oMath>
        <m:acc>
          <m:accPr>
            <m:chr m:val="⃗"/>
          </m:accPr>
          <m:e>
            <m:r>
              <m:t>B</m:t>
            </m:r>
          </m:e>
        </m:acc>
      </m:oMath>
      <w:r>
        <w:t xml:space="preserve"> </w:t>
      </w:r>
      <w:r>
        <w:t xml:space="preserve">medidos en la tabla anterior en un plano (</w:t>
      </w:r>
      <m:oMath>
        <m:r>
          <m:t>ρ</m:t>
        </m:r>
        <m:r>
          <m:rPr>
            <m:sty m:val="p"/>
          </m:rPr>
          <m:t>,</m:t>
        </m:r>
        <m:r>
          <m:t>z</m:t>
        </m:r>
      </m:oMath>
      <w:r>
        <w:t xml:space="preserve">) eligiendo como escala</w:t>
      </w:r>
      <w:r>
        <w:t xml:space="preserve"> </w:t>
      </w:r>
      <m:oMath>
        <m:r>
          <m:t>0.5</m:t>
        </m:r>
        <m:r>
          <m:t> </m:t>
        </m:r>
        <m:r>
          <m:t>m</m:t>
        </m:r>
        <m:r>
          <m:t>T</m:t>
        </m:r>
        <m:r>
          <m:rPr>
            <m:sty m:val="p"/>
          </m:rPr>
          <m:t>/</m:t>
        </m:r>
        <m:r>
          <m:t>c</m:t>
        </m:r>
        <m:r>
          <m:t>m</m:t>
        </m:r>
      </m:oMath>
      <w:r>
        <w:t xml:space="preserve"> </w:t>
      </w:r>
      <w:r>
        <w:t xml:space="preserve">para representar la flechas de los vectores.</w:t>
      </w:r>
    </w:p>
    <w:bookmarkEnd w:id="32"/>
    <w:bookmarkStart w:id="33" w:name="discusión"/>
    <w:p>
      <w:pPr>
        <w:pStyle w:val="Heading2"/>
      </w:pPr>
      <w:r>
        <w:t xml:space="preserve">Discusión</w:t>
      </w:r>
    </w:p>
    <w:p>
      <w:pPr>
        <w:numPr>
          <w:ilvl w:val="0"/>
          <w:numId w:val="1002"/>
        </w:numPr>
      </w:pPr>
      <w:r>
        <w:t xml:space="preserve">Discutir cualquier otro resultado o problema de interés encontrado en el experimento.</w:t>
      </w:r>
    </w:p>
    <w:p>
      <w:pPr>
        <w:numPr>
          <w:ilvl w:val="0"/>
          <w:numId w:val="1002"/>
        </w:numPr>
      </w:pPr>
      <w:r>
        <w:t xml:space="preserve">¿Qué valor teórico tiene</w:t>
      </w:r>
      <w:r>
        <w:t xml:space="preserve"> </w:t>
      </w:r>
      <m:oMath>
        <m:r>
          <m:t>b</m:t>
        </m:r>
      </m:oMath>
      <w:r>
        <w:t xml:space="preserve"> </w:t>
      </w:r>
      <w:r>
        <w:t xml:space="preserve">en la ecuación del apartado 3? Justificar la posible diferencia entre el valor teórico y el obtenido experimentalmente mediante el ajuste lineal.</w:t>
      </w:r>
    </w:p>
    <w:bookmarkEnd w:id="33"/>
    <w:bookmarkStart w:id="34" w:name="cuestiones"/>
    <w:p>
      <w:pPr>
        <w:pStyle w:val="Heading2"/>
      </w:pPr>
      <w:r>
        <w:t xml:space="preserve">Cuestiones</w:t>
      </w:r>
    </w:p>
    <w:p>
      <w:pPr>
        <w:numPr>
          <w:ilvl w:val="0"/>
          <w:numId w:val="1003"/>
        </w:numPr>
      </w:pPr>
      <w:r>
        <w:t xml:space="preserve">Obtenga mediante integración directa la expresión del campo</w:t>
      </w:r>
      <w:r>
        <w:t xml:space="preserve"> </w:t>
      </w:r>
      <m:oMath>
        <m:sSub>
          <m:e>
            <m:r>
              <m:t>B</m:t>
            </m:r>
          </m:e>
          <m:sub>
            <m:r>
              <m:t>z</m:t>
            </m:r>
          </m:sub>
        </m:sSub>
      </m:oMath>
      <w:r>
        <w:t xml:space="preserve"> </w:t>
      </w:r>
      <w:r>
        <w:t xml:space="preserve">de la fórmula 1.3.</w:t>
      </w:r>
    </w:p>
    <w:p>
      <w:pPr>
        <w:numPr>
          <w:ilvl w:val="0"/>
          <w:numId w:val="1003"/>
        </w:numPr>
      </w:pPr>
      <w:r>
        <w:t xml:space="preserve">Sólo se ha medido el campo para</w:t>
      </w:r>
      <w:r>
        <w:t xml:space="preserve"> </w:t>
      </w:r>
      <m:oMath>
        <m:r>
          <m:t>z</m:t>
        </m:r>
        <m:r>
          <m:rPr>
            <m:sty m:val="p"/>
          </m:rPr>
          <m:t>&gt;</m:t>
        </m:r>
        <m:r>
          <m:t>0</m:t>
        </m:r>
      </m:oMath>
      <w:r>
        <w:t xml:space="preserve">. ¿Qué aspecto tiene el campo al otro lado de la bobina? Justificar mediante argumentos de simetría acompañados de un dibujo.</w:t>
      </w:r>
    </w:p>
    <w:p>
      <w:pPr>
        <w:numPr>
          <w:ilvl w:val="0"/>
          <w:numId w:val="1003"/>
        </w:numPr>
      </w:pPr>
      <w:r>
        <w:t xml:space="preserve">¿Dónde es máximo</w:t>
      </w:r>
      <w:r>
        <w:t xml:space="preserve"> </w:t>
      </w:r>
      <m:oMath>
        <m:sSub>
          <m:e>
            <m:r>
              <m:t>B</m:t>
            </m:r>
          </m:e>
          <m:sub>
            <m:r>
              <m:t>z</m:t>
            </m:r>
          </m:sub>
        </m:sSub>
      </m:oMath>
      <w:r>
        <w:t xml:space="preserve"> </w:t>
      </w:r>
      <w:r>
        <w:t xml:space="preserve">considerando la relación teórica 1.3? Discutir si es consistente con el comportamiento observado.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21" Target="media/rId2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2026-09-10T14:11:40Z</dcterms:created>
  <dcterms:modified xsi:type="dcterms:W3CDTF">2026-09-10T14:11:40Z</dcterms:modified>
</cp:coreProperties>
</file>

<file path=docProps/custom.xml><?xml version="1.0" encoding="utf-8"?>
<Properties xmlns="http://schemas.openxmlformats.org/officeDocument/2006/custom-properties" xmlns:vt="http://schemas.openxmlformats.org/officeDocument/2006/docPropsVTypes"/>
</file>