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07b3af606ca236e1e3091e2087681c1b1efa256"/>
    <w:p>
      <w:pPr>
        <w:pStyle w:val="Heading1"/>
      </w:pPr>
      <w:r>
        <w:t xml:space="preserve">Determinación del campo magnético terrestre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Medida de campos magnéticos. Determinación del campo magnético terrestre.</w:t>
      </w:r>
    </w:p>
    <w:bookmarkEnd w:id="20"/>
    <w:bookmarkStart w:id="25" w:name="fundamento-teórico"/>
    <w:p>
      <w:pPr>
        <w:pStyle w:val="Heading2"/>
      </w:pPr>
      <w:r>
        <w:t xml:space="preserve">Fundamento teórico</w:t>
      </w:r>
    </w:p>
    <w:p>
      <w:pPr>
        <w:pStyle w:val="FirstParagraph"/>
      </w:pPr>
      <w:r>
        <w:t xml:space="preserve">La Tierra posee un campo magnético propio, cuyas líneas son semejantes a las de</w:t>
      </w:r>
      <w:r>
        <w:t xml:space="preserve"> </w:t>
      </w:r>
      <w:r>
        <w:t xml:space="preserve">un imán que tuviera el polo sur cerca del polo norte geográfico. Las brújulas se orientan</w:t>
      </w:r>
      <w:r>
        <w:t xml:space="preserve"> </w:t>
      </w:r>
      <w:r>
        <w:t xml:space="preserve">alineando su campo propio con el campo externo terrestre, de manera que una brújula en</w:t>
      </w:r>
      <w:r>
        <w:t xml:space="preserve"> </w:t>
      </w:r>
      <w:r>
        <w:t xml:space="preserve">reposo en el plano horizontal, nos indicará la dirección N-S del campo terrestre.</w:t>
      </w:r>
    </w:p>
    <w:p>
      <w:pPr>
        <w:pStyle w:val="BodyText"/>
      </w:pPr>
      <w:r>
        <w:t xml:space="preserve">Cuando se superpone otro campo magnético exterior horizontal, la brújula indicará</w:t>
      </w:r>
      <w:r>
        <w:t xml:space="preserve"> </w:t>
      </w:r>
      <w:r>
        <w:t xml:space="preserve">la dirección del campo resultante en el punto en que está colocada.</w:t>
      </w:r>
      <w:r>
        <w:t xml:space="preserve"> </w:t>
      </w:r>
      <w:r>
        <w:t xml:space="preserve">Para crear este campo externo se utilizan las bobinas de Helmholtz: Son dos</w:t>
      </w:r>
      <w:r>
        <w:t xml:space="preserve"> </w:t>
      </w:r>
      <w:r>
        <w:t xml:space="preserve">bobinas iguales, (con el mismo número de espiras</w:t>
      </w:r>
      <w:r>
        <w:t xml:space="preserve"> </w:t>
      </w:r>
      <m:oMath>
        <m:r>
          <m:t>n</m:t>
        </m:r>
      </m:oMath>
      <w:r>
        <w:t xml:space="preserve">, igual radio</w:t>
      </w:r>
      <w:r>
        <w:t xml:space="preserve"> </w:t>
      </w:r>
      <m:oMath>
        <m:r>
          <m:t>R</m:t>
        </m:r>
      </m:oMath>
      <w:r>
        <w:t xml:space="preserve">, con longitud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rPr>
            <m:sty m:val="p"/>
          </m:rPr>
          <m:t>&lt;</m:t>
        </m:r>
        <m:r>
          <m:t>R</m:t>
        </m:r>
      </m:oMath>
      <w:r>
        <w:t xml:space="preserve">),</w:t>
      </w:r>
      <w:r>
        <w:t xml:space="preserve"> </w:t>
      </w:r>
      <w:r>
        <w:t xml:space="preserve">separadas por una distancia</w:t>
      </w:r>
      <w:r>
        <w:t xml:space="preserve"> </w:t>
      </w:r>
      <m:oMath>
        <m:r>
          <m:t>R</m:t>
        </m:r>
      </m:oMath>
      <w:r>
        <w:t xml:space="preserve">. En estas condiciones, al ser recorridas por la misma</w:t>
      </w:r>
      <w:r>
        <w:t xml:space="preserve"> </w:t>
      </w:r>
      <w:r>
        <w:t xml:space="preserve">intensidad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en el mismo sentido, crean en el centro del conjunto un campo magnético</w:t>
      </w:r>
      <w:r>
        <w:t xml:space="preserve"> </w:t>
      </w:r>
      <w:r>
        <w:t xml:space="preserve">aproximadamente constante.</w:t>
      </w:r>
    </w:p>
    <w:p>
      <w:pPr>
        <w:pStyle w:val="CaptionedFigure"/>
      </w:pPr>
      <w:r>
        <w:drawing>
          <wp:inline>
            <wp:extent cx="3620901" cy="274931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ng/CM_ter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901" cy="2749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3.1: Representación del campo terrestre y del campo de la bobina de Helmhotz.</w:t>
      </w:r>
      <w:r>
        <w:t xml:space="preserve"> </w:t>
      </w:r>
    </w:p>
    <w:bookmarkStart w:id="24" w:name="componente-horizontal"/>
    <w:p>
      <w:pPr>
        <w:pStyle w:val="Heading3"/>
      </w:pPr>
      <w:r>
        <w:t xml:space="preserve">Componente horizontal</w:t>
      </w:r>
    </w:p>
    <w:p>
      <w:pPr>
        <w:pStyle w:val="FirstParagraph"/>
      </w:pPr>
      <w:r>
        <w:t xml:space="preserve">Si se coloca el eje de las bobinas perpendicular a la dirección N-S del campo</w:t>
      </w:r>
      <w:r>
        <w:t xml:space="preserve"> </w:t>
      </w:r>
      <w:r>
        <w:t xml:space="preserve">terrestre, una brújula nos indicará el campo neto horizontal:</w:t>
      </w:r>
    </w:p>
    <w:p>
      <w:pPr>
        <w:numPr>
          <w:ilvl w:val="0"/>
          <w:numId w:val="1001"/>
        </w:numPr>
      </w:pPr>
      <m:oMath>
        <m:sSup>
          <m:e>
            <m:r>
              <m:t>​</m:t>
            </m:r>
          </m:e>
          <m:sup>
            <m:r>
              <m:t>h</m:t>
            </m:r>
          </m:sup>
        </m:sSup>
        <m:sSub>
          <m:e>
            <m:r>
              <m:rPr>
                <m:nor/>
                <m:sty m:val="b"/>
              </m:rPr>
              <m:t>B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Componente horizontal del campo de la bobina en su centro.</w:t>
      </w:r>
    </w:p>
    <w:p>
      <w:pPr>
        <w:numPr>
          <w:ilvl w:val="0"/>
          <w:numId w:val="1001"/>
        </w:numPr>
      </w:pPr>
      <m:oMath>
        <m:sSup>
          <m:e>
            <m:r>
              <m:t>​</m:t>
            </m:r>
          </m:e>
          <m:sup>
            <m:r>
              <m:t>h</m:t>
            </m:r>
          </m:sup>
        </m:sSup>
        <m:sSub>
          <m:e>
            <m:r>
              <m:rPr>
                <m:nor/>
                <m:sty m:val="b"/>
              </m:rPr>
              <m:t>B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Componente horizontal del campo magnético terrestre</w:t>
      </w:r>
    </w:p>
    <w:p>
      <w:pPr>
        <w:numPr>
          <w:ilvl w:val="0"/>
          <w:numId w:val="1001"/>
        </w:numPr>
      </w:pPr>
      <m:oMath>
        <m:sSup>
          <m:e>
            <m:r>
              <m:t>​</m:t>
            </m:r>
          </m:e>
          <m:sup>
            <m:r>
              <m:t>h</m:t>
            </m:r>
          </m:sup>
        </m:sSup>
        <m:sSub>
          <m:e>
            <m:r>
              <m:rPr>
                <m:nor/>
                <m:sty m:val="b"/>
              </m:rPr>
              <m:t>B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Componente horizontal del campo resultante.</w:t>
      </w:r>
    </w:p>
    <w:p>
      <w:pPr>
        <w:pStyle w:val="FirstParagraph"/>
      </w:pPr>
      <w:r>
        <w:t xml:space="preserve">La magnitud de los campos de la figura 3.1 se relacionan mediante: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g</m:t>
          </m:r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H</m:t>
                  </m:r>
                </m:sub>
              </m:sSub>
            </m:num>
            <m:den>
              <m:sSup>
                <m:e>
                  <m:r>
                    <m:t>​</m:t>
                  </m:r>
                </m:e>
                <m:sup>
                  <m:r>
                    <m:t>h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</m:t>
          </m:r>
          <m:r>
            <m:rPr>
              <m:nor/>
              <m:sty m:val="p"/>
            </m:rPr>
            <m:t>(3.1)</m:t>
          </m:r>
        </m:oMath>
      </m:oMathPara>
    </w:p>
    <w:p>
      <w:pPr>
        <w:pStyle w:val="FirstParagraph"/>
      </w:pPr>
      <w:r>
        <w:t xml:space="preserve">además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Cuando se mide el ángulo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para diferentes campos de las bobinas, se puede</w:t>
      </w:r>
      <w:r>
        <w:t xml:space="preserve"> </w:t>
      </w:r>
      <w:r>
        <w:t xml:space="preserve">obtener la componente horizontal del campo terrestre mediante un ajuste lineal, ya que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h</m:t>
              </m:r>
            </m:sup>
          </m:sSup>
          <m:sSub>
            <m:e>
              <m:r>
                <m:t>B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⋅</m:t>
          </m:r>
          <m:r>
            <m:t>t</m:t>
          </m:r>
          <m:r>
            <m:t>g</m:t>
          </m:r>
          <m:r>
            <m:t>α</m:t>
          </m:r>
          <m:r>
            <m:t> </m:t>
          </m:r>
          <m:r>
            <m:rPr>
              <m:nor/>
              <m:sty m:val="p"/>
            </m:rPr>
            <m:t>(3.2)</m:t>
          </m:r>
        </m:oMath>
      </m:oMathPara>
    </w:p>
    <w:p>
      <w:pPr>
        <w:pStyle w:val="FirstParagraph"/>
      </w:pPr>
      <w:r>
        <w:t xml:space="preserve">Para determinar el campo creado por las bobinas primero deberemos proceder a su calibración experimental.</w:t>
      </w:r>
      <w:r>
        <w:t xml:space="preserve"> </w:t>
      </w:r>
      <w:r>
        <w:t xml:space="preserve">Teóricamente puede obtenerse que el campo creado por las bobinas de</w:t>
      </w:r>
      <w:r>
        <w:t xml:space="preserve"> </w:t>
      </w:r>
      <w:r>
        <w:t xml:space="preserve">Helmholtz en su centro (</w:t>
      </w:r>
      <m:oMath>
        <m:sSub>
          <m:e>
            <m:r>
              <m:t>B</m:t>
            </m:r>
          </m:e>
          <m:sub>
            <m:r>
              <m:t>H</m:t>
            </m:r>
          </m:sub>
        </m:sSub>
      </m:oMath>
      <w:r>
        <w:t xml:space="preserve">), es proporcional a la intensidad I que circula por ellas: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t>I</m:t>
          </m:r>
          <m:r>
            <m:t> </m:t>
          </m:r>
          <m:r>
            <m:rPr>
              <m:nor/>
              <m:sty m:val="p"/>
            </m:rPr>
            <m:t>(3.3)</m:t>
          </m:r>
        </m:oMath>
      </m:oMathPara>
    </w:p>
    <w:p>
      <w:pPr>
        <w:pStyle w:val="FirstParagraph"/>
      </w:pPr>
      <w:r>
        <w:t xml:space="preserve">Con lo que, una vez determinada la constante K, la ecuación (3.2) se convierte en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I</m:t>
          </m:r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h</m:t>
              </m:r>
            </m:sup>
          </m:sSup>
          <m:sSub>
            <m:e>
              <m:r>
                <m:t>B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⋅</m:t>
          </m:r>
          <m:r>
            <m:t>t</m:t>
          </m:r>
          <m:r>
            <m:t>g</m:t>
          </m:r>
          <m:r>
            <m:t>α</m:t>
          </m:r>
          <m:r>
            <m:t> </m:t>
          </m:r>
          <m:r>
            <m:rPr>
              <m:nor/>
              <m:sty m:val="p"/>
            </m:rPr>
            <m:t>(3.4)</m:t>
          </m:r>
        </m:oMath>
      </m:oMathPara>
    </w:p>
    <w:p>
      <w:pPr>
        <w:pStyle w:val="FirstParagraph"/>
      </w:pPr>
      <w:r>
        <w:t xml:space="preserve">Así, variando los valores de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y leyendo las intensidades para las que se producen,</w:t>
      </w:r>
      <w:r>
        <w:t xml:space="preserve"> </w:t>
      </w:r>
      <w:r>
        <w:t xml:space="preserve">se puede obtener la componente horizontal del campo magnético terrestre.</w:t>
      </w:r>
    </w:p>
    <w:bookmarkEnd w:id="24"/>
    <w:bookmarkEnd w:id="25"/>
    <w:bookmarkStart w:id="29" w:name="componente-vertical"/>
    <w:p>
      <w:pPr>
        <w:pStyle w:val="Heading2"/>
      </w:pPr>
      <w:r>
        <w:t xml:space="preserve">Componente vertical</w:t>
      </w:r>
    </w:p>
    <w:p>
      <w:pPr>
        <w:pStyle w:val="FirstParagraph"/>
      </w:pPr>
      <w:r>
        <w:t xml:space="preserve">Si se coloca una brújula de manera que pueda moverse libremente en un plano</w:t>
      </w:r>
      <w:r>
        <w:t xml:space="preserve"> </w:t>
      </w:r>
      <w:r>
        <w:t xml:space="preserve">vertical perpendicular a la dirección N-S, en su posición de equilibrio quedará alineada</w:t>
      </w:r>
      <w:r>
        <w:t xml:space="preserve"> </w:t>
      </w:r>
      <w:r>
        <w:t xml:space="preserve">con la línea de campo magnético terrestre que pase por ella.</w:t>
      </w:r>
    </w:p>
    <w:p>
      <w:pPr>
        <w:pStyle w:val="CaptionedFigure"/>
      </w:pPr>
      <w:r>
        <w:drawing>
          <wp:inline>
            <wp:extent cx="1085658" cy="119881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ng/CM_ter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658" cy="1198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3.2: Componente vertical del campo magnético terrestre.</w:t>
      </w:r>
      <w:r>
        <w:t xml:space="preserve"> </w:t>
      </w:r>
    </w:p>
    <w:p>
      <w:pPr>
        <w:numPr>
          <w:ilvl w:val="0"/>
          <w:numId w:val="1002"/>
        </w:numPr>
      </w:pPr>
      <m:oMath>
        <m:sSub>
          <m:e>
            <m:r>
              <m:rPr>
                <m:nor/>
                <m:sty m:val="b"/>
              </m:rPr>
              <m:t>B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Campo magnético terrestre.</w:t>
      </w:r>
    </w:p>
    <w:p>
      <w:pPr>
        <w:numPr>
          <w:ilvl w:val="0"/>
          <w:numId w:val="1002"/>
        </w:numPr>
      </w:pPr>
      <m:oMath>
        <m:sSup>
          <m:e>
            <m:r>
              <m:t>​</m:t>
            </m:r>
          </m:e>
          <m:sup>
            <m:r>
              <m:t>v</m:t>
            </m:r>
          </m:sup>
        </m:sSup>
        <m:sSub>
          <m:e>
            <m:r>
              <m:rPr>
                <m:nor/>
                <m:sty m:val="b"/>
              </m:rPr>
              <m:t>B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Componente vertical del campo magnético terrestre.</w:t>
      </w:r>
    </w:p>
    <w:p>
      <w:pPr>
        <w:numPr>
          <w:ilvl w:val="0"/>
          <w:numId w:val="1002"/>
        </w:numPr>
      </w:pPr>
      <m:oMath>
        <m:sSup>
          <m:e>
            <m:r>
              <m:t>​</m:t>
            </m:r>
          </m:e>
          <m:sup>
            <m:r>
              <m:t>h</m:t>
            </m:r>
          </m:sup>
        </m:sSup>
        <m:sSub>
          <m:e>
            <m:r>
              <m:rPr>
                <m:nor/>
                <m:sty m:val="b"/>
              </m:rPr>
              <m:t>B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Componente horizontal del campo magnético terrestre.</w:t>
      </w:r>
    </w:p>
    <w:p>
      <w:pPr>
        <w:pStyle w:val="FirstParagraph"/>
      </w:pPr>
      <w:r>
        <w:t xml:space="preserve">De la Fig. 2, una vez conocida la componente horizontal y medido</w:t>
      </w:r>
      <w:r>
        <w:t xml:space="preserve"> </w:t>
      </w:r>
      <m:oMath>
        <m:r>
          <m:t>θ</m:t>
        </m:r>
      </m:oMath>
      <w:r>
        <w:t xml:space="preserve">, se puede</w:t>
      </w:r>
      <w:r>
        <w:t xml:space="preserve"> </w:t>
      </w:r>
      <w:r>
        <w:t xml:space="preserve">obtener la vertical: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</m:e>
            <m:sup>
              <m:r>
                <m:t>v</m:t>
              </m:r>
            </m:sup>
          </m:sSup>
          <m:sSub>
            <m:e>
              <m:r>
                <m:t>B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 </m:t>
              </m:r>
            </m:e>
            <m:sup>
              <m:r>
                <m:t>h</m:t>
              </m:r>
            </m:sup>
          </m:sSup>
          <m:sSub>
            <m:e>
              <m:r>
                <m:t>B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⋅</m:t>
          </m:r>
          <m:r>
            <m:t>t</m:t>
          </m:r>
          <m:r>
            <m:t>g</m:t>
          </m:r>
          <m:r>
            <m:t>θ</m:t>
          </m:r>
          <m:r>
            <m:t> </m:t>
          </m:r>
          <m:r>
            <m:rPr>
              <m:nor/>
              <m:sty m:val="p"/>
            </m:rPr>
            <m:t>(3.5)</m:t>
          </m:r>
        </m:oMath>
      </m:oMathPara>
    </w:p>
    <w:p>
      <w:pPr>
        <w:pStyle w:val="FirstParagraph"/>
      </w:pPr>
      <w:r>
        <w:t xml:space="preserve">A partir de estas dos componentes, se puede obtener el campo terrestre.</w:t>
      </w:r>
    </w:p>
    <w:bookmarkEnd w:id="29"/>
    <w:bookmarkStart w:id="34" w:name="resultados"/>
    <w:p>
      <w:pPr>
        <w:pStyle w:val="Heading2"/>
      </w:pPr>
      <w:r>
        <w:t xml:space="preserve">Resultados</w:t>
      </w:r>
    </w:p>
    <w:p>
      <w:pPr>
        <w:pStyle w:val="FirstParagraph"/>
      </w:pPr>
      <w:r>
        <w:rPr>
          <w:bCs/>
          <w:b/>
        </w:rPr>
        <w:t xml:space="preserve">PRECAUCIONES</w:t>
      </w:r>
      <w:r>
        <w:br/>
      </w:r>
      <w:r>
        <w:t xml:space="preserve">Es muy importante manipular la brújula con delicadeza y no sujetarla para</w:t>
      </w:r>
      <w:r>
        <w:t xml:space="preserve"> </w:t>
      </w:r>
      <w:r>
        <w:t xml:space="preserve">que se detenga. En caso contrario se sale del eje de rotación y se rompe.</w:t>
      </w:r>
      <w:r>
        <w:t xml:space="preserve"> </w:t>
      </w:r>
      <w:r>
        <w:t xml:space="preserve">Antes de conectar la fuente preguntad al profesor.</w:t>
      </w:r>
    </w:p>
    <w:bookmarkStart w:id="30" w:name="cálculo-de-la-constante-k-de-la-bobina"/>
    <w:p>
      <w:pPr>
        <w:pStyle w:val="Heading3"/>
      </w:pPr>
      <w:r>
        <w:t xml:space="preserve">Cálculo de la constante K de la bobina</w:t>
      </w:r>
    </w:p>
    <w:p>
      <w:pPr>
        <w:pStyle w:val="FirstParagraph"/>
      </w:pPr>
      <w:r>
        <w:t xml:space="preserve">En primer lugar hay que determinar la dirección N-S del campo terrestre horizontal</w:t>
      </w:r>
      <w:r>
        <w:t xml:space="preserve"> </w:t>
      </w:r>
      <w:r>
        <w:t xml:space="preserve">mediante la brújula. Para ello, una vez ésta en reposo, se gira cuidadosamente la base de su</w:t>
      </w:r>
      <w:r>
        <w:t xml:space="preserve"> </w:t>
      </w:r>
      <w:r>
        <w:t xml:space="preserve">soporte, hasta que quede alineada con el ángulo cero de la escala graduada.</w:t>
      </w:r>
      <w:r>
        <w:t xml:space="preserve"> </w:t>
      </w:r>
      <w:r>
        <w:t xml:space="preserve">Se colocan ahora las bobinas de Helmholtz de manera que su eje sea perpendicular</w:t>
      </w:r>
      <w:r>
        <w:t xml:space="preserve"> </w:t>
      </w:r>
      <w:r>
        <w:t xml:space="preserve">a la dirección N-S marcada por el soporte horizontal de la brújula.</w:t>
      </w:r>
      <w:r>
        <w:t xml:space="preserve"> </w:t>
      </w:r>
      <w:r>
        <w:t xml:space="preserve">Se retira la brújula y se coloca la sonda Hall en la dirección del eje</w:t>
      </w:r>
      <w:r>
        <w:t xml:space="preserve"> </w:t>
      </w:r>
      <m:oMath>
        <m:r>
          <m:t>z</m:t>
        </m:r>
      </m:oMath>
      <w:r>
        <w:t xml:space="preserve">, de manera que su</w:t>
      </w:r>
      <w:r>
        <w:t xml:space="preserve"> </w:t>
      </w:r>
      <w:r>
        <w:t xml:space="preserve">sensor quede lo más centrado posible en el interior de las bobinas.</w:t>
      </w:r>
    </w:p>
    <w:p>
      <w:pPr>
        <w:pStyle w:val="BodyText"/>
      </w:pPr>
      <w:r>
        <w:t xml:space="preserve">Se conectan entre sí los dos terminales marcados con el n</w:t>
      </w:r>
      <m:oMath>
        <m:sSup>
          <m:e>
            <m:r>
              <m:t>​</m:t>
            </m:r>
          </m:e>
          <m:sup>
            <m:r>
              <m:t>o</m:t>
            </m:r>
          </m:sup>
        </m:sSup>
      </m:oMath>
      <w:r>
        <w:t xml:space="preserve">1 en la base de las</w:t>
      </w:r>
      <w:r>
        <w:t xml:space="preserve"> </w:t>
      </w:r>
      <w:r>
        <w:t xml:space="preserve">bobinas. (conexión en serie). Una vez comprobado el circuito, se enciende el teslámetro de la sonda Hall y se selecciona las unidades en mT. Se conecta la fuente de alimentación a la red. Se comienza por 0.25A y se espera a que la lectura del teslámetro</w:t>
      </w:r>
      <w:r>
        <w:t xml:space="preserve"> </w:t>
      </w:r>
      <w:r>
        <w:t xml:space="preserve">se estabilice. Se construye una tabla (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) a intervalos de 0.25A hasta 2A. Se ajusta por regresión</w:t>
      </w:r>
      <w:r>
        <w:t xml:space="preserve"> </w:t>
      </w:r>
      <w:r>
        <w:t xml:space="preserve">lineal y se obtiene</w:t>
      </w:r>
      <w:r>
        <w:t xml:space="preserve"> </w:t>
      </w:r>
      <m:oMath>
        <m:r>
          <m:t>K</m:t>
        </m:r>
      </m:oMath>
      <w:r>
        <w:t xml:space="preserve">. (</w:t>
      </w:r>
      <w:r>
        <w:rPr>
          <w:bCs/>
          <w:b/>
        </w:rPr>
        <w:t xml:space="preserve">Desconectar la fuente de alimentación antes de continuar</w:t>
      </w:r>
      <w:r>
        <w:t xml:space="preserve">).</w:t>
      </w:r>
    </w:p>
    <w:bookmarkEnd w:id="30"/>
    <w:bookmarkStart w:id="31" w:name="Xa9bf8d1bfe5913ce51f7502adea9212f3e0252d"/>
    <w:p>
      <w:pPr>
        <w:pStyle w:val="Heading3"/>
      </w:pPr>
      <w:r>
        <w:t xml:space="preserve">Determinación de la componente horizontal del campo magnético terrestre.</w:t>
      </w:r>
    </w:p>
    <w:p>
      <w:pPr>
        <w:pStyle w:val="FirstParagraph"/>
      </w:pPr>
      <w:r>
        <w:t xml:space="preserve">Se retira la sonda Hall del centro de las bobinas y se vuelve a colocar la brújula en</w:t>
      </w:r>
      <w:r>
        <w:t xml:space="preserve"> </w:t>
      </w:r>
      <w:r>
        <w:t xml:space="preserve">la posición inicial del apartado anterior.</w:t>
      </w:r>
    </w:p>
    <w:p>
      <w:pPr>
        <w:pStyle w:val="BodyText"/>
      </w:pPr>
      <w:r>
        <w:t xml:space="preserve">Una vez estabilizada la aguja en el ángulo cero, se enciende de nuevo la fuente de</w:t>
      </w:r>
      <w:r>
        <w:t xml:space="preserve"> </w:t>
      </w:r>
      <w:r>
        <w:t xml:space="preserve">alimentación tomando una intensidad inicial de 0.50A, dejando que la brújula se estabilice</w:t>
      </w:r>
      <w:r>
        <w:t xml:space="preserve"> </w:t>
      </w:r>
      <w:r>
        <w:t xml:space="preserve">alrededor de los 90</w:t>
      </w:r>
      <m:oMath>
        <m:sSup>
          <m:e>
            <m:r>
              <m:t>​</m:t>
            </m:r>
          </m:e>
          <m:sup>
            <m:r>
              <m:t>o</m:t>
            </m:r>
          </m:sup>
        </m:sSup>
      </m:oMath>
      <w:r>
        <w:t xml:space="preserve"> </w:t>
      </w:r>
      <w:r>
        <w:t xml:space="preserve">de desviación.</w:t>
      </w:r>
    </w:p>
    <w:p>
      <w:pPr>
        <w:pStyle w:val="BodyText"/>
      </w:pPr>
      <w:r>
        <w:t xml:space="preserve">A partir de esa posición, se baja muy lentamente la intensidad hasta que la</w:t>
      </w:r>
      <w:r>
        <w:t xml:space="preserve"> </w:t>
      </w:r>
      <w:r>
        <w:t xml:space="preserve">desviación sea de 80</w:t>
      </w:r>
      <m:oMath>
        <m:sSup>
          <m:e>
            <m:r>
              <m:t>​</m:t>
            </m:r>
          </m:e>
          <m:sup>
            <m:r>
              <m:t>o</m:t>
            </m:r>
          </m:sup>
        </m:sSup>
      </m:oMath>
      <w:r>
        <w:t xml:space="preserve">. Se anota la I correspondiente. Se sigue bajando la desviación de 10</w:t>
      </w:r>
      <m:oMath>
        <m:sSup>
          <m:e>
            <m:r>
              <m:t>​</m:t>
            </m:r>
          </m:e>
          <m:sup>
            <m:r>
              <m:t>o</m:t>
            </m:r>
          </m:sup>
        </m:sSup>
      </m:oMath>
      <w:r>
        <w:t xml:space="preserve"> </w:t>
      </w:r>
      <w:r>
        <w:t xml:space="preserve">en 10</w:t>
      </w:r>
      <m:oMath>
        <m:sSup>
          <m:e>
            <m:r>
              <m:t>​</m:t>
            </m:r>
          </m:e>
          <m:sup>
            <m:r>
              <m:t>o</m:t>
            </m:r>
          </m:sup>
        </m:sSup>
      </m:oMath>
      <w:r>
        <w:t xml:space="preserve"> </w:t>
      </w:r>
      <w:r>
        <w:t xml:space="preserve">y anotando las intensidades. (</w:t>
      </w:r>
      <w:r>
        <w:rPr>
          <w:bCs/>
          <w:b/>
        </w:rPr>
        <w:t xml:space="preserve">Desconectar la fuente de alimentación</w:t>
      </w:r>
      <w:r>
        <w:t xml:space="preserve">).</w:t>
      </w:r>
      <w:r>
        <w:t xml:space="preserve"> </w:t>
      </w:r>
      <w:r>
        <w:t xml:space="preserve">Se construye una tabla con los valores correspondientes a la ecuación (3.4) y se ajusta por</w:t>
      </w:r>
      <w:r>
        <w:t xml:space="preserve"> </w:t>
      </w:r>
      <w:r>
        <w:t xml:space="preserve">regresión lineal para obtener</w:t>
      </w:r>
      <w:r>
        <w:t xml:space="preserve"> </w:t>
      </w:r>
      <m:oMath>
        <m:sSup>
          <m:e>
            <m:r>
              <m:t>​</m:t>
            </m:r>
          </m:e>
          <m:sup>
            <m:r>
              <m:t>h</m:t>
            </m:r>
          </m:sup>
        </m:sSup>
        <m:sSub>
          <m:e>
            <m:r>
              <m:t>B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.</w:t>
      </w:r>
    </w:p>
    <w:bookmarkEnd w:id="31"/>
    <w:bookmarkStart w:id="32" w:name="X3a558480081e58ff9031a7df00d5f99daca42a2"/>
    <w:p>
      <w:pPr>
        <w:pStyle w:val="Heading3"/>
      </w:pPr>
      <w:r>
        <w:t xml:space="preserve">Determinación de la componente vertical del campo magnético terrestre</w:t>
      </w:r>
    </w:p>
    <w:p>
      <w:pPr>
        <w:pStyle w:val="FirstParagraph"/>
      </w:pPr>
      <w:r>
        <w:t xml:space="preserve">Desde la posición horizontal N-S se hace girar la escala graduada para hacer que</w:t>
      </w:r>
      <w:r>
        <w:t xml:space="preserve"> </w:t>
      </w:r>
      <w:r>
        <w:t xml:space="preserve">la brújula oscile en el plano vertical. Se espera a que se quede en reposo, y se mide el</w:t>
      </w:r>
      <w:r>
        <w:t xml:space="preserve"> </w:t>
      </w:r>
      <w:r>
        <w:t xml:space="preserve">ángulo de desviación. Usando la ecuación (3.5), se determina</w:t>
      </w:r>
      <w:r>
        <w:t xml:space="preserve"> </w:t>
      </w:r>
      <m:oMath>
        <m:sSup>
          <m:e>
            <m:r>
              <m:t>​</m:t>
            </m:r>
          </m:e>
          <m:sup>
            <m:r>
              <m:t>v</m:t>
            </m:r>
          </m:sup>
        </m:sSup>
        <m:sSub>
          <m:e>
            <m:r>
              <m:t>B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32"/>
    <w:bookmarkStart w:id="33" w:name="X8e1e799aa4e3929ec90b80eb18dedee1ac457ed"/>
    <w:p>
      <w:pPr>
        <w:pStyle w:val="Heading3"/>
      </w:pPr>
      <w:r>
        <w:t xml:space="preserve">Determinar el campo magnético terrestre local</w:t>
      </w:r>
    </w:p>
    <w:p>
      <w:pPr>
        <w:pStyle w:val="FirstParagraph"/>
      </w:pPr>
      <w:r>
        <w:t xml:space="preserve">Usando los valores anteriores de las componentes</w:t>
      </w:r>
      <w:r>
        <w:t xml:space="preserve"> </w:t>
      </w:r>
      <m:oMath>
        <m:sSup>
          <m:e>
            <m:r>
              <m:t>​</m:t>
            </m:r>
          </m:e>
          <m:sup>
            <m:r>
              <m:t>v</m:t>
            </m:r>
          </m:sup>
        </m:sSup>
        <m:sSub>
          <m:e>
            <m:r>
              <m:t>B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​</m:t>
            </m:r>
          </m:e>
          <m:sup>
            <m:r>
              <m:t>h</m:t>
            </m:r>
          </m:sup>
        </m:sSup>
        <m:sSub>
          <m:e>
            <m:r>
              <m:t>B</m:t>
            </m:r>
          </m:e>
          <m:sub>
            <m:r>
              <m:t>E</m:t>
            </m:r>
          </m:sub>
        </m:sSub>
      </m:oMath>
      <w:r>
        <w:t xml:space="preserve">, obtener</w:t>
      </w:r>
      <w:r>
        <w:t xml:space="preserve"> </w:t>
      </w:r>
      <m:oMath>
        <m:sSub>
          <m:e>
            <m:r>
              <m:t>B</m:t>
            </m:r>
          </m:e>
          <m:sub>
            <m:r>
              <m:t>E</m:t>
            </m:r>
          </m:sub>
        </m:sSub>
      </m:oMath>
      <w:r>
        <w:t xml:space="preserve">.</w:t>
      </w:r>
      <w:r>
        <w:t xml:space="preserve"> </w:t>
      </w:r>
      <w:r>
        <w:t xml:space="preserve">Expresar los resultados con sus intervalos de error correspondientes.</w:t>
      </w:r>
    </w:p>
    <w:bookmarkEnd w:id="33"/>
    <w:bookmarkEnd w:id="34"/>
    <w:bookmarkStart w:id="35" w:name="discusión"/>
    <w:p>
      <w:pPr>
        <w:pStyle w:val="Heading2"/>
      </w:pPr>
      <w:r>
        <w:t xml:space="preserve">Discusión</w:t>
      </w:r>
    </w:p>
    <w:p>
      <w:pPr>
        <w:numPr>
          <w:ilvl w:val="0"/>
          <w:numId w:val="1003"/>
        </w:numPr>
      </w:pPr>
      <w:r>
        <w:t xml:space="preserve">Discutir cualquier otro resultado o problema de interés encontrado en el experimento.</w:t>
      </w:r>
    </w:p>
    <w:bookmarkEnd w:id="35"/>
    <w:bookmarkStart w:id="36" w:name="cuestiones"/>
    <w:p>
      <w:pPr>
        <w:pStyle w:val="Heading2"/>
      </w:pPr>
      <w:r>
        <w:t xml:space="preserve">Cuestiones</w:t>
      </w:r>
    </w:p>
    <w:p>
      <w:pPr>
        <w:numPr>
          <w:ilvl w:val="0"/>
          <w:numId w:val="1004"/>
        </w:numPr>
      </w:pPr>
      <w:r>
        <w:t xml:space="preserve">Buscar los valores esperados en Madrid para las dos componentes del campo</w:t>
      </w:r>
      <w:r>
        <w:t xml:space="preserve"> </w:t>
      </w:r>
      <w:r>
        <w:t xml:space="preserve">magnético terrestre, así como del campo</w:t>
      </w:r>
      <w:r>
        <w:t xml:space="preserve"> </w:t>
      </w:r>
      <m:oMath>
        <m:sSub>
          <m:e>
            <m:r>
              <m:t>B</m:t>
            </m:r>
          </m:e>
          <m:sub>
            <m:r>
              <m:t>E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Comparar valores encontrados en la bibliografía, con los resultados obtenidos y</w:t>
      </w:r>
      <w:r>
        <w:t xml:space="preserve"> </w:t>
      </w:r>
      <w:r>
        <w:t xml:space="preserve">discutir la validez de los mismos.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" w:type="paragraph">
    <w:name w:val="Recuadro"/>
    <w:basedOn w:val="BodyText"/>
    <w:qFormat/>
    <w:pPr>
      <w:pBdr>
        <w:top w:color="000000" w:space="6" w:sz="8" w:val="single"/>
        <w:left w:color="000000" w:space="6" w:sz="8" w:val="single"/>
        <w:bottom w:color="000000" w:space="6" w:sz="8" w:val="single"/>
        <w:right w:color="000000" w:space="6" w:sz="8" w:val="single"/>
      </w:pBdr>
      <w:ind w:left="284" w:right="284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0000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2026-09-10T14:11:41Z</dcterms:created>
  <dcterms:modified xsi:type="dcterms:W3CDTF">2026-09-10T14:11:41Z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