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26.jpg" ContentType="image/jpe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apacidad-de-esferas-metálicas"/>
    <w:p>
      <w:pPr>
        <w:pStyle w:val="Heading1"/>
      </w:pPr>
      <w:r>
        <w:t xml:space="preserve">Capacidad de esferas metálicas</w:t>
      </w:r>
    </w:p>
    <w:p>
      <w:pPr>
        <w:pStyle w:val="Recuadro"/>
      </w:pPr>
      <w:r>
        <w:t xml:space="preserve">RECOMENDACIÓN IMPORTANTE: ES IMPORTANTE RESPETAR LAS NORMAS DE SEGURIDAD EN ESTA PRÁCTICA. LA RESISTENCIA DE PROTECCIÓN DE 10M</w:t>
      </w:r>
      <m:oMath>
        <m:r>
          <m:t>Ω</m:t>
        </m:r>
      </m:oMath>
      <w:r>
        <w:t xml:space="preserve"> </w:t>
      </w:r>
      <w:r>
        <w:t xml:space="preserve">DEBE DE ESTAR CONECTADA EN TODAS LAS MEDIDAS.</w:t>
      </w:r>
    </w:p>
    <w:bookmarkStart w:id="20" w:name="conceptos-aplicados"/>
    <w:p>
      <w:pPr>
        <w:pStyle w:val="Heading2"/>
      </w:pPr>
      <w:r>
        <w:t xml:space="preserve">Conceptos aplicados</w:t>
      </w:r>
    </w:p>
    <w:p>
      <w:pPr>
        <w:pStyle w:val="FirstParagraph"/>
      </w:pPr>
      <w:r>
        <w:t xml:space="preserve">Se trata de determinar las cargas inducidas en condensadores esféricos sometidos a distintos voltajes. Se deduce la capacidad a partir de la medidas experimentales y se contrastan con los valores teóricos.</w:t>
      </w:r>
    </w:p>
    <w:bookmarkEnd w:id="20"/>
    <w:bookmarkStart w:id="21" w:name="fundamento-teórico"/>
    <w:p>
      <w:pPr>
        <w:pStyle w:val="Heading2"/>
      </w:pPr>
      <w:r>
        <w:t xml:space="preserve">Fundamento teórico</w:t>
      </w:r>
    </w:p>
    <w:p>
      <w:pPr>
        <w:pStyle w:val="FirstParagraph"/>
      </w:pPr>
      <w:r>
        <w:t xml:space="preserve">La capacidad de un conductor se define como la relación entre su potencial absoluto y la carga almacenada:</w:t>
      </w:r>
    </w:p>
    <w:p>
      <w:pPr>
        <w:pStyle w:val="BodyText"/>
      </w:pPr>
      <m:oMathPara>
        <m:oMathParaPr>
          <m:jc m:val="center"/>
        </m:oMathParaPr>
        <m:oMath>
          <m:r>
            <m:t>C</m:t>
          </m:r>
          <m:r>
            <m:rPr>
              <m:sty m:val="p"/>
            </m:rPr>
            <m:t>=</m:t>
          </m:r>
          <m:f>
            <m:fPr>
              <m:type m:val="bar"/>
            </m:fPr>
            <m:num>
              <m:r>
                <m:t>Q</m:t>
              </m:r>
            </m:num>
            <m:den>
              <m:r>
                <m:t>V</m:t>
              </m:r>
            </m:den>
          </m:f>
          <m:r>
            <m:t> </m:t>
          </m:r>
          <m:r>
            <m:rPr>
              <m:nor/>
              <m:sty m:val="p"/>
            </m:rPr>
            <m:t>(7.1)</m:t>
          </m:r>
        </m:oMath>
      </m:oMathPara>
    </w:p>
    <w:p>
      <w:pPr>
        <w:pStyle w:val="FirstParagraph"/>
      </w:pPr>
      <w:r>
        <w:t xml:space="preserve">Esta relación depende únicamente de la geometría del conductor y es constante para un conductor no deformable. La capacidad de una esfera conductora de radio</w:t>
      </w:r>
      <w:r>
        <w:t xml:space="preserve"> </w:t>
      </w:r>
      <m:oMath>
        <m:r>
          <m:t>R</m:t>
        </m:r>
      </m:oMath>
      <w:r>
        <w:t xml:space="preserve"> </w:t>
      </w:r>
      <w:r>
        <w:t xml:space="preserve">se puede calcular teóricamente a partir de las leyes de la electroestática:</w:t>
      </w:r>
    </w:p>
    <w:p>
      <w:pPr>
        <w:pStyle w:val="BodyText"/>
      </w:pPr>
      <m:oMathPara>
        <m:oMathParaPr>
          <m:jc m:val="center"/>
        </m:oMathParaPr>
        <m:oMath>
          <m:r>
            <m:t>C</m:t>
          </m:r>
          <m:r>
            <m:rPr>
              <m:sty m:val="p"/>
            </m:rPr>
            <m:t>=</m:t>
          </m:r>
          <m:r>
            <m:t>4</m:t>
          </m:r>
          <m:r>
            <m:t>π</m:t>
          </m:r>
          <m:sSub>
            <m:e>
              <m:r>
                <m:t>ϵ</m:t>
              </m:r>
            </m:e>
            <m:sub>
              <m:r>
                <m:t>0</m:t>
              </m:r>
            </m:sub>
          </m:sSub>
          <m:r>
            <m:t>R</m:t>
          </m:r>
          <m:r>
            <m:t> </m:t>
          </m:r>
          <m:r>
            <m:rPr>
              <m:nor/>
              <m:sty m:val="p"/>
            </m:rPr>
            <m:t>(7.2)</m:t>
          </m:r>
        </m:oMath>
      </m:oMathPara>
    </w:p>
    <w:p>
      <w:pPr>
        <w:pStyle w:val="FirstParagraph"/>
      </w:pPr>
      <w:r>
        <w:t xml:space="preserve">Cuando se aplica una diferencia de potencial entre dos conductores aparece una carga igual en magnitud pero de signo opuesto en cada uno de los conductores. El conjunto formado por ambos conductores se denomina condensador y lleva asociado una capacidad que relaciona la carga almacenada con la diferencia de potencial entre ambos conductores:</w:t>
      </w:r>
    </w:p>
    <w:p>
      <w:pPr>
        <w:pStyle w:val="BodyText"/>
      </w:pPr>
      <m:oMathPara>
        <m:oMathParaPr>
          <m:jc m:val="center"/>
        </m:oMathParaPr>
        <m:oMath>
          <m:r>
            <m:t>C</m:t>
          </m:r>
          <m:r>
            <m:rPr>
              <m:sty m:val="p"/>
            </m:rPr>
            <m:t>=</m:t>
          </m:r>
          <m:f>
            <m:fPr>
              <m:type m:val="bar"/>
            </m:fPr>
            <m:num>
              <m:r>
                <m:t>Q</m:t>
              </m:r>
            </m:num>
            <m:den>
              <m:r>
                <m:t>Δ</m:t>
              </m:r>
              <m:r>
                <m:t>V</m:t>
              </m:r>
            </m:den>
          </m:f>
          <m:r>
            <m:t> </m:t>
          </m:r>
          <m:r>
            <m:rPr>
              <m:nor/>
              <m:sty m:val="p"/>
            </m:rPr>
            <m:t>(7.3)</m:t>
          </m:r>
        </m:oMath>
      </m:oMathPara>
    </w:p>
    <w:p>
      <w:pPr>
        <w:pStyle w:val="FirstParagraph"/>
      </w:pPr>
      <w:r>
        <w:t xml:space="preserve">Esta capacidad depende únicamente de los materiales en el espacio alrededor de los conductores y de su geometría (forma, situación en el espacio...).</w:t>
      </w:r>
    </w:p>
    <w:bookmarkEnd w:id="21"/>
    <w:bookmarkStart w:id="33" w:name="montaje-experimental-y-resultados"/>
    <w:p>
      <w:pPr>
        <w:pStyle w:val="Heading2"/>
      </w:pPr>
      <w:r>
        <w:t xml:space="preserve">Montaje experimental y Resultados</w:t>
      </w:r>
    </w:p>
    <w:bookmarkStart w:id="25" w:name="X4c47a1aabd7b91924360111a891f636c6f2bfe1"/>
    <w:p>
      <w:pPr>
        <w:pStyle w:val="Heading3"/>
      </w:pPr>
      <w:r>
        <w:t xml:space="preserve">Determinación de la capacidad de esferas metálicas</w:t>
      </w:r>
    </w:p>
    <w:p>
      <w:pPr>
        <w:pStyle w:val="FirstParagraph"/>
      </w:pPr>
      <w:r>
        <w:t xml:space="preserve">El conductor esférico pequeño (</w:t>
      </w:r>
      <m:oMath>
        <m:r>
          <m:t>d</m:t>
        </m:r>
        <m:r>
          <m:rPr>
            <m:sty m:val="p"/>
          </m:rPr>
          <m:t>=</m:t>
        </m:r>
        <m:r>
          <m:t>2</m:t>
        </m:r>
      </m:oMath>
      <w:r>
        <w:t xml:space="preserve">cm) se coloca sobre un soporte cilíndrico de material aislante y se conecta al polo positivo de la fuente de alto voltaje. Se asocia en serie con el conductor esférico una resistencia de protección de 10 M</w:t>
      </w:r>
      <m:oMath>
        <m:r>
          <m:t>Ω</m:t>
        </m:r>
      </m:oMath>
      <w:r>
        <w:t xml:space="preserve"> </w:t>
      </w:r>
      <w:r>
        <w:t xml:space="preserve">mientras el polo negativo de la fuente se conecta a tierra. La esfera pequeña se pone en contacto brevemente con las esferas de ensayo para cargar estas últimas. Después de la operación de carga de la esfera de prueba se debe poner la fuente de alto voltaje a 0V. Para cada medida se incrementa en 1000V la tensión</w:t>
      </w:r>
      <w:r>
        <w:t xml:space="preserve"> </w:t>
      </w:r>
      <m:oMath>
        <m:sSub>
          <m:e>
            <m:r>
              <m:t>V</m:t>
            </m:r>
          </m:e>
          <m:sub>
            <m:r>
              <m:t>2</m:t>
            </m:r>
          </m:sub>
        </m:sSub>
      </m:oMath>
      <w:r>
        <w:t xml:space="preserve"> </w:t>
      </w:r>
      <w:r>
        <w:t xml:space="preserve">de alto voltaje. Antes de ser cargadas de nuevo, las esferas de prueba se descargan poniéndolas en contacto con el cable de conexión a tierra.</w:t>
      </w:r>
    </w:p>
    <w:p>
      <w:pPr>
        <w:pStyle w:val="BodyText"/>
      </w:pPr>
      <w:r>
        <w:t xml:space="preserve">La carga eléctrica de las esferas de prueba se determinará mediante un amplificador de medida. Mediante un adaptador banana-BNC se conecta un condensador de</w:t>
      </w:r>
      <w:r>
        <w:t xml:space="preserve"> </w:t>
      </w:r>
      <m:oMath>
        <m:sSub>
          <m:e>
            <m:r>
              <m:t>C</m:t>
            </m:r>
          </m:e>
          <m:sub>
            <m:r>
              <m:t>c</m:t>
            </m:r>
            <m:r>
              <m:t>a</m:t>
            </m:r>
          </m:sub>
        </m:sSub>
        <m:r>
          <m:rPr>
            <m:sty m:val="p"/>
          </m:rPr>
          <m:t>=</m:t>
        </m:r>
        <m:r>
          <m:t>10</m:t>
        </m:r>
      </m:oMath>
      <w:r>
        <w:t xml:space="preserve">nF en paralelo con la entrada de alta impedancia del amplificador. El valor de la capacidad</w:t>
      </w:r>
      <w:r>
        <w:t xml:space="preserve"> </w:t>
      </w:r>
      <m:oMath>
        <m:sSub>
          <m:e>
            <m:r>
              <m:t>C</m:t>
            </m:r>
          </m:e>
          <m:sub>
            <m:r>
              <m:t>c</m:t>
            </m:r>
            <m:r>
              <m:t>a</m:t>
            </m:r>
          </m:sub>
        </m:sSub>
      </m:oMath>
      <w:r>
        <w:t xml:space="preserve"> </w:t>
      </w:r>
      <w:r>
        <w:t xml:space="preserve">debe de comprobarse con ayuda de un polímetro apto para medir capacidades. La capacidad de los conductores esféricos se determinan a partir de los valores de tensión</w:t>
      </w:r>
      <w:r>
        <w:t xml:space="preserve"> </w:t>
      </w:r>
      <m:oMath>
        <m:sSub>
          <m:e>
            <m:r>
              <m:t>V</m:t>
            </m:r>
          </m:e>
          <m:sub>
            <m:r>
              <m:t>1</m:t>
            </m:r>
          </m:sub>
        </m:sSub>
      </m:oMath>
      <w:r>
        <w:t xml:space="preserve"> </w:t>
      </w:r>
      <w:r>
        <w:t xml:space="preserve">medidas con ayuda del amplificador.</w:t>
      </w:r>
    </w:p>
    <w:p>
      <w:pPr>
        <w:pStyle w:val="CaptionedFigure"/>
      </w:pPr>
      <w:r>
        <w:drawing>
          <wp:inline>
            <wp:extent cx="4319999" cy="2304787"/>
            <wp:effectExtent b="0" l="0" r="0" t="0"/>
            <wp:docPr descr="" title="" id="23" name="Picture"/>
            <a:graphic>
              <a:graphicData uri="http://schemas.openxmlformats.org/drawingml/2006/picture">
                <pic:pic>
                  <pic:nvPicPr>
                    <pic:cNvPr descr="figures/fig_capacidad_1.jpg" id="24" name="Picture"/>
                    <pic:cNvPicPr>
                      <a:picLocks noChangeArrowheads="1" noChangeAspect="1"/>
                    </pic:cNvPicPr>
                  </pic:nvPicPr>
                  <pic:blipFill>
                    <a:blip r:embed="rId22"/>
                    <a:stretch>
                      <a:fillRect/>
                    </a:stretch>
                  </pic:blipFill>
                  <pic:spPr bwMode="auto">
                    <a:xfrm>
                      <a:off x="0" y="0"/>
                      <a:ext cx="4319999" cy="2304787"/>
                    </a:xfrm>
                    <a:prstGeom prst="rect">
                      <a:avLst/>
                    </a:prstGeom>
                    <a:noFill/>
                    <a:ln w="9525">
                      <a:noFill/>
                      <a:headEnd/>
                      <a:tailEnd/>
                    </a:ln>
                  </pic:spPr>
                </pic:pic>
              </a:graphicData>
            </a:graphic>
          </wp:inline>
        </w:drawing>
      </w:r>
    </w:p>
    <w:p>
      <w:pPr>
        <w:pStyle w:val="ImageCaption"/>
      </w:pPr>
      <w:r>
        <w:t xml:space="preserve">Figura 7.1: Montaje experimental de la parte 1.</w:t>
      </w:r>
    </w:p>
    <w:p>
      <w:pPr>
        <w:pStyle w:val="BodyText"/>
      </w:pPr>
      <w:r>
        <w:t xml:space="preserve">La tensión medida</w:t>
      </w:r>
      <w:r>
        <w:t xml:space="preserve"> </w:t>
      </w:r>
      <m:oMath>
        <m:sSub>
          <m:e>
            <m:r>
              <m:t>V</m:t>
            </m:r>
          </m:e>
          <m:sub>
            <m:r>
              <m:t>1</m:t>
            </m:r>
          </m:sub>
        </m:sSub>
      </m:oMath>
      <w:r>
        <w:t xml:space="preserve"> </w:t>
      </w:r>
      <w:r>
        <w:t xml:space="preserve">a la salida del amplificador permite determinar la carga</w:t>
      </w:r>
      <w:r>
        <w:t xml:space="preserve"> </w:t>
      </w:r>
      <m:oMath>
        <m:r>
          <m:t>Q</m:t>
        </m:r>
      </m:oMath>
      <w:r>
        <w:t xml:space="preserve"> </w:t>
      </w:r>
      <w:r>
        <w:t xml:space="preserve">de la esfera:</w:t>
      </w:r>
    </w:p>
    <w:p>
      <w:pPr>
        <w:pStyle w:val="BodyText"/>
      </w:pPr>
      <m:oMathPara>
        <m:oMathParaPr>
          <m:jc m:val="center"/>
        </m:oMathParaPr>
        <m:oMath>
          <m:r>
            <m:t>Q</m:t>
          </m:r>
          <m:r>
            <m:rPr>
              <m:sty m:val="p"/>
            </m:rPr>
            <m:t>=</m:t>
          </m:r>
          <m:d>
            <m:dPr>
              <m:begChr m:val="("/>
              <m:endChr m:val=")"/>
              <m:sepChr m:val=""/>
              <m:grow/>
            </m:dPr>
            <m:e>
              <m:r>
                <m:t>C</m:t>
              </m:r>
              <m:r>
                <m:rPr>
                  <m:sty m:val="p"/>
                </m:rPr>
                <m:t>+</m:t>
              </m:r>
              <m:sSub>
                <m:e>
                  <m:r>
                    <m:t>C</m:t>
                  </m:r>
                </m:e>
                <m:sub>
                  <m:r>
                    <m:t>c</m:t>
                  </m:r>
                  <m:r>
                    <m:t>a</m:t>
                  </m:r>
                </m:sub>
              </m:sSub>
            </m:e>
          </m:d>
          <m:sSub>
            <m:e>
              <m:r>
                <m:t>V</m:t>
              </m:r>
            </m:e>
            <m:sub>
              <m:r>
                <m:t>1</m:t>
              </m:r>
            </m:sub>
          </m:sSub>
          <m:r>
            <m:t> </m:t>
          </m:r>
          <m:r>
            <m:rPr>
              <m:nor/>
              <m:sty m:val="p"/>
            </m:rPr>
            <m:t>(7.4)</m:t>
          </m:r>
        </m:oMath>
      </m:oMathPara>
    </w:p>
    <w:p>
      <w:pPr>
        <w:pStyle w:val="FirstParagraph"/>
      </w:pPr>
      <w:r>
        <w:t xml:space="preserve">Siendo</w:t>
      </w:r>
      <w:r>
        <w:t xml:space="preserve"> </w:t>
      </w:r>
      <m:oMath>
        <m:sSub>
          <m:e>
            <m:r>
              <m:t>C</m:t>
            </m:r>
          </m:e>
          <m:sub>
            <m:r>
              <m:t>c</m:t>
            </m:r>
            <m:r>
              <m:t>a</m:t>
            </m:r>
          </m:sub>
        </m:sSub>
      </m:oMath>
      <w:r>
        <w:t xml:space="preserve"> </w:t>
      </w:r>
      <w:r>
        <w:t xml:space="preserve">el condensador auxiliar en paralelo con la entrada del amplificador. Este condensador tiene una capacidad mucho más alta que la capacidad del conductor esférico</w:t>
      </w:r>
      <w:r>
        <w:t xml:space="preserve"> </w:t>
      </w:r>
      <m:oMath>
        <m:r>
          <m:t>C</m:t>
        </m:r>
        <m:r>
          <m:rPr>
            <m:sty m:val="p"/>
          </m:rPr>
          <m:t>&lt;</m:t>
        </m:r>
        <m:r>
          <m:rPr>
            <m:sty m:val="p"/>
          </m:rPr>
          <m:t>&lt;</m:t>
        </m:r>
        <m:sSub>
          <m:e>
            <m:r>
              <m:t>C</m:t>
            </m:r>
          </m:e>
          <m:sub>
            <m:r>
              <m:t>c</m:t>
            </m:r>
            <m:r>
              <m:t>a</m:t>
            </m:r>
          </m:sub>
        </m:sSub>
      </m:oMath>
      <w:r>
        <w:t xml:space="preserve"> </w:t>
      </w:r>
      <w:r>
        <w:t xml:space="preserve">y por lo tanto:</w:t>
      </w:r>
    </w:p>
    <w:p>
      <w:pPr>
        <w:pStyle w:val="BodyText"/>
      </w:pPr>
      <m:oMathPara>
        <m:oMathParaPr>
          <m:jc m:val="center"/>
        </m:oMathParaPr>
        <m:oMath>
          <m:r>
            <m:t>Q</m:t>
          </m:r>
          <m:r>
            <m:rPr>
              <m:sty m:val="p"/>
            </m:rPr>
            <m:t>≃</m:t>
          </m:r>
          <m:sSub>
            <m:e>
              <m:r>
                <m:t>C</m:t>
              </m:r>
            </m:e>
            <m:sub>
              <m:r>
                <m:t>c</m:t>
              </m:r>
              <m:r>
                <m:t>a</m:t>
              </m:r>
            </m:sub>
          </m:sSub>
          <m:sSub>
            <m:e>
              <m:r>
                <m:t>V</m:t>
              </m:r>
            </m:e>
            <m:sub>
              <m:r>
                <m:t>1</m:t>
              </m:r>
            </m:sub>
          </m:sSub>
          <m:r>
            <m:rPr>
              <m:sty m:val="p"/>
            </m:rPr>
            <m:t>.</m:t>
          </m:r>
          <m:r>
            <m:t> </m:t>
          </m:r>
          <m:r>
            <m:rPr>
              <m:nor/>
              <m:sty m:val="p"/>
            </m:rPr>
            <m:t>(7.5)</m:t>
          </m:r>
        </m:oMath>
      </m:oMathPara>
    </w:p>
    <w:p>
      <w:pPr>
        <w:pStyle w:val="FirstParagraph"/>
      </w:pPr>
      <w:r>
        <w:t xml:space="preserve">Por otro lado la carga de la esfera de prueba se puede hallar sabiendo la tensión del alto voltaje</w:t>
      </w:r>
      <w:r>
        <w:t xml:space="preserve"> </w:t>
      </w:r>
      <m:oMath>
        <m:sSub>
          <m:e>
            <m:r>
              <m:t>V</m:t>
            </m:r>
          </m:e>
          <m:sub>
            <m:r>
              <m:t>2</m:t>
            </m:r>
          </m:sub>
        </m:sSub>
      </m:oMath>
      <w:r>
        <w:t xml:space="preserve">:</w:t>
      </w:r>
    </w:p>
    <w:p>
      <w:pPr>
        <w:pStyle w:val="BodyText"/>
      </w:pPr>
      <m:oMathPara>
        <m:oMathParaPr>
          <m:jc m:val="center"/>
        </m:oMathParaPr>
        <m:oMath>
          <m:r>
            <m:t>Q</m:t>
          </m:r>
          <m:r>
            <m:rPr>
              <m:sty m:val="p"/>
            </m:rPr>
            <m:t>=</m:t>
          </m:r>
          <m:r>
            <m:t>C</m:t>
          </m:r>
          <m:sSub>
            <m:e>
              <m:r>
                <m:t>V</m:t>
              </m:r>
            </m:e>
            <m:sub>
              <m:r>
                <m:t>2</m:t>
              </m:r>
            </m:sub>
          </m:sSub>
          <m:r>
            <m:t> </m:t>
          </m:r>
          <m:r>
            <m:rPr>
              <m:nor/>
              <m:sty m:val="p"/>
            </m:rPr>
            <m:t>(7.6)</m:t>
          </m:r>
        </m:oMath>
      </m:oMathPara>
    </w:p>
    <w:p>
      <w:pPr>
        <w:pStyle w:val="FirstParagraph"/>
      </w:pPr>
      <w:r>
        <w:t xml:space="preserve">Haciendo uso de las dos ecuaciones anteriores podemos determinar la capacidad</w:t>
      </w:r>
      <w:r>
        <w:t xml:space="preserve"> </w:t>
      </w:r>
      <m:oMath>
        <m:r>
          <m:t>C</m:t>
        </m:r>
      </m:oMath>
      <w:r>
        <w:t xml:space="preserve"> </w:t>
      </w:r>
      <w:r>
        <w:t xml:space="preserve">del conductor conociendo la capacidad</w:t>
      </w:r>
      <w:r>
        <w:t xml:space="preserve"> </w:t>
      </w:r>
      <m:oMath>
        <m:sSub>
          <m:e>
            <m:r>
              <m:t>C</m:t>
            </m:r>
          </m:e>
          <m:sub>
            <m:r>
              <m:t>c</m:t>
            </m:r>
            <m:r>
              <m:t>a</m:t>
            </m:r>
          </m:sub>
        </m:sSub>
      </m:oMath>
      <w:r>
        <w:t xml:space="preserve">.</w:t>
      </w:r>
    </w:p>
    <w:p>
      <w:pPr>
        <w:pStyle w:val="BodyText"/>
      </w:pPr>
      <m:oMathPara>
        <m:oMathParaPr>
          <m:jc m:val="center"/>
        </m:oMathParaPr>
        <m:oMath>
          <m:f>
            <m:fPr>
              <m:type m:val="bar"/>
            </m:fPr>
            <m:num>
              <m:sSub>
                <m:e>
                  <m:r>
                    <m:t>V</m:t>
                  </m:r>
                </m:e>
                <m:sub>
                  <m:r>
                    <m:t>1</m:t>
                  </m:r>
                </m:sub>
              </m:sSub>
            </m:num>
            <m:den>
              <m:sSub>
                <m:e>
                  <m:r>
                    <m:t>V</m:t>
                  </m:r>
                </m:e>
                <m:sub>
                  <m:r>
                    <m:t>2</m:t>
                  </m:r>
                </m:sub>
              </m:sSub>
            </m:den>
          </m:f>
          <m:r>
            <m:rPr>
              <m:sty m:val="p"/>
            </m:rPr>
            <m:t>=</m:t>
          </m:r>
          <m:f>
            <m:fPr>
              <m:type m:val="bar"/>
            </m:fPr>
            <m:num>
              <m:r>
                <m:t>C</m:t>
              </m:r>
            </m:num>
            <m:den>
              <m:sSub>
                <m:e>
                  <m:r>
                    <m:t>C</m:t>
                  </m:r>
                </m:e>
                <m:sub>
                  <m:r>
                    <m:t>c</m:t>
                  </m:r>
                  <m:r>
                    <m:t>a</m:t>
                  </m:r>
                </m:sub>
              </m:sSub>
            </m:den>
          </m:f>
          <m:r>
            <m:t> </m:t>
          </m:r>
          <m:r>
            <m:rPr>
              <m:nor/>
              <m:sty m:val="p"/>
            </m:rPr>
            <m:t>(7.7)</m:t>
          </m:r>
        </m:oMath>
      </m:oMathPara>
    </w:p>
    <w:p>
      <w:pPr>
        <w:pStyle w:val="FirstParagraph"/>
      </w:pPr>
      <w:r>
        <w:t xml:space="preserve">(1,0)</w:t>
      </w:r>
      <w:r>
        <w:t xml:space="preserve">250</w:t>
      </w:r>
    </w:p>
    <w:p>
      <w:pPr>
        <w:pStyle w:val="BodyText"/>
      </w:pPr>
      <w:r>
        <w:t xml:space="preserve">Medir la capacidad del condensador</w:t>
      </w:r>
      <w:r>
        <w:t xml:space="preserve"> </w:t>
      </w:r>
      <m:oMath>
        <m:sSub>
          <m:e>
            <m:r>
              <m:t>C</m:t>
            </m:r>
          </m:e>
          <m:sub>
            <m:r>
              <m:t>c</m:t>
            </m:r>
            <m:r>
              <m:t>a</m:t>
            </m:r>
          </m:sub>
        </m:sSub>
      </m:oMath>
      <w:r>
        <w:t xml:space="preserve"> </w:t>
      </w:r>
      <w:r>
        <w:t xml:space="preserve">con el polímetro:</w:t>
      </w:r>
    </w:p>
    <w:p>
      <w:pPr>
        <w:pStyle w:val="BodyText"/>
      </w:pPr>
      <m:oMathPara>
        <m:oMathParaPr>
          <m:jc m:val="center"/>
        </m:oMathParaPr>
        <m:oMath>
          <m:sSub>
            <m:e>
              <m:r>
                <m:t>C</m:t>
              </m:r>
            </m:e>
            <m:sub>
              <m:r>
                <m:t>c</m:t>
              </m:r>
              <m:r>
                <m:t>a</m:t>
              </m:r>
            </m:sub>
          </m:sSub>
          <m:d>
            <m:dPr>
              <m:begChr m:val="("/>
              <m:endChr m:val=")"/>
              <m:sepChr m:val=""/>
              <m:grow/>
            </m:dPr>
            <m:e>
              <m:r>
                <m:rPr>
                  <m:sty m:val="p"/>
                </m:rPr>
                <m:t>±</m:t>
              </m:r>
              <m:sSub>
                <m:e>
                  <m:r>
                    <m:t>ϵ</m:t>
                  </m:r>
                </m:e>
                <m:sub>
                  <m:sSub>
                    <m:e>
                      <m:r>
                        <m:t>C</m:t>
                      </m:r>
                    </m:e>
                    <m:sub>
                      <m:r>
                        <m:t>c</m:t>
                      </m:r>
                      <m:r>
                        <m:t>a</m:t>
                      </m:r>
                    </m:sub>
                  </m:sSub>
                </m:sub>
              </m:sSub>
            </m:e>
          </m:d>
          <m:r>
            <m:rPr>
              <m:sty m:val="p"/>
            </m:rPr>
            <m:t>=</m:t>
          </m:r>
        </m:oMath>
      </m:oMathPara>
    </w:p>
    <w:p>
      <w:pPr>
        <w:pStyle w:val="FirstParagraph"/>
      </w:pPr>
      <w:r>
        <w:t xml:space="preserve">Tomar medidas de la tensión</w:t>
      </w:r>
      <w:r>
        <w:t xml:space="preserve"> </w:t>
      </w:r>
      <m:oMath>
        <m:sSub>
          <m:e>
            <m:r>
              <m:t>V</m:t>
            </m:r>
          </m:e>
          <m:sub>
            <m:r>
              <m:t>1</m:t>
            </m:r>
          </m:sub>
        </m:sSub>
      </m:oMath>
      <w:r>
        <w:t xml:space="preserve"> </w:t>
      </w:r>
      <w:r>
        <w:t xml:space="preserve">para distintas tensiones de alto voltaje</w:t>
      </w:r>
      <w:r>
        <w:t xml:space="preserve"> </w:t>
      </w:r>
      <m:oMath>
        <m:sSub>
          <m:e>
            <m:r>
              <m:t>V</m:t>
            </m:r>
          </m:e>
          <m:sub>
            <m:r>
              <m:t>2</m:t>
            </m:r>
          </m:sub>
        </m:sSub>
      </m:oMath>
      <w:r>
        <w:t xml:space="preserve"> </w:t>
      </w:r>
      <w:r>
        <w:t xml:space="preserve">en pasos de 1kV para las esferas metálicas de diámetro</w:t>
      </w:r>
      <w:r>
        <w:t xml:space="preserve"> </w:t>
      </w:r>
      <m:oMath>
        <m:r>
          <m:t>R</m:t>
        </m:r>
        <m:r>
          <m:rPr>
            <m:sty m:val="p"/>
          </m:rPr>
          <m:t>=</m:t>
        </m:r>
        <m:r>
          <m:t>1</m:t>
        </m:r>
      </m:oMath>
      <w:r>
        <w:t xml:space="preserve">cm,</w:t>
      </w:r>
      <w:r>
        <w:t xml:space="preserve"> </w:t>
      </w:r>
      <m:oMath>
        <m:r>
          <m:t>R</m:t>
        </m:r>
        <m:r>
          <m:rPr>
            <m:sty m:val="p"/>
          </m:rPr>
          <m:t>=</m:t>
        </m:r>
        <m:r>
          <m:t>6</m:t>
        </m:r>
      </m:oMath>
      <w:r>
        <w:t xml:space="preserve">cm.</w:t>
      </w:r>
    </w:p>
    <w:tbl>
      <w:tblPr>
        <w:tblStyle w:val="Table"/>
        <w:tblW w:type="auto" w:w="0"/>
        <w:tblLook w:firstRow="1" w:lastRow="0" w:firstColumn="0" w:lastColumn="0" w:noHBand="0" w:noVBand="0" w:val="0020"/>
        <w:jc w:val="start"/>
        <w:tblLayout w:type="fixed"/>
      </w:tblPr>
      <w:tblGrid>
        <w:gridCol w:w="2338"/>
        <w:gridCol w:w="2338"/>
        <w:gridCol w:w="2338"/>
        <w:gridCol w:w="2336"/>
      </w:tblGrid>
      <w:tr>
        <w:trPr>
          <w:tblHeader w:val="true"/>
        </w:trPr>
        <w:tc>
          <w:tcPr>
            <w:gridSpan w:val="2"/>
          </w:tcPr>
          <w:p>
            <w:pPr>
              <w:pStyle w:val="Compact"/>
              <w:jc w:val="center"/>
            </w:pPr>
            <m:oMath>
              <m:r>
                <m:t>R</m:t>
              </m:r>
              <m:r>
                <m:rPr>
                  <m:sty m:val="p"/>
                </m:rPr>
                <m:t>=</m:t>
              </m:r>
              <m:r>
                <m:t>1</m:t>
              </m:r>
            </m:oMath>
            <w:r>
              <w:t xml:space="preserve">cm</w:t>
            </w:r>
          </w:p>
        </w:tc>
        <w:tc>
          <w:tcPr>
            <w:gridSpan w:val="2"/>
          </w:tcPr>
          <w:p>
            <w:pPr>
              <w:pStyle w:val="Compact"/>
              <w:jc w:val="center"/>
            </w:pPr>
            <m:oMath>
              <m:r>
                <m:t>R</m:t>
              </m:r>
              <m:r>
                <m:rPr>
                  <m:sty m:val="p"/>
                </m:rPr>
                <m:t>=</m:t>
              </m:r>
              <m:r>
                <m:t>6</m:t>
              </m:r>
            </m:oMath>
            <w:r>
              <w:t xml:space="preserve">cm</w:t>
            </w:r>
          </w:p>
        </w:tc>
      </w:tr>
      <w:tr>
        <w:tc>
          <w:tcPr/>
          <w:p>
            <w:pPr>
              <w:pStyle w:val="Compact"/>
              <w:jc w:val="left"/>
            </w:pPr>
            <m:oMath>
              <m:sSub>
                <m:e>
                  <m:r>
                    <m:t>V</m:t>
                  </m:r>
                </m:e>
                <m:sub>
                  <m:r>
                    <m:t>1</m:t>
                  </m:r>
                </m:sub>
              </m:sSub>
              <m:d>
                <m:dPr>
                  <m:begChr m:val="("/>
                  <m:endChr m:val=")"/>
                  <m:sepChr m:val=""/>
                  <m:grow/>
                </m:dPr>
                <m:e>
                  <m:r>
                    <m:rPr>
                      <m:sty m:val="p"/>
                    </m:rPr>
                    <m:t>±</m:t>
                  </m:r>
                  <m:sSub>
                    <m:e>
                      <m:r>
                        <m:t>ϵ</m:t>
                      </m:r>
                    </m:e>
                    <m:sub>
                      <m:sSub>
                        <m:e>
                          <m:r>
                            <m:t>V</m:t>
                          </m:r>
                        </m:e>
                        <m:sub>
                          <m:r>
                            <m:t>1</m:t>
                          </m:r>
                        </m:sub>
                      </m:sSub>
                    </m:sub>
                  </m:sSub>
                </m:e>
              </m:d>
            </m:oMath>
          </w:p>
        </w:tc>
        <w:tc>
          <w:tcPr/>
          <w:p>
            <w:pPr>
              <w:pStyle w:val="Compact"/>
              <w:jc w:val="left"/>
            </w:pPr>
            <m:oMath>
              <m:sSub>
                <m:e>
                  <m:r>
                    <m:t>V</m:t>
                  </m:r>
                </m:e>
                <m:sub>
                  <m:r>
                    <m:t>2</m:t>
                  </m:r>
                </m:sub>
              </m:sSub>
              <m:d>
                <m:dPr>
                  <m:begChr m:val="("/>
                  <m:endChr m:val=")"/>
                  <m:sepChr m:val=""/>
                  <m:grow/>
                </m:dPr>
                <m:e>
                  <m:r>
                    <m:rPr>
                      <m:sty m:val="p"/>
                    </m:rPr>
                    <m:t>±</m:t>
                  </m:r>
                  <m:sSub>
                    <m:e>
                      <m:r>
                        <m:t>ϵ</m:t>
                      </m:r>
                    </m:e>
                    <m:sub>
                      <m:sSub>
                        <m:e>
                          <m:r>
                            <m:t>V</m:t>
                          </m:r>
                        </m:e>
                        <m:sub>
                          <m:r>
                            <m:t>2</m:t>
                          </m:r>
                        </m:sub>
                      </m:sSub>
                    </m:sub>
                  </m:sSub>
                </m:e>
              </m:d>
            </m:oMath>
          </w:p>
        </w:tc>
        <w:tc>
          <w:tcPr/>
          <w:p>
            <w:pPr>
              <w:pStyle w:val="Compact"/>
              <w:jc w:val="left"/>
            </w:pPr>
            <m:oMath>
              <m:sSub>
                <m:e>
                  <m:r>
                    <m:t>V</m:t>
                  </m:r>
                </m:e>
                <m:sub>
                  <m:r>
                    <m:t>1</m:t>
                  </m:r>
                </m:sub>
              </m:sSub>
              <m:d>
                <m:dPr>
                  <m:begChr m:val="("/>
                  <m:endChr m:val=")"/>
                  <m:sepChr m:val=""/>
                  <m:grow/>
                </m:dPr>
                <m:e>
                  <m:r>
                    <m:rPr>
                      <m:sty m:val="p"/>
                    </m:rPr>
                    <m:t>±</m:t>
                  </m:r>
                  <m:sSub>
                    <m:e>
                      <m:r>
                        <m:t>ϵ</m:t>
                      </m:r>
                    </m:e>
                    <m:sub>
                      <m:sSub>
                        <m:e>
                          <m:r>
                            <m:t>V</m:t>
                          </m:r>
                        </m:e>
                        <m:sub>
                          <m:r>
                            <m:t>1</m:t>
                          </m:r>
                        </m:sub>
                      </m:sSub>
                    </m:sub>
                  </m:sSub>
                </m:e>
              </m:d>
            </m:oMath>
          </w:p>
        </w:tc>
        <w:tc>
          <w:tcPr/>
          <w:p>
            <w:pPr>
              <w:pStyle w:val="Compact"/>
              <w:jc w:val="left"/>
            </w:pPr>
            <m:oMath>
              <m:sSub>
                <m:e>
                  <m:r>
                    <m:t>V</m:t>
                  </m:r>
                </m:e>
                <m:sub>
                  <m:r>
                    <m:t>2</m:t>
                  </m:r>
                </m:sub>
              </m:sSub>
              <m:d>
                <m:dPr>
                  <m:begChr m:val="("/>
                  <m:endChr m:val=")"/>
                  <m:sepChr m:val=""/>
                  <m:grow/>
                </m:dPr>
                <m:e>
                  <m:r>
                    <m:rPr>
                      <m:sty m:val="p"/>
                    </m:rPr>
                    <m:t>±</m:t>
                  </m:r>
                  <m:sSub>
                    <m:e>
                      <m:r>
                        <m:t>ϵ</m:t>
                      </m:r>
                    </m:e>
                    <m:sub>
                      <m:sSub>
                        <m:e>
                          <m:r>
                            <m:t>V</m:t>
                          </m:r>
                        </m:e>
                        <m:sub>
                          <m:r>
                            <m:t>2</m:t>
                          </m:r>
                        </m:sub>
                      </m:sSub>
                    </m:sub>
                  </m:sSub>
                </m:e>
              </m:d>
            </m:oMath>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numPr>
          <w:ilvl w:val="0"/>
          <w:numId w:val="1001"/>
        </w:numPr>
      </w:pPr>
      <w:r>
        <w:t xml:space="preserve">Para cada esfera representar en una gráfica</w:t>
      </w:r>
      <w:r>
        <w:t xml:space="preserve"> </w:t>
      </w:r>
      <m:oMath>
        <m:sSub>
          <m:e>
            <m:r>
              <m:t>V</m:t>
            </m:r>
          </m:e>
          <m:sub>
            <m:r>
              <m:t>1</m:t>
            </m:r>
          </m:sub>
        </m:sSub>
      </m:oMath>
      <w:r>
        <w:t xml:space="preserve"> </w:t>
      </w:r>
      <w:r>
        <w:t xml:space="preserve">en función de</w:t>
      </w:r>
      <w:r>
        <w:t xml:space="preserve"> </w:t>
      </w:r>
      <m:oMath>
        <m:sSub>
          <m:e>
            <m:r>
              <m:t>V</m:t>
            </m:r>
          </m:e>
          <m:sub>
            <m:r>
              <m:t>2</m:t>
            </m:r>
          </m:sub>
        </m:sSub>
      </m:oMath>
      <w:r>
        <w:t xml:space="preserve">.</w:t>
      </w:r>
    </w:p>
    <w:p>
      <w:pPr>
        <w:numPr>
          <w:ilvl w:val="0"/>
          <w:numId w:val="1001"/>
        </w:numPr>
      </w:pPr>
      <w:r>
        <w:t xml:space="preserve">Calcular el coeficiente de correlación lineal</w:t>
      </w:r>
      <w:r>
        <w:t xml:space="preserve"> </w:t>
      </w:r>
      <m:oMath>
        <m:r>
          <m:t>r</m:t>
        </m:r>
      </m:oMath>
      <w:r>
        <w:t xml:space="preserve">, la pendiente</w:t>
      </w:r>
      <w:r>
        <w:t xml:space="preserve"> </w:t>
      </w:r>
      <m:oMath>
        <m:r>
          <m:t>a</m:t>
        </m:r>
      </m:oMath>
      <w:r>
        <w:t xml:space="preserve"> </w:t>
      </w:r>
      <w:r>
        <w:t xml:space="preserve">y la ordenada en el origen</w:t>
      </w:r>
      <w:r>
        <w:t xml:space="preserve"> </w:t>
      </w:r>
      <m:oMath>
        <m:r>
          <m:t>b</m:t>
        </m:r>
      </m:oMath>
      <w:r>
        <w:t xml:space="preserve"> </w:t>
      </w:r>
      <w:r>
        <w:t xml:space="preserve">de la recta de mínimos cuadrados</w:t>
      </w:r>
      <w:r>
        <w:t xml:space="preserve"> </w:t>
      </w:r>
      <m:oMath>
        <m:sSub>
          <m:e>
            <m:r>
              <m:t>V</m:t>
            </m:r>
          </m:e>
          <m:sub>
            <m:r>
              <m:t>1</m:t>
            </m:r>
          </m:sub>
        </m:sSub>
        <m:r>
          <m:rPr>
            <m:sty m:val="p"/>
          </m:rPr>
          <m:t>=</m:t>
        </m:r>
        <m:r>
          <m:t>a</m:t>
        </m:r>
        <m:sSub>
          <m:e>
            <m:r>
              <m:t>V</m:t>
            </m:r>
          </m:e>
          <m:sub>
            <m:r>
              <m:t>2</m:t>
            </m:r>
          </m:sub>
        </m:sSub>
        <m:r>
          <m:rPr>
            <m:sty m:val="p"/>
          </m:rPr>
          <m:t>+</m:t>
        </m:r>
        <m:r>
          <m:t>b</m:t>
        </m:r>
      </m:oMath>
      <w:r>
        <w:t xml:space="preserve">.</w:t>
      </w:r>
    </w:p>
    <w:p>
      <w:pPr>
        <w:pStyle w:val="BodyText"/>
      </w:pPr>
      <m:oMathPara>
        <m:oMathParaPr>
          <m:jc m:val="center"/>
        </m:oMathParaPr>
        <m:oMath>
          <m:r>
            <m:t>r</m:t>
          </m:r>
          <m:r>
            <m:rPr>
              <m:sty m:val="p"/>
            </m:rPr>
            <m:t>=</m:t>
          </m:r>
          <m:r>
            <m:rPr>
              <m:nor/>
              <m:sty m:val="p"/>
            </m:rPr>
            <m:t>                     </m:t>
          </m:r>
          <m:r>
            <m:t>a</m:t>
          </m:r>
          <m:d>
            <m:dPr>
              <m:begChr m:val="("/>
              <m:endChr m:val=")"/>
              <m:sepChr m:val=""/>
              <m:grow/>
            </m:dPr>
            <m:e>
              <m:r>
                <m:rPr>
                  <m:sty m:val="p"/>
                </m:rPr>
                <m:t>±</m:t>
              </m:r>
              <m:sSub>
                <m:e>
                  <m:r>
                    <m:t>ϵ</m:t>
                  </m:r>
                </m:e>
                <m:sub>
                  <m:r>
                    <m:t>a</m:t>
                  </m:r>
                </m:sub>
              </m:sSub>
            </m:e>
          </m:d>
          <m:r>
            <m:rPr>
              <m:sty m:val="p"/>
            </m:rPr>
            <m:t>=</m:t>
          </m:r>
          <m:r>
            <m:rPr>
              <m:nor/>
              <m:sty m:val="p"/>
            </m:rPr>
            <m:t>                      </m:t>
          </m:r>
          <m:r>
            <m:t>b</m:t>
          </m:r>
          <m:d>
            <m:dPr>
              <m:begChr m:val="("/>
              <m:endChr m:val=")"/>
              <m:sepChr m:val=""/>
              <m:grow/>
            </m:dPr>
            <m:e>
              <m:r>
                <m:rPr>
                  <m:sty m:val="p"/>
                </m:rPr>
                <m:t>±</m:t>
              </m:r>
              <m:sSub>
                <m:e>
                  <m:r>
                    <m:t>ϵ</m:t>
                  </m:r>
                </m:e>
                <m:sub>
                  <m:r>
                    <m:t>b</m:t>
                  </m:r>
                </m:sub>
              </m:sSub>
            </m:e>
          </m:d>
          <m:r>
            <m:rPr>
              <m:sty m:val="p"/>
            </m:rPr>
            <m:t>=</m:t>
          </m:r>
          <m:r>
            <m:rPr>
              <m:nor/>
              <m:sty m:val="p"/>
            </m:rPr>
            <m:t>                   </m:t>
          </m:r>
        </m:oMath>
      </m:oMathPara>
    </w:p>
    <w:p>
      <w:pPr>
        <w:numPr>
          <w:ilvl w:val="0"/>
          <w:numId w:val="1001"/>
        </w:numPr>
      </w:pPr>
      <w:r>
        <w:t xml:space="preserve">A partir de la ecuación (7.7) y del ajuste lineal anterior determinar la capacidad de cada esfera.</w:t>
      </w:r>
    </w:p>
    <w:bookmarkEnd w:id="25"/>
    <w:bookmarkStart w:id="32" w:name="X410751399b7a135e664ea45b98d716d69712296"/>
    <w:p>
      <w:pPr>
        <w:pStyle w:val="Heading3"/>
      </w:pPr>
      <w:r>
        <w:t xml:space="preserve">Determinación de la capacidad de condensadores esféricos</w:t>
      </w:r>
    </w:p>
    <w:p>
      <w:pPr>
        <w:pStyle w:val="FirstParagraph"/>
      </w:pPr>
      <w:r>
        <w:t xml:space="preserve">Para determinar la capacidad de un condensador esférico, se modifica el montaje experimental tal como se muestra en la figura 7.2. Los dos hemisferios de Cavendish se juntan para formar una esfera completa con un pequeño orificio circular en la parte superior (ver figura 7.3). Se suspende en el interior una esfera de plástico con superficie conductora mediante un alambre de cobre. El alambre de cobre pasa por el tubo de cristal envuelto en un papel de aluminio para evitar cualquier capacidad parásita. El papel de aluminio no debe tocar los hemisferios.</w:t>
      </w:r>
    </w:p>
    <w:p>
      <w:pPr>
        <w:pStyle w:val="CaptionedFigure"/>
      </w:pPr>
      <w:r>
        <w:drawing>
          <wp:inline>
            <wp:extent cx="4319999" cy="3122763"/>
            <wp:effectExtent b="0" l="0" r="0" t="0"/>
            <wp:docPr descr="" title="" id="27" name="Picture"/>
            <a:graphic>
              <a:graphicData uri="http://schemas.openxmlformats.org/drawingml/2006/picture">
                <pic:pic>
                  <pic:nvPicPr>
                    <pic:cNvPr descr="figures/fig_capacidad_2.jpg" id="28" name="Picture"/>
                    <pic:cNvPicPr>
                      <a:picLocks noChangeArrowheads="1" noChangeAspect="1"/>
                    </pic:cNvPicPr>
                  </pic:nvPicPr>
                  <pic:blipFill>
                    <a:blip r:embed="rId26"/>
                    <a:stretch>
                      <a:fillRect/>
                    </a:stretch>
                  </pic:blipFill>
                  <pic:spPr bwMode="auto">
                    <a:xfrm>
                      <a:off x="0" y="0"/>
                      <a:ext cx="4319999" cy="3122763"/>
                    </a:xfrm>
                    <a:prstGeom prst="rect">
                      <a:avLst/>
                    </a:prstGeom>
                    <a:noFill/>
                    <a:ln w="9525">
                      <a:noFill/>
                      <a:headEnd/>
                      <a:tailEnd/>
                    </a:ln>
                  </pic:spPr>
                </pic:pic>
              </a:graphicData>
            </a:graphic>
          </wp:inline>
        </w:drawing>
      </w:r>
    </w:p>
    <w:p>
      <w:pPr>
        <w:pStyle w:val="ImageCaption"/>
      </w:pPr>
      <w:r>
        <w:t xml:space="preserve">Figura 7.2: Montaje experimental de la parte 2.</w:t>
      </w:r>
    </w:p>
    <w:p>
      <w:pPr>
        <w:pStyle w:val="BodyText"/>
      </w:pPr>
      <w:r>
        <w:t xml:space="preserve">La esfera interior se conecta a la toma central de la fuente de alimentación de alto voltaje. Se usa el cable de alta tensión en serie con la resistencia de protección de 10M</w:t>
      </w:r>
      <m:oMath>
        <m:r>
          <m:t>Ω</m:t>
        </m:r>
      </m:oMath>
      <w:r>
        <w:t xml:space="preserve">. El borne negativo de la fuente se conecta a tierra. Se incrementa la tensión en pasos de 100V sin superar los 1000V para no dañar el multímetro digital.</w:t>
      </w:r>
    </w:p>
    <w:p>
      <w:pPr>
        <w:pStyle w:val="BodyText"/>
      </w:pPr>
      <w:r>
        <w:t xml:space="preserve">La carga se determina de forma similar a la primera parte de la práctica. Se desconecta primero la esfera exterior y apagamos la fuente de alto voltaje. Conectamos a continuación la esfera externa al amplificador de medida para determinar la carga. Entre cada medida se debe descargar la esfera externa poniéndola en contacto con el cable de tierra.</w:t>
      </w:r>
    </w:p>
    <w:p>
      <w:pPr>
        <w:pStyle w:val="CaptionedFigure"/>
      </w:pPr>
      <w:r>
        <w:drawing>
          <wp:inline>
            <wp:extent cx="1439999" cy="2482651"/>
            <wp:effectExtent b="0" l="0" r="0" t="0"/>
            <wp:docPr descr="" title="" id="30" name="Picture"/>
            <a:graphic>
              <a:graphicData uri="http://schemas.openxmlformats.org/drawingml/2006/picture">
                <pic:pic>
                  <pic:nvPicPr>
                    <pic:cNvPr descr="png/fig_capacidad_3.png" id="31" name="Picture"/>
                    <pic:cNvPicPr>
                      <a:picLocks noChangeArrowheads="1" noChangeAspect="1"/>
                    </pic:cNvPicPr>
                  </pic:nvPicPr>
                  <pic:blipFill>
                    <a:blip r:embed="rId29"/>
                    <a:stretch>
                      <a:fillRect/>
                    </a:stretch>
                  </pic:blipFill>
                  <pic:spPr bwMode="auto">
                    <a:xfrm>
                      <a:off x="0" y="0"/>
                      <a:ext cx="1439999" cy="2482651"/>
                    </a:xfrm>
                    <a:prstGeom prst="rect">
                      <a:avLst/>
                    </a:prstGeom>
                    <a:noFill/>
                    <a:ln w="9525">
                      <a:noFill/>
                      <a:headEnd/>
                      <a:tailEnd/>
                    </a:ln>
                  </pic:spPr>
                </pic:pic>
              </a:graphicData>
            </a:graphic>
          </wp:inline>
        </w:drawing>
      </w:r>
    </w:p>
    <w:p>
      <w:pPr>
        <w:pStyle w:val="ImageCaption"/>
      </w:pPr>
      <w:r>
        <w:t xml:space="preserve">Figura 7.3: Detalle del montaje experimental de la parte 2.</w:t>
      </w:r>
    </w:p>
    <w:p>
      <w:pPr>
        <w:pStyle w:val="BodyText"/>
      </w:pPr>
      <w:r>
        <w:t xml:space="preserve">Tomar medidas de la tensión</w:t>
      </w:r>
      <w:r>
        <w:t xml:space="preserve"> </w:t>
      </w:r>
      <m:oMath>
        <m:sSub>
          <m:e>
            <m:r>
              <m:t>V</m:t>
            </m:r>
          </m:e>
          <m:sub>
            <m:r>
              <m:t>1</m:t>
            </m:r>
          </m:sub>
        </m:sSub>
      </m:oMath>
      <w:r>
        <w:t xml:space="preserve"> </w:t>
      </w:r>
      <w:r>
        <w:t xml:space="preserve">del amplificador de medida para distintas tensiones de alto voltaje</w:t>
      </w:r>
      <w:r>
        <w:t xml:space="preserve"> </w:t>
      </w:r>
      <m:oMath>
        <m:sSub>
          <m:e>
            <m:r>
              <m:t>V</m:t>
            </m:r>
          </m:e>
          <m:sub>
            <m:r>
              <m:t>2</m:t>
            </m:r>
          </m:sub>
        </m:sSub>
      </m:oMath>
      <w:r>
        <w:t xml:space="preserve"> </w:t>
      </w:r>
      <w:r>
        <w:t xml:space="preserve">en pasos de 100V hasta alcanzar los 1000V para el condensador formado por los hemisferios de Cavendish y la esfera interna.</w:t>
      </w:r>
    </w:p>
    <w:tbl>
      <w:tblPr>
        <w:tblStyle w:val="Table"/>
        <w:tblW w:type="auto" w:w="0"/>
        <w:tblLook w:firstRow="1" w:lastRow="0" w:firstColumn="0" w:lastColumn="0" w:noHBand="0" w:noVBand="0" w:val="0020"/>
        <w:jc w:val="start"/>
        <w:tblLayout w:type="fixed"/>
      </w:tblPr>
      <w:tblGrid>
        <w:gridCol w:w="4675"/>
        <w:gridCol w:w="4675"/>
      </w:tblGrid>
      <w:tr>
        <w:trPr>
          <w:tblHeader w:val="true"/>
        </w:trPr>
        <w:tc>
          <w:tcPr/>
          <w:p>
            <w:pPr>
              <w:pStyle w:val="Compact"/>
              <w:jc w:val="left"/>
            </w:pPr>
            <m:oMath>
              <m:sSub>
                <m:e>
                  <m:r>
                    <m:t>V</m:t>
                  </m:r>
                </m:e>
                <m:sub>
                  <m:r>
                    <m:t>1</m:t>
                  </m:r>
                </m:sub>
              </m:sSub>
              <m:d>
                <m:dPr>
                  <m:begChr m:val="("/>
                  <m:endChr m:val=")"/>
                  <m:sepChr m:val=""/>
                  <m:grow/>
                </m:dPr>
                <m:e>
                  <m:r>
                    <m:rPr>
                      <m:sty m:val="p"/>
                    </m:rPr>
                    <m:t>±</m:t>
                  </m:r>
                  <m:sSub>
                    <m:e>
                      <m:r>
                        <m:t>ϵ</m:t>
                      </m:r>
                    </m:e>
                    <m:sub>
                      <m:sSub>
                        <m:e>
                          <m:r>
                            <m:t>V</m:t>
                          </m:r>
                        </m:e>
                        <m:sub>
                          <m:r>
                            <m:t>1</m:t>
                          </m:r>
                        </m:sub>
                      </m:sSub>
                    </m:sub>
                  </m:sSub>
                </m:e>
              </m:d>
            </m:oMath>
          </w:p>
        </w:tc>
        <w:tc>
          <w:tcPr/>
          <w:p>
            <w:pPr>
              <w:pStyle w:val="Compact"/>
              <w:jc w:val="left"/>
            </w:pPr>
            <m:oMath>
              <m:sSub>
                <m:e>
                  <m:r>
                    <m:t>V</m:t>
                  </m:r>
                </m:e>
                <m:sub>
                  <m:r>
                    <m:t>2</m:t>
                  </m:r>
                </m:sub>
              </m:sSub>
              <m:d>
                <m:dPr>
                  <m:begChr m:val="("/>
                  <m:endChr m:val=")"/>
                  <m:sepChr m:val=""/>
                  <m:grow/>
                </m:dPr>
                <m:e>
                  <m:r>
                    <m:rPr>
                      <m:sty m:val="p"/>
                    </m:rPr>
                    <m:t>±</m:t>
                  </m:r>
                  <m:sSub>
                    <m:e>
                      <m:r>
                        <m:t>ϵ</m:t>
                      </m:r>
                    </m:e>
                    <m:sub>
                      <m:sSub>
                        <m:e>
                          <m:r>
                            <m:t>V</m:t>
                          </m:r>
                        </m:e>
                        <m:sub>
                          <m:r>
                            <m:t>2</m:t>
                          </m:r>
                        </m:sub>
                      </m:sSub>
                    </m:sub>
                  </m:sSub>
                </m:e>
              </m:d>
            </m:oMath>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numPr>
          <w:ilvl w:val="0"/>
          <w:numId w:val="1002"/>
        </w:numPr>
      </w:pPr>
      <w:r>
        <w:t xml:space="preserve">Representar en una gráfica</w:t>
      </w:r>
      <w:r>
        <w:t xml:space="preserve"> </w:t>
      </w:r>
      <m:oMath>
        <m:sSub>
          <m:e>
            <m:r>
              <m:t>V</m:t>
            </m:r>
          </m:e>
          <m:sub>
            <m:r>
              <m:t>1</m:t>
            </m:r>
          </m:sub>
        </m:sSub>
      </m:oMath>
      <w:r>
        <w:t xml:space="preserve"> </w:t>
      </w:r>
      <w:r>
        <w:t xml:space="preserve">en función de</w:t>
      </w:r>
      <w:r>
        <w:t xml:space="preserve"> </w:t>
      </w:r>
      <m:oMath>
        <m:sSub>
          <m:e>
            <m:r>
              <m:t>V</m:t>
            </m:r>
          </m:e>
          <m:sub>
            <m:r>
              <m:t>2</m:t>
            </m:r>
          </m:sub>
        </m:sSub>
      </m:oMath>
      <w:r>
        <w:t xml:space="preserve">.</w:t>
      </w:r>
    </w:p>
    <w:p>
      <w:pPr>
        <w:numPr>
          <w:ilvl w:val="0"/>
          <w:numId w:val="1002"/>
        </w:numPr>
      </w:pPr>
      <w:r>
        <w:t xml:space="preserve">Calcular el coeficiente de correlación lineal</w:t>
      </w:r>
      <w:r>
        <w:t xml:space="preserve"> </w:t>
      </w:r>
      <m:oMath>
        <m:r>
          <m:t>r</m:t>
        </m:r>
      </m:oMath>
      <w:r>
        <w:t xml:space="preserve">, la pendiente</w:t>
      </w:r>
      <w:r>
        <w:t xml:space="preserve"> </w:t>
      </w:r>
      <m:oMath>
        <m:r>
          <m:t>a</m:t>
        </m:r>
      </m:oMath>
      <w:r>
        <w:t xml:space="preserve"> </w:t>
      </w:r>
      <w:r>
        <w:t xml:space="preserve">y la ordenada en el origen</w:t>
      </w:r>
      <w:r>
        <w:t xml:space="preserve"> </w:t>
      </w:r>
      <m:oMath>
        <m:r>
          <m:t>b</m:t>
        </m:r>
      </m:oMath>
      <w:r>
        <w:t xml:space="preserve"> </w:t>
      </w:r>
      <w:r>
        <w:t xml:space="preserve">de la recta de mínimos cuadrados</w:t>
      </w:r>
      <w:r>
        <w:t xml:space="preserve"> </w:t>
      </w:r>
      <m:oMath>
        <m:sSub>
          <m:e>
            <m:r>
              <m:t>V</m:t>
            </m:r>
          </m:e>
          <m:sub>
            <m:r>
              <m:t>1</m:t>
            </m:r>
          </m:sub>
        </m:sSub>
        <m:r>
          <m:rPr>
            <m:sty m:val="p"/>
          </m:rPr>
          <m:t>=</m:t>
        </m:r>
        <m:r>
          <m:t>a</m:t>
        </m:r>
        <m:sSub>
          <m:e>
            <m:r>
              <m:t>V</m:t>
            </m:r>
          </m:e>
          <m:sub>
            <m:r>
              <m:t>2</m:t>
            </m:r>
          </m:sub>
        </m:sSub>
        <m:r>
          <m:rPr>
            <m:sty m:val="p"/>
          </m:rPr>
          <m:t>+</m:t>
        </m:r>
        <m:r>
          <m:t>b</m:t>
        </m:r>
      </m:oMath>
      <w:r>
        <w:t xml:space="preserve">.</w:t>
      </w:r>
    </w:p>
    <w:p>
      <w:pPr>
        <w:pStyle w:val="BodyText"/>
      </w:pPr>
      <m:oMathPara>
        <m:oMathParaPr>
          <m:jc m:val="center"/>
        </m:oMathParaPr>
        <m:oMath>
          <m:r>
            <m:t>r</m:t>
          </m:r>
          <m:r>
            <m:rPr>
              <m:sty m:val="p"/>
            </m:rPr>
            <m:t>=</m:t>
          </m:r>
          <m:r>
            <m:rPr>
              <m:nor/>
              <m:sty m:val="p"/>
            </m:rPr>
            <m:t>                     </m:t>
          </m:r>
          <m:r>
            <m:t>a</m:t>
          </m:r>
          <m:d>
            <m:dPr>
              <m:begChr m:val="("/>
              <m:endChr m:val=")"/>
              <m:sepChr m:val=""/>
              <m:grow/>
            </m:dPr>
            <m:e>
              <m:r>
                <m:rPr>
                  <m:sty m:val="p"/>
                </m:rPr>
                <m:t>±</m:t>
              </m:r>
              <m:sSub>
                <m:e>
                  <m:r>
                    <m:t>ϵ</m:t>
                  </m:r>
                </m:e>
                <m:sub>
                  <m:r>
                    <m:t>a</m:t>
                  </m:r>
                </m:sub>
              </m:sSub>
            </m:e>
          </m:d>
          <m:r>
            <m:rPr>
              <m:sty m:val="p"/>
            </m:rPr>
            <m:t>=</m:t>
          </m:r>
          <m:r>
            <m:rPr>
              <m:nor/>
              <m:sty m:val="p"/>
            </m:rPr>
            <m:t>                      </m:t>
          </m:r>
          <m:r>
            <m:t>b</m:t>
          </m:r>
          <m:d>
            <m:dPr>
              <m:begChr m:val="("/>
              <m:endChr m:val=")"/>
              <m:sepChr m:val=""/>
              <m:grow/>
            </m:dPr>
            <m:e>
              <m:r>
                <m:rPr>
                  <m:sty m:val="p"/>
                </m:rPr>
                <m:t>±</m:t>
              </m:r>
              <m:sSub>
                <m:e>
                  <m:r>
                    <m:t>ϵ</m:t>
                  </m:r>
                </m:e>
                <m:sub>
                  <m:r>
                    <m:t>b</m:t>
                  </m:r>
                </m:sub>
              </m:sSub>
            </m:e>
          </m:d>
          <m:r>
            <m:rPr>
              <m:sty m:val="p"/>
            </m:rPr>
            <m:t>=</m:t>
          </m:r>
          <m:r>
            <m:rPr>
              <m:nor/>
              <m:sty m:val="p"/>
            </m:rPr>
            <m:t>                   </m:t>
          </m:r>
        </m:oMath>
      </m:oMathPara>
    </w:p>
    <w:p>
      <w:pPr>
        <w:numPr>
          <w:ilvl w:val="0"/>
          <w:numId w:val="1002"/>
        </w:numPr>
      </w:pPr>
      <w:r>
        <w:t xml:space="preserve">A partir de la ecuación (7.7) y del ajuste lineal determinar la capacidad del condensador.</w:t>
      </w:r>
    </w:p>
    <w:bookmarkEnd w:id="32"/>
    <w:bookmarkEnd w:id="33"/>
    <w:bookmarkStart w:id="34" w:name="discusión"/>
    <w:p>
      <w:pPr>
        <w:pStyle w:val="Heading2"/>
      </w:pPr>
      <w:r>
        <w:t xml:space="preserve">Discusión</w:t>
      </w:r>
    </w:p>
    <w:p>
      <w:pPr>
        <w:numPr>
          <w:ilvl w:val="0"/>
          <w:numId w:val="1003"/>
        </w:numPr>
      </w:pPr>
      <w:r>
        <w:t xml:space="preserve">En el apartado</w:t>
      </w:r>
      <w:r>
        <w:t xml:space="preserve"> </w:t>
      </w:r>
      <m:oMath>
        <m:r>
          <m:t>1</m:t>
        </m:r>
      </m:oMath>
      <w:r>
        <w:t xml:space="preserve"> </w:t>
      </w:r>
      <w:r>
        <w:t xml:space="preserve">de los resultados, ¿cuáles son los valores teóricos esperados para</w:t>
      </w:r>
      <w:r>
        <w:t xml:space="preserve"> </w:t>
      </w:r>
      <m:oMath>
        <m:r>
          <m:t>a</m:t>
        </m:r>
      </m:oMath>
      <w:r>
        <w:t xml:space="preserve"> </w:t>
      </w:r>
      <w:r>
        <w:t xml:space="preserve">y</w:t>
      </w:r>
      <w:r>
        <w:t xml:space="preserve"> </w:t>
      </w:r>
      <m:oMath>
        <m:r>
          <m:t>b</m:t>
        </m:r>
      </m:oMath>
      <w:r>
        <w:t xml:space="preserve">? Comparar los valores teóricos con los experimentales, y discutir el resultado en función del</w:t>
      </w:r>
      <w:r>
        <w:t xml:space="preserve"> </w:t>
      </w:r>
      <w:r>
        <w:t xml:space="preserve">coeficiente</w:t>
      </w:r>
      <w:r>
        <w:t xml:space="preserve"> </w:t>
      </w:r>
      <m:oMath>
        <m:r>
          <m:t>r</m:t>
        </m:r>
      </m:oMath>
      <w:r>
        <w:t xml:space="preserve"> </w:t>
      </w:r>
      <w:r>
        <w:t xml:space="preserve">y del método experimental seguido.</w:t>
      </w:r>
    </w:p>
    <w:p>
      <w:pPr>
        <w:numPr>
          <w:ilvl w:val="0"/>
          <w:numId w:val="1003"/>
        </w:numPr>
      </w:pPr>
      <w:r>
        <w:t xml:space="preserve">En el apartado</w:t>
      </w:r>
      <w:r>
        <w:t xml:space="preserve"> </w:t>
      </w:r>
      <m:oMath>
        <m:r>
          <m:t>2</m:t>
        </m:r>
      </m:oMath>
      <w:r>
        <w:t xml:space="preserve"> </w:t>
      </w:r>
      <w:r>
        <w:t xml:space="preserve">de los resultados, ¿cuáles son los valores teóricos esperados para</w:t>
      </w:r>
      <w:r>
        <w:t xml:space="preserve"> </w:t>
      </w:r>
      <m:oMath>
        <m:r>
          <m:t>a</m:t>
        </m:r>
      </m:oMath>
      <w:r>
        <w:t xml:space="preserve"> </w:t>
      </w:r>
      <w:r>
        <w:t xml:space="preserve">y</w:t>
      </w:r>
      <w:r>
        <w:t xml:space="preserve"> </w:t>
      </w:r>
      <m:oMath>
        <m:r>
          <m:t>b</m:t>
        </m:r>
      </m:oMath>
      <w:r>
        <w:t xml:space="preserve">? Comparar</w:t>
      </w:r>
      <w:r>
        <w:t xml:space="preserve"> </w:t>
      </w:r>
      <w:r>
        <w:t xml:space="preserve">los valores teóricos con los experimentales, y discutir el resultado en función del coeficiente</w:t>
      </w:r>
      <w:r>
        <w:t xml:space="preserve"> </w:t>
      </w:r>
      <m:oMath>
        <m:r>
          <m:t>r</m:t>
        </m:r>
      </m:oMath>
      <w:r>
        <w:t xml:space="preserve"> </w:t>
      </w:r>
      <w:r>
        <w:t xml:space="preserve">y del método experimental</w:t>
      </w:r>
      <w:r>
        <w:t xml:space="preserve"> </w:t>
      </w:r>
      <w:r>
        <w:t xml:space="preserve">seguido.</w:t>
      </w:r>
    </w:p>
    <w:bookmarkEnd w:id="34"/>
    <w:bookmarkStart w:id="35" w:name="cuestiones"/>
    <w:p>
      <w:pPr>
        <w:pStyle w:val="Heading2"/>
      </w:pPr>
      <w:r>
        <w:t xml:space="preserve">Cuestiones</w:t>
      </w:r>
    </w:p>
    <w:p>
      <w:pPr>
        <w:numPr>
          <w:ilvl w:val="0"/>
          <w:numId w:val="1004"/>
        </w:numPr>
      </w:pPr>
      <w:r>
        <w:t xml:space="preserve">Deduzca la expresión teórica para la capacidad de un condensador esférico.</w:t>
      </w:r>
    </w:p>
    <w:p>
      <w:pPr>
        <w:numPr>
          <w:ilvl w:val="0"/>
          <w:numId w:val="1004"/>
        </w:numPr>
      </w:pPr>
      <w:r>
        <w:t xml:space="preserve">A partir de los resultados anteriores deduzca el valor de la constante de permeabilidad</w:t>
      </w:r>
      <w:r>
        <w:t xml:space="preserve"> </w:t>
      </w:r>
      <m:oMath>
        <m:sSub>
          <m:e>
            <m:r>
              <m:t>ε</m:t>
            </m:r>
          </m:e>
          <m:sub>
            <m:r>
              <m:t>0</m:t>
            </m:r>
          </m:sub>
        </m:sSub>
      </m:oMath>
      <w:r>
        <w:t xml:space="preserve"> </w:t>
      </w:r>
      <w:r>
        <w:t xml:space="preserve">del vacío.</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26" Target="media/rId26.jp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2026-09-10T14:11:42Z</dcterms:created>
  <dcterms:modified xsi:type="dcterms:W3CDTF">2026-09-10T14:11:42Z</dcterms:modified>
</cp:coreProperties>
</file>

<file path=docProps/custom.xml><?xml version="1.0" encoding="utf-8"?>
<Properties xmlns="http://schemas.openxmlformats.org/officeDocument/2006/custom-properties" xmlns:vt="http://schemas.openxmlformats.org/officeDocument/2006/docPropsVTypes"/>
</file>