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0FC2" w14:textId="77777777" w:rsidR="008C78EB" w:rsidRPr="0045256B" w:rsidRDefault="00AF6312">
      <w:pPr>
        <w:pStyle w:val="Ttulo1"/>
        <w:rPr>
          <w:lang w:val="es-ES"/>
        </w:rPr>
      </w:pPr>
      <w:bookmarkStart w:id="0" w:name="manejo-básico-del-osciloscopio"/>
      <w:r w:rsidRPr="0045256B">
        <w:rPr>
          <w:lang w:val="es-ES"/>
        </w:rPr>
        <w:t>Manejo básico del osciloscopio</w:t>
      </w:r>
    </w:p>
    <w:p w14:paraId="423E0FC3" w14:textId="77777777" w:rsidR="008C78EB" w:rsidRPr="0045256B" w:rsidRDefault="00AF6312">
      <w:pPr>
        <w:pStyle w:val="Ttulo2"/>
        <w:rPr>
          <w:lang w:val="es-ES"/>
        </w:rPr>
      </w:pPr>
      <w:bookmarkStart w:id="1" w:name="el-osciloscopio"/>
      <w:r w:rsidRPr="0045256B">
        <w:rPr>
          <w:lang w:val="es-ES"/>
        </w:rPr>
        <w:t>El osciloscopio</w:t>
      </w:r>
    </w:p>
    <w:p w14:paraId="423E0FC4" w14:textId="77777777" w:rsidR="008C78EB" w:rsidRPr="0045256B" w:rsidRDefault="00AF6312">
      <w:pPr>
        <w:pStyle w:val="FirstParagraph"/>
        <w:rPr>
          <w:lang w:val="es-ES"/>
        </w:rPr>
      </w:pPr>
      <w:r w:rsidRPr="0045256B">
        <w:rPr>
          <w:lang w:val="es-ES"/>
        </w:rPr>
        <w:t>Un osciloscopio es un dispositivo electrónico de medición que se utiliza para visualizar y analizar señales eléctricas variables en el tiempo. Proporciona una representación gráfica en tiempo real de la amplitud de una señal en función del tiempo, lo que permite observar y estudiar diversas características de las señales, como la frecuencia, la forma de onda, el período, el desfase y otros parámetros.</w:t>
      </w:r>
      <w:r w:rsidRPr="0045256B">
        <w:rPr>
          <w:lang w:val="es-ES"/>
        </w:rPr>
        <w:br/>
      </w:r>
      <w:r w:rsidRPr="0045256B">
        <w:rPr>
          <w:lang w:val="es-ES"/>
        </w:rPr>
        <w:t>El osciloscopio consta de una pantalla en la que se muestra la forma de onda de la señal, junto con controles que permiten al usuario ajustar la escala de tiempo y amplitud para una visualización precisa. Es una herramienta esencial en la electrónica, la ingeniería eléctrica y muchas otras disciplinas para el análisis y la solución de problemas en circuitos electrónicos y sistemas eléctricos.</w:t>
      </w:r>
    </w:p>
    <w:p w14:paraId="423E0FC5" w14:textId="77777777" w:rsidR="008C78EB" w:rsidRPr="0045256B" w:rsidRDefault="00AF6312">
      <w:pPr>
        <w:pStyle w:val="Ttulo2"/>
        <w:rPr>
          <w:lang w:val="es-ES"/>
        </w:rPr>
      </w:pPr>
      <w:bookmarkStart w:id="2" w:name="esquema-y-controles-básicos"/>
      <w:bookmarkEnd w:id="1"/>
      <w:r w:rsidRPr="0045256B">
        <w:rPr>
          <w:lang w:val="es-ES"/>
        </w:rPr>
        <w:t>Esquema y controles básicos</w:t>
      </w:r>
    </w:p>
    <w:p w14:paraId="423E0FC6" w14:textId="77777777" w:rsidR="008C78EB" w:rsidRPr="0045256B" w:rsidRDefault="00AF6312">
      <w:pPr>
        <w:pStyle w:val="FirstParagraph"/>
        <w:rPr>
          <w:lang w:val="es-ES"/>
        </w:rPr>
      </w:pPr>
      <w:r w:rsidRPr="0045256B">
        <w:rPr>
          <w:lang w:val="es-ES"/>
        </w:rPr>
        <w:t>El esquema de un osciloscopio digital genérico se puede ver en la figura 4.1.</w:t>
      </w:r>
    </w:p>
    <w:tbl>
      <w:tblPr>
        <w:tblStyle w:val="Table"/>
        <w:tblW w:w="0" w:type="auto"/>
        <w:jc w:val="center"/>
        <w:tblLook w:val="0600" w:firstRow="0" w:lastRow="0" w:firstColumn="0" w:lastColumn="0" w:noHBand="1" w:noVBand="1"/>
      </w:tblPr>
      <w:tblGrid>
        <w:gridCol w:w="8616"/>
      </w:tblGrid>
      <w:tr w:rsidR="008C78EB" w14:paraId="423E0FC8" w14:textId="77777777">
        <w:trPr>
          <w:jc w:val="center"/>
        </w:trPr>
        <w:tc>
          <w:tcPr>
            <w:tcW w:w="0" w:type="auto"/>
          </w:tcPr>
          <w:p w14:paraId="423E0FC7" w14:textId="77777777" w:rsidR="008C78EB" w:rsidRDefault="00AF6312">
            <w:pPr>
              <w:pStyle w:val="Compact"/>
              <w:jc w:val="center"/>
            </w:pPr>
            <w:r>
              <w:rPr>
                <w:noProof/>
              </w:rPr>
              <w:drawing>
                <wp:inline distT="0" distB="0" distL="0" distR="0" wp14:anchorId="423E0FE1" wp14:editId="423E0FE2">
                  <wp:extent cx="5334000" cy="2747002"/>
                  <wp:effectExtent l="0" t="0" r="0" b="0"/>
                  <wp:docPr id="2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" descr="png/oscilo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47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E0FC9" w14:textId="77777777" w:rsidR="008C78EB" w:rsidRPr="0045256B" w:rsidRDefault="00AF6312">
      <w:pPr>
        <w:pStyle w:val="ImageCaption"/>
        <w:rPr>
          <w:lang w:val="es-ES"/>
        </w:rPr>
      </w:pPr>
      <w:r w:rsidRPr="0045256B">
        <w:rPr>
          <w:lang w:val="es-ES"/>
        </w:rPr>
        <w:t>Figura 4.1: Esquema de un osciloscopio genérico</w:t>
      </w:r>
    </w:p>
    <w:p w14:paraId="423E0FCA" w14:textId="4BADF880" w:rsidR="008C78EB" w:rsidRDefault="00AF6312">
      <w:pPr>
        <w:pStyle w:val="Textoindependiente"/>
      </w:pPr>
      <w:r w:rsidRPr="0045256B">
        <w:rPr>
          <w:lang w:val="es-ES"/>
        </w:rPr>
        <w:t xml:space="preserve">Se puede distinguir distintos grupos de controles y su pantalla. </w:t>
      </w:r>
      <w:r>
        <w:t xml:space="preserve">Se </w:t>
      </w:r>
      <w:proofErr w:type="spellStart"/>
      <w:r>
        <w:t>describe</w:t>
      </w:r>
      <w:r w:rsidR="00820F1C">
        <w:t>n</w:t>
      </w:r>
      <w:proofErr w:type="spellEnd"/>
      <w:r>
        <w:t xml:space="preserve"> </w:t>
      </w:r>
      <w:proofErr w:type="spellStart"/>
      <w:r>
        <w:t>brevemente</w:t>
      </w:r>
      <w:proofErr w:type="spellEnd"/>
      <w:r>
        <w:t xml:space="preserve"> las partes importantes:</w:t>
      </w:r>
    </w:p>
    <w:p w14:paraId="423E0FCB" w14:textId="77777777" w:rsidR="008C78EB" w:rsidRPr="0045256B" w:rsidRDefault="00AF6312">
      <w:pPr>
        <w:numPr>
          <w:ilvl w:val="0"/>
          <w:numId w:val="2"/>
        </w:numPr>
        <w:rPr>
          <w:lang w:val="es-ES"/>
        </w:rPr>
      </w:pPr>
      <w:r w:rsidRPr="0045256B">
        <w:rPr>
          <w:b/>
          <w:bCs/>
          <w:lang w:val="es-ES"/>
        </w:rPr>
        <w:t>La pantalla</w:t>
      </w:r>
      <w:r w:rsidRPr="0045256B">
        <w:rPr>
          <w:lang w:val="es-ES"/>
        </w:rPr>
        <w:t>: En la pantalla se representan en el eje horizontal el tiempo transcurrido y en el eje vertical la diferencia de potencial de las señales en función del tiempo.</w:t>
      </w:r>
    </w:p>
    <w:p w14:paraId="423E0FCC" w14:textId="1F4AAC54" w:rsidR="008C78EB" w:rsidRPr="0045256B" w:rsidRDefault="00AF6312">
      <w:pPr>
        <w:numPr>
          <w:ilvl w:val="0"/>
          <w:numId w:val="2"/>
        </w:numPr>
        <w:rPr>
          <w:lang w:val="es-ES"/>
        </w:rPr>
      </w:pPr>
      <w:r w:rsidRPr="0045256B">
        <w:rPr>
          <w:b/>
          <w:bCs/>
          <w:lang w:val="es-ES"/>
        </w:rPr>
        <w:t>Menú VERTICAL</w:t>
      </w:r>
      <w:r w:rsidRPr="0045256B">
        <w:rPr>
          <w:lang w:val="es-ES"/>
        </w:rPr>
        <w:t xml:space="preserve">: Este menú permite elegir la escala vertical </w:t>
      </w:r>
      <w:r w:rsidRPr="0045256B">
        <w:rPr>
          <w:b/>
          <w:bCs/>
          <w:lang w:val="es-ES"/>
        </w:rPr>
        <w:t>VOLTS/DIV.</w:t>
      </w:r>
      <w:r w:rsidRPr="0045256B">
        <w:rPr>
          <w:lang w:val="es-ES"/>
        </w:rPr>
        <w:t xml:space="preserve"> </w:t>
      </w:r>
      <w:r w:rsidRPr="0045256B">
        <w:rPr>
          <w:lang w:val="es-ES"/>
        </w:rPr>
        <w:t xml:space="preserve">que fija cuántos voltios representa cada cuadrado de la pantalla verticalmente. La </w:t>
      </w:r>
      <w:r w:rsidRPr="0045256B">
        <w:rPr>
          <w:lang w:val="es-ES"/>
        </w:rPr>
        <w:lastRenderedPageBreak/>
        <w:t>escala elegida aparece en la pantalla</w:t>
      </w:r>
      <w:r w:rsidR="00A15DDB">
        <w:rPr>
          <w:lang w:val="es-ES"/>
        </w:rPr>
        <w:t>,</w:t>
      </w:r>
      <w:r w:rsidRPr="0045256B">
        <w:rPr>
          <w:lang w:val="es-ES"/>
        </w:rPr>
        <w:t xml:space="preserve"> por ejemplo</w:t>
      </w:r>
      <w:r w:rsidR="00A15DDB">
        <w:rPr>
          <w:lang w:val="es-ES"/>
        </w:rPr>
        <w:t>,</w:t>
      </w:r>
      <w:r w:rsidRPr="0045256B">
        <w:rPr>
          <w:lang w:val="es-ES"/>
        </w:rPr>
        <w:t xml:space="preserve"> con </w:t>
      </w:r>
      <w:r w:rsidRPr="0045256B">
        <w:rPr>
          <w:b/>
          <w:bCs/>
          <w:lang w:val="es-ES"/>
        </w:rPr>
        <w:t>CH1 = 1.00V</w:t>
      </w:r>
      <w:r w:rsidRPr="0045256B">
        <w:rPr>
          <w:lang w:val="es-ES"/>
        </w:rPr>
        <w:t xml:space="preserve"> y con </w:t>
      </w:r>
      <w:r w:rsidRPr="0045256B">
        <w:rPr>
          <w:b/>
          <w:bCs/>
          <w:lang w:val="es-ES"/>
        </w:rPr>
        <w:t>CH2 = 1.00V</w:t>
      </w:r>
      <w:r w:rsidRPr="0045256B">
        <w:rPr>
          <w:lang w:val="es-ES"/>
        </w:rPr>
        <w:t xml:space="preserve">. La escala es independiente para cada canal. Hay otro control </w:t>
      </w:r>
      <w:r w:rsidRPr="0045256B">
        <w:rPr>
          <w:b/>
          <w:bCs/>
          <w:lang w:val="es-ES"/>
        </w:rPr>
        <w:t>Y-position</w:t>
      </w:r>
      <w:r w:rsidRPr="0045256B">
        <w:rPr>
          <w:lang w:val="es-ES"/>
        </w:rPr>
        <w:t xml:space="preserve"> que ajusta la posición vertical de la señal</w:t>
      </w:r>
    </w:p>
    <w:p w14:paraId="423E0FCD" w14:textId="0392C29B" w:rsidR="008C78EB" w:rsidRDefault="00AF6312">
      <w:pPr>
        <w:numPr>
          <w:ilvl w:val="0"/>
          <w:numId w:val="2"/>
        </w:numPr>
        <w:rPr>
          <w:lang w:val="es-ES"/>
        </w:rPr>
      </w:pPr>
      <w:r w:rsidRPr="0045256B">
        <w:rPr>
          <w:b/>
          <w:bCs/>
          <w:lang w:val="es-ES"/>
        </w:rPr>
        <w:t>Menú HORIZONTAL</w:t>
      </w:r>
      <w:r w:rsidRPr="0045256B">
        <w:rPr>
          <w:lang w:val="es-ES"/>
        </w:rPr>
        <w:t xml:space="preserve">: Permite fijar la escala de tiempo con la rueda </w:t>
      </w:r>
      <w:r w:rsidRPr="0045256B">
        <w:rPr>
          <w:b/>
          <w:bCs/>
          <w:lang w:val="es-ES"/>
        </w:rPr>
        <w:t>TIME/DIV</w:t>
      </w:r>
      <w:r w:rsidRPr="0045256B">
        <w:rPr>
          <w:lang w:val="es-ES"/>
        </w:rPr>
        <w:t xml:space="preserve"> para los dos canales a la vez. La escala </w:t>
      </w:r>
      <w:r w:rsidR="00246C57" w:rsidRPr="0045256B">
        <w:rPr>
          <w:lang w:val="es-ES"/>
        </w:rPr>
        <w:t>aparece</w:t>
      </w:r>
      <w:r w:rsidRPr="0045256B">
        <w:rPr>
          <w:lang w:val="es-ES"/>
        </w:rPr>
        <w:t xml:space="preserve"> en la pantalla con una mención</w:t>
      </w:r>
      <w:r w:rsidR="00EC4447">
        <w:rPr>
          <w:lang w:val="es-ES"/>
        </w:rPr>
        <w:t>, por ejemplo,</w:t>
      </w:r>
      <w:r w:rsidRPr="0045256B">
        <w:rPr>
          <w:lang w:val="es-ES"/>
        </w:rPr>
        <w:t xml:space="preserve"> </w:t>
      </w:r>
      <w:r w:rsidRPr="0045256B">
        <w:rPr>
          <w:b/>
          <w:bCs/>
          <w:lang w:val="es-ES"/>
        </w:rPr>
        <w:t>H 20ms</w:t>
      </w:r>
      <w:r w:rsidRPr="0045256B">
        <w:rPr>
          <w:lang w:val="es-ES"/>
        </w:rPr>
        <w:t xml:space="preserve">, aunque puede variar según el modelo del aparato. </w:t>
      </w:r>
      <w:r w:rsidR="00F97ACC">
        <w:rPr>
          <w:lang w:val="es-ES"/>
        </w:rPr>
        <w:t>En este caso c</w:t>
      </w:r>
      <w:r w:rsidRPr="0045256B">
        <w:rPr>
          <w:lang w:val="es-ES"/>
        </w:rPr>
        <w:t>ada división horizontal de la pantalla representa un 20ms para esta escala.</w:t>
      </w:r>
      <w:r w:rsidR="00F97ACC">
        <w:rPr>
          <w:lang w:val="es-ES"/>
        </w:rPr>
        <w:t xml:space="preserve"> </w:t>
      </w:r>
      <w:r w:rsidR="00F97ACC" w:rsidRPr="0045256B">
        <w:rPr>
          <w:lang w:val="es-ES"/>
        </w:rPr>
        <w:t xml:space="preserve">Un buen criterio es usar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es-ES"/>
          </w:rPr>
          <m:t>/</m:t>
        </m:r>
        <m:r>
          <w:rPr>
            <w:rFonts w:ascii="Cambria Math" w:hAnsi="Cambria Math"/>
            <w:lang w:val="es-ES"/>
          </w:rPr>
          <m:t>10</m:t>
        </m:r>
      </m:oMath>
      <w:r w:rsidR="00F97ACC" w:rsidRPr="0045256B">
        <w:rPr>
          <w:lang w:val="es-ES"/>
        </w:rPr>
        <w:t xml:space="preserve"> para visualizar la señal.</w:t>
      </w:r>
    </w:p>
    <w:p w14:paraId="27EE13C7" w14:textId="014F9410" w:rsidR="00026A9B" w:rsidRPr="00026A9B" w:rsidRDefault="00026A9B" w:rsidP="00026A9B">
      <w:pPr>
        <w:ind w:left="720"/>
        <w:rPr>
          <w:lang w:val="es-ES"/>
        </w:rPr>
      </w:pPr>
      <w:r>
        <w:rPr>
          <w:lang w:val="es-ES"/>
        </w:rPr>
        <w:t>Se puede a</w:t>
      </w:r>
      <w:r w:rsidRPr="0045256B">
        <w:rPr>
          <w:lang w:val="es-ES"/>
        </w:rPr>
        <w:t xml:space="preserve">justar la posición vertical de la señal con el botón </w:t>
      </w:r>
      <w:r w:rsidRPr="0045256B">
        <w:rPr>
          <w:b/>
          <w:bCs/>
          <w:lang w:val="es-ES"/>
        </w:rPr>
        <w:t>Y-POSITION</w:t>
      </w:r>
      <w:r w:rsidRPr="0045256B">
        <w:rPr>
          <w:lang w:val="es-ES"/>
        </w:rPr>
        <w:t xml:space="preserve"> para que la señal esté centrada en medio de la pantalla. La referencia del canal está indicada a la izquierda de la pantalla con el icono: </w:t>
      </w:r>
      <w:r>
        <w:rPr>
          <w:noProof/>
        </w:rPr>
        <w:drawing>
          <wp:inline distT="0" distB="0" distL="0" distR="0" wp14:anchorId="17F4C936" wp14:editId="24D7D318">
            <wp:extent cx="154523" cy="161999"/>
            <wp:effectExtent l="0" t="0" r="0" b="0"/>
            <wp:docPr id="1167604031" name="Picture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png/icon_ground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23" cy="16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3E0FCE" w14:textId="1B9461B1" w:rsidR="008C78EB" w:rsidRPr="0045256B" w:rsidRDefault="00AF6312">
      <w:pPr>
        <w:numPr>
          <w:ilvl w:val="0"/>
          <w:numId w:val="2"/>
        </w:numPr>
        <w:rPr>
          <w:lang w:val="es-ES"/>
        </w:rPr>
      </w:pPr>
      <w:r w:rsidRPr="0045256B">
        <w:rPr>
          <w:b/>
          <w:bCs/>
          <w:lang w:val="es-ES"/>
        </w:rPr>
        <w:t>Menú TRIGGER</w:t>
      </w:r>
      <w:r w:rsidRPr="0045256B">
        <w:rPr>
          <w:lang w:val="es-ES"/>
        </w:rPr>
        <w:t xml:space="preserve"> El </w:t>
      </w:r>
      <w:r w:rsidR="00246C57" w:rsidRPr="0045256B">
        <w:rPr>
          <w:lang w:val="es-ES"/>
        </w:rPr>
        <w:t>menú</w:t>
      </w:r>
      <w:r w:rsidRPr="0045256B">
        <w:rPr>
          <w:lang w:val="es-ES"/>
        </w:rPr>
        <w:t xml:space="preserve"> </w:t>
      </w:r>
      <w:proofErr w:type="spellStart"/>
      <w:r w:rsidRPr="0045256B">
        <w:rPr>
          <w:lang w:val="es-ES"/>
        </w:rPr>
        <w:t>trigger</w:t>
      </w:r>
      <w:proofErr w:type="spellEnd"/>
      <w:r w:rsidRPr="0045256B">
        <w:rPr>
          <w:lang w:val="es-ES"/>
        </w:rPr>
        <w:t xml:space="preserve"> es muy importante para representar las señales correctamente. El botón de ajuste </w:t>
      </w:r>
      <w:r w:rsidRPr="0045256B">
        <w:rPr>
          <w:b/>
          <w:bCs/>
          <w:lang w:val="es-ES"/>
        </w:rPr>
        <w:t>LEVEL</w:t>
      </w:r>
      <w:r w:rsidRPr="0045256B">
        <w:rPr>
          <w:lang w:val="es-ES"/>
        </w:rPr>
        <w:t xml:space="preserve"> controla la sincronización de la señal. Fija un voltaje de umbral de tal manera que cuando una señal cruza este umbral el osciloscopio lo detecta y sincroniza la forma de onda en la pantalla acorde a este evento. Para poder </w:t>
      </w:r>
      <w:r w:rsidR="00246C57" w:rsidRPr="0045256B">
        <w:rPr>
          <w:lang w:val="es-ES"/>
        </w:rPr>
        <w:t>visualizar</w:t>
      </w:r>
      <w:r w:rsidRPr="0045256B">
        <w:rPr>
          <w:lang w:val="es-ES"/>
        </w:rPr>
        <w:t xml:space="preserve"> un</w:t>
      </w:r>
      <w:r w:rsidR="00246C57">
        <w:rPr>
          <w:lang w:val="es-ES"/>
        </w:rPr>
        <w:t>a</w:t>
      </w:r>
      <w:r w:rsidRPr="0045256B">
        <w:rPr>
          <w:lang w:val="es-ES"/>
        </w:rPr>
        <w:t xml:space="preserve"> señal periódica </w:t>
      </w:r>
      <w:r w:rsidRPr="0045256B">
        <w:rPr>
          <w:b/>
          <w:bCs/>
          <w:lang w:val="es-ES"/>
        </w:rPr>
        <w:t>es imprescindible ajustar este control correctamente.</w:t>
      </w:r>
    </w:p>
    <w:p w14:paraId="72611C5D" w14:textId="77777777" w:rsidR="00E2417C" w:rsidRDefault="00E2417C" w:rsidP="00E2417C">
      <w:pPr>
        <w:numPr>
          <w:ilvl w:val="0"/>
          <w:numId w:val="2"/>
        </w:numPr>
        <w:rPr>
          <w:lang w:val="es-ES"/>
        </w:rPr>
      </w:pPr>
      <w:bookmarkStart w:id="3" w:name="conexión-y-toma-de-medida"/>
      <w:bookmarkEnd w:id="2"/>
      <w:r w:rsidRPr="00DD7D0E">
        <w:rPr>
          <w:b/>
          <w:bCs/>
          <w:lang w:val="es-ES"/>
        </w:rPr>
        <w:t>Menú general</w:t>
      </w:r>
      <w:r w:rsidRPr="00DD7D0E">
        <w:rPr>
          <w:lang w:val="es-ES"/>
        </w:rPr>
        <w:t xml:space="preserve"> La parte denominada </w:t>
      </w:r>
      <w:r w:rsidRPr="00DD7D0E">
        <w:rPr>
          <w:b/>
          <w:bCs/>
          <w:lang w:val="es-ES"/>
        </w:rPr>
        <w:t>MENU</w:t>
      </w:r>
      <w:r w:rsidRPr="00DD7D0E">
        <w:rPr>
          <w:lang w:val="es-ES"/>
        </w:rPr>
        <w:t xml:space="preserve"> ofrece varias opciones de control y de medida de las señales. Una herramienta interesante son los cursores </w:t>
      </w:r>
      <w:r w:rsidRPr="00DD7D0E">
        <w:rPr>
          <w:b/>
          <w:bCs/>
          <w:lang w:val="es-ES"/>
        </w:rPr>
        <w:t>CURSORS</w:t>
      </w:r>
      <w:r w:rsidRPr="00DD7D0E">
        <w:rPr>
          <w:lang w:val="es-ES"/>
        </w:rPr>
        <w:t xml:space="preserve"> que facilitan la toma de medida de en la pantalla. Se hará un uso importante de estos cursores en las prácticas.</w:t>
      </w:r>
    </w:p>
    <w:p w14:paraId="128A18B2" w14:textId="77777777" w:rsidR="00E2417C" w:rsidRDefault="00E2417C" w:rsidP="00E2417C">
      <w:pPr>
        <w:ind w:left="720"/>
        <w:rPr>
          <w:lang w:val="es-ES"/>
        </w:rPr>
      </w:pPr>
      <w:r>
        <w:rPr>
          <w:lang w:val="es-ES"/>
        </w:rPr>
        <w:t xml:space="preserve">Los </w:t>
      </w:r>
      <w:r w:rsidRPr="00DD7D0E">
        <w:rPr>
          <w:b/>
          <w:bCs/>
          <w:lang w:val="es-ES"/>
        </w:rPr>
        <w:t>cursores horizontales</w:t>
      </w:r>
      <w:r>
        <w:rPr>
          <w:lang w:val="es-ES"/>
        </w:rPr>
        <w:t xml:space="preserve"> permiten m</w:t>
      </w:r>
      <w:r w:rsidRPr="00DD7D0E">
        <w:rPr>
          <w:lang w:val="es-ES"/>
        </w:rPr>
        <w:t xml:space="preserve">edir el periodo de la señal colocando un cursor al inicio del periodo y el segundo cursor al final del periodo. La diferencia de tiempo </w:t>
      </w:r>
      <m:oMath>
        <m:r>
          <w:rPr>
            <w:rFonts w:ascii="Cambria Math" w:hAnsi="Cambria Math"/>
          </w:rPr>
          <m:t>Δt</m:t>
        </m:r>
      </m:oMath>
      <w:r w:rsidRPr="00DD7D0E">
        <w:rPr>
          <w:lang w:val="es-ES"/>
        </w:rPr>
        <w:t xml:space="preserve"> marcada en la pantalla representa la diferencia de tiempo entre los dos cursores.</w:t>
      </w:r>
    </w:p>
    <w:p w14:paraId="7C5F62E0" w14:textId="7C107C0A" w:rsidR="00E2417C" w:rsidRPr="006606A3" w:rsidRDefault="00E2417C" w:rsidP="00E2417C">
      <w:pPr>
        <w:ind w:left="720"/>
        <w:rPr>
          <w:lang w:val="es-ES"/>
        </w:rPr>
      </w:pPr>
      <w:r>
        <w:rPr>
          <w:lang w:val="es-ES"/>
        </w:rPr>
        <w:t xml:space="preserve">os </w:t>
      </w:r>
      <w:r w:rsidRPr="00DD7D0E">
        <w:rPr>
          <w:b/>
          <w:bCs/>
          <w:lang w:val="es-ES"/>
        </w:rPr>
        <w:t xml:space="preserve">cursores </w:t>
      </w:r>
      <w:r>
        <w:rPr>
          <w:b/>
          <w:bCs/>
          <w:lang w:val="es-ES"/>
        </w:rPr>
        <w:t>verticales</w:t>
      </w:r>
      <w:r>
        <w:rPr>
          <w:lang w:val="es-ES"/>
        </w:rPr>
        <w:t xml:space="preserve"> permiten m</w:t>
      </w:r>
      <w:r w:rsidRPr="00DD7D0E">
        <w:rPr>
          <w:lang w:val="es-ES"/>
        </w:rPr>
        <w:t>edir</w:t>
      </w:r>
      <w:r>
        <w:rPr>
          <w:lang w:val="es-ES"/>
        </w:rPr>
        <w:t xml:space="preserve"> </w:t>
      </w:r>
      <w:r w:rsidRPr="00DD7D0E">
        <w:rPr>
          <w:lang w:val="es-ES"/>
        </w:rPr>
        <w:t xml:space="preserve">la amplitud cresta a cresta de la señal periódica. Para ello coloque un cursor en la cresta inferior y otro al nivel de la cresta superior. En la pantalla, la diferencia de potencial entre las dos crestas viene marcada por </w:t>
      </w:r>
      <m:oMath>
        <m:r>
          <w:rPr>
            <w:rFonts w:ascii="Cambria Math" w:hAnsi="Cambria Math"/>
          </w:rPr>
          <m:t>ΔV</m:t>
        </m:r>
      </m:oMath>
      <w:r w:rsidRPr="00DD7D0E">
        <w:rPr>
          <w:lang w:val="es-ES"/>
        </w:rPr>
        <w:t>.</w:t>
      </w:r>
      <w:bookmarkEnd w:id="0"/>
      <w:bookmarkEnd w:id="3"/>
    </w:p>
    <w:sectPr w:rsidR="00E2417C" w:rsidRPr="006606A3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85A20" w14:textId="77777777" w:rsidR="00AF6312" w:rsidRDefault="00AF6312">
      <w:pPr>
        <w:spacing w:after="0"/>
      </w:pPr>
      <w:r>
        <w:separator/>
      </w:r>
    </w:p>
  </w:endnote>
  <w:endnote w:type="continuationSeparator" w:id="0">
    <w:p w14:paraId="7F98124F" w14:textId="77777777" w:rsidR="00AF6312" w:rsidRDefault="00AF63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2C20E" w14:textId="77777777" w:rsidR="00AF6312" w:rsidRDefault="00AF6312">
      <w:r>
        <w:separator/>
      </w:r>
    </w:p>
  </w:footnote>
  <w:footnote w:type="continuationSeparator" w:id="0">
    <w:p w14:paraId="2A0503CE" w14:textId="77777777" w:rsidR="00AF6312" w:rsidRDefault="00AF63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EF02DD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4426C3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B62ADB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532617930">
    <w:abstractNumId w:val="0"/>
  </w:num>
  <w:num w:numId="2" w16cid:durableId="1907719573">
    <w:abstractNumId w:val="1"/>
  </w:num>
  <w:num w:numId="3" w16cid:durableId="1427269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45078606">
    <w:abstractNumId w:val="1"/>
  </w:num>
  <w:num w:numId="5" w16cid:durableId="18252751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78EB"/>
    <w:rsid w:val="00026A9B"/>
    <w:rsid w:val="00246C57"/>
    <w:rsid w:val="0045256B"/>
    <w:rsid w:val="006606A3"/>
    <w:rsid w:val="00820F1C"/>
    <w:rsid w:val="008C78EB"/>
    <w:rsid w:val="00A15DDB"/>
    <w:rsid w:val="00AF6312"/>
    <w:rsid w:val="00B05D5B"/>
    <w:rsid w:val="00D03FB3"/>
    <w:rsid w:val="00E2417C"/>
    <w:rsid w:val="00EC4447"/>
    <w:rsid w:val="00F97A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E0FC2"/>
  <w15:docId w15:val="{282C933F-B7B7-4BFB-A1EF-467FF3F0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000000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000000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Pr>
      <w:sz w:val="18"/>
      <w:szCs w:val="18"/>
      <w:lang w:val="es-ES" w:eastAsia="es-E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000000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000000" w:themeColor="accent1" w:themeShade="BF"/>
    </w:rPr>
  </w:style>
  <w:style w:type="paragraph" w:customStyle="1" w:styleId="Recuadro">
    <w:name w:val="Recuadro"/>
    <w:basedOn w:val="Textoindependiente"/>
    <w:qFormat/>
    <w:pPr>
      <w:pBdr>
        <w:top w:val="single" w:sz="8" w:space="6" w:color="000000"/>
        <w:left w:val="single" w:sz="8" w:space="6" w:color="000000"/>
        <w:bottom w:val="single" w:sz="8" w:space="6" w:color="000000"/>
        <w:right w:val="single" w:sz="8" w:space="6" w:color="000000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f84c4ea-370d-4b9e-830c-756f8bf1b51f}" enabled="0" method="" siteId="{5f84c4ea-370d-4b9e-830c-756f8bf1b51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530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Oibar Martínez Vílchez</cp:lastModifiedBy>
  <cp:revision>11</cp:revision>
  <dcterms:created xsi:type="dcterms:W3CDTF">2026-09-10T15:11:00Z</dcterms:created>
  <dcterms:modified xsi:type="dcterms:W3CDTF">2026-09-11T09:55:00Z</dcterms:modified>
</cp:coreProperties>
</file>