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4.png" ContentType="image/png"/>
  <Override PartName="/word/media/rId2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b9991a45070ffe544a5e1d787c62581e295d1cf"/>
    <w:p>
      <w:pPr>
        <w:pStyle w:val="Heading1"/>
      </w:pPr>
      <w:r>
        <w:t xml:space="preserve">Series espectrales del átomo de Hidrógeno</w:t>
      </w:r>
    </w:p>
    <w:bookmarkStart w:id="20" w:name="objetivo"/>
    <w:p>
      <w:pPr>
        <w:pStyle w:val="Heading2"/>
      </w:pPr>
      <w:r>
        <w:t xml:space="preserve">Objetivo</w:t>
      </w:r>
    </w:p>
    <w:p>
      <w:pPr>
        <w:pStyle w:val="FirstParagraph"/>
      </w:pPr>
      <w:r>
        <w:t xml:space="preserve">Mediante el uso de una lámpara espectral y una red de difracción, se estudiará el espectro de emisión del átomo de hidrógeno, con el objetivo de establecer la constante de Rydberg y los autoestados de la energía de dicho elemento.</w:t>
      </w:r>
    </w:p>
    <w:bookmarkEnd w:id="20"/>
    <w:bookmarkStart w:id="27" w:name="fundamento-teórico"/>
    <w:p>
      <w:pPr>
        <w:pStyle w:val="Heading2"/>
      </w:pPr>
      <w:r>
        <w:t xml:space="preserve">Fundamento teórico</w:t>
      </w:r>
    </w:p>
    <w:p>
      <w:pPr>
        <w:pStyle w:val="FirstParagraph"/>
      </w:pPr>
      <w:r>
        <w:t xml:space="preserve">Los estados ligados de un átomo se caracterizan mediante la determinación de sus niveles energéticos</w:t>
      </w:r>
      <w:r>
        <w:t xml:space="preserve"> </w:t>
      </w:r>
      <m:oMath>
        <m:sSub>
          <m:e>
            <m:r>
              <m:t>E</m:t>
            </m:r>
          </m:e>
          <m:sub>
            <m:sSub>
              <m:e>
                <m:r>
                  <m:t>n</m:t>
                </m:r>
              </m:e>
              <m:sub>
                <m:r>
                  <m:t>1</m:t>
                </m:r>
              </m:sub>
            </m:sSub>
            <m:r>
              <m:rPr>
                <m:sty m:val="p"/>
              </m:rPr>
              <m:t>,</m:t>
            </m:r>
            <m:sSub>
              <m:e>
                <m:r>
                  <m:t>n</m:t>
                </m:r>
              </m:e>
              <m:sub>
                <m:r>
                  <m:t>2</m:t>
                </m:r>
              </m:sub>
            </m:sSub>
            <m:r>
              <m:rPr>
                <m:sty m:val="p"/>
              </m:rPr>
              <m:t>,</m:t>
            </m:r>
            <m:r>
              <m:rPr>
                <m:sty m:val="p"/>
              </m:rPr>
              <m:t>.</m:t>
            </m:r>
            <m:r>
              <m:rPr>
                <m:sty m:val="p"/>
              </m:rPr>
              <m:t>.</m:t>
            </m:r>
            <m:r>
              <m:rPr>
                <m:sty m:val="p"/>
              </m:rPr>
              <m:t>.</m:t>
            </m:r>
          </m:sub>
        </m:sSub>
      </m:oMath>
      <w:r>
        <w:t xml:space="preserve">, los cuales vienen dados como función de una serie de números enteros</w:t>
      </w:r>
      <w:r>
        <w:t xml:space="preserve"> </w:t>
      </w:r>
      <m:oMath>
        <m:sSub>
          <m:e>
            <m:r>
              <m:t>n</m:t>
            </m:r>
          </m:e>
          <m:sub>
            <m:r>
              <m:t>1</m:t>
            </m:r>
          </m:sub>
        </m:sSub>
        <m:r>
          <m:rPr>
            <m:sty m:val="p"/>
          </m:rPr>
          <m:t>,</m:t>
        </m:r>
        <m:sSub>
          <m:e>
            <m:r>
              <m:t>n</m:t>
            </m:r>
          </m:e>
          <m:sub>
            <m:r>
              <m:t>2</m:t>
            </m:r>
          </m:sub>
        </m:sSub>
        <m:r>
          <m:rPr>
            <m:sty m:val="p"/>
          </m:rPr>
          <m:t>,</m:t>
        </m:r>
        <m:r>
          <m:rPr>
            <m:sty m:val="p"/>
          </m:rPr>
          <m:t>.</m:t>
        </m:r>
        <m:r>
          <m:rPr>
            <m:sty m:val="p"/>
          </m:rPr>
          <m:t>.</m:t>
        </m:r>
        <m:r>
          <m:rPr>
            <m:sty m:val="p"/>
          </m:rPr>
          <m:t>.</m:t>
        </m:r>
      </m:oMath>
      <w:r>
        <w:t xml:space="preserve">, que se conocen como números cuánticos. En el caso particular que nos ocupa, se despreciará la estructura fina del átomo de hidrógeno, por lo que bastará un número cuántico</w:t>
      </w:r>
      <w:r>
        <w:t xml:space="preserve"> </w:t>
      </w:r>
      <m:oMath>
        <m:r>
          <m:t>n</m:t>
        </m:r>
      </m:oMath>
      <w:r>
        <w:t xml:space="preserve"> </w:t>
      </w:r>
      <w:r>
        <w:t xml:space="preserve">para caracterizar los niveles energéticos</w:t>
      </w:r>
      <w:r>
        <w:t xml:space="preserve"> </w:t>
      </w:r>
      <m:oMath>
        <m:sSub>
          <m:e>
            <m:r>
              <m:t>E</m:t>
            </m:r>
          </m:e>
          <m:sub>
            <m:r>
              <m:t>n</m:t>
            </m:r>
          </m:sub>
        </m:sSub>
      </m:oMath>
      <w:r>
        <w:t xml:space="preserve">. Al conjunto de dichos niveles se le conoce con el nombre de espectro del átomo (ver figura 5.1). Dada la relación de Planck</w:t>
      </w:r>
    </w:p>
    <w:p>
      <w:pPr>
        <w:pStyle w:val="BodyText"/>
      </w:pPr>
      <m:oMathPara>
        <m:oMathParaPr>
          <m:jc m:val="center"/>
        </m:oMathParaPr>
        <m:oMath>
          <m:sSub>
            <m:e>
              <m:r>
                <m:t>E</m:t>
              </m:r>
            </m:e>
            <m:sub>
              <m:r>
                <m:t>n</m:t>
              </m:r>
            </m:sub>
          </m:sSub>
          <m:r>
            <m:rPr>
              <m:sty m:val="p"/>
            </m:rPr>
            <m:t>=</m:t>
          </m:r>
          <m:r>
            <m:t>h</m:t>
          </m:r>
          <m:sSub>
            <m:e>
              <m:r>
                <m:t>ν</m:t>
              </m:r>
            </m:e>
            <m:sub>
              <m:r>
                <m:t>n</m:t>
              </m:r>
            </m:sub>
          </m:sSub>
          <m:r>
            <m:rPr>
              <m:sty m:val="p"/>
            </m:rPr>
            <m:t>,</m:t>
          </m:r>
          <m:r>
            <m:t> </m:t>
          </m:r>
          <m:r>
            <m:rPr>
              <m:nor/>
              <m:sty m:val="p"/>
            </m:rPr>
            <m:t>(5.1)</m:t>
          </m:r>
        </m:oMath>
      </m:oMathPara>
    </w:p>
    <w:p>
      <w:pPr>
        <w:pStyle w:val="FirstParagraph"/>
      </w:pPr>
      <w:r>
        <w:t xml:space="preserve">es posible transformar un espectro de energías en un espectro de frecuencias, o equivalentemente, de longitudes de onda. Cuando un electrón de un átomo se encuentra en un estado excitado</w:t>
      </w:r>
      <w:r>
        <w:t xml:space="preserve"> </w:t>
      </w:r>
      <m:oMath>
        <m:r>
          <m:t>n</m:t>
        </m:r>
      </m:oMath>
      <w:r>
        <w:t xml:space="preserve"> </w:t>
      </w:r>
      <w:r>
        <w:t xml:space="preserve">y realiza una trasición a otro estado de menor energía</w:t>
      </w:r>
      <w:r>
        <w:t xml:space="preserve"> </w:t>
      </w:r>
      <m:oMath>
        <m:r>
          <m:t>m</m:t>
        </m:r>
      </m:oMath>
      <w:r>
        <w:t xml:space="preserve">, se produce la emisión de un fotón, cuya frecuencia</w:t>
      </w:r>
      <w:r>
        <w:t xml:space="preserve"> </w:t>
      </w:r>
      <m:oMath>
        <m:r>
          <m:t>ν</m:t>
        </m:r>
      </m:oMath>
      <w:r>
        <w:t xml:space="preserve"> </w:t>
      </w:r>
      <w:r>
        <w:t xml:space="preserve">vendrá dada por la diferencia de las energías de ambos estados</w:t>
      </w:r>
      <w:r>
        <w:t xml:space="preserve"> </w:t>
      </w:r>
      <m:oMath>
        <m:r>
          <m:t>Δ</m:t>
        </m:r>
        <m:r>
          <m:t>E</m:t>
        </m:r>
      </m:oMath>
      <w:r>
        <w:t xml:space="preserve">, según la ecuación 5.1.</w:t>
      </w:r>
    </w:p>
    <w:p>
      <w:pPr>
        <w:pStyle w:val="CaptionedFigure"/>
      </w:pPr>
      <w:r>
        <w:drawing>
          <wp:inline>
            <wp:extent cx="3916799" cy="3387599"/>
            <wp:effectExtent b="0" l="0" r="0" t="0"/>
            <wp:docPr descr="" title="" id="22" name="Picture"/>
            <a:graphic>
              <a:graphicData uri="http://schemas.openxmlformats.org/drawingml/2006/picture">
                <pic:pic>
                  <pic:nvPicPr>
                    <pic:cNvPr descr="img/fig040.jpg" id="23" name="Picture"/>
                    <pic:cNvPicPr>
                      <a:picLocks noChangeArrowheads="1" noChangeAspect="1"/>
                    </pic:cNvPicPr>
                  </pic:nvPicPr>
                  <pic:blipFill>
                    <a:blip r:embed="rId21"/>
                    <a:stretch>
                      <a:fillRect/>
                    </a:stretch>
                  </pic:blipFill>
                  <pic:spPr bwMode="auto">
                    <a:xfrm>
                      <a:off x="0" y="0"/>
                      <a:ext cx="3916799" cy="3387599"/>
                    </a:xfrm>
                    <a:prstGeom prst="rect">
                      <a:avLst/>
                    </a:prstGeom>
                    <a:noFill/>
                    <a:ln w="9525">
                      <a:noFill/>
                      <a:headEnd/>
                      <a:tailEnd/>
                    </a:ln>
                  </pic:spPr>
                </pic:pic>
              </a:graphicData>
            </a:graphic>
          </wp:inline>
        </w:drawing>
      </w:r>
    </w:p>
    <w:p>
      <w:pPr>
        <w:pStyle w:val="ImageCaption"/>
      </w:pPr>
      <w:r>
        <w:t xml:space="preserve">Figura 5.1: Niveles atómicos y series espectrales del átomo de hidrógeno.</w:t>
      </w:r>
      <w:r>
        <w:t xml:space="preserve"> </w:t>
      </w:r>
    </w:p>
    <w:p>
      <w:pPr>
        <w:pStyle w:val="BodyText"/>
      </w:pPr>
      <w:r>
        <w:t xml:space="preserve">Si bien es cierto que actualmente el espectro de un elemento puede obtenerse mediante la solución aproximada de la ecuación de Schrödinger, inicialmente las series espectrales se derivaban utilizando expresiones matemáticas que se obtenían de forma exclusivamente empírica. En particular, las series espectrales del hidrógeno no encontrarían justificación teórica hasta que el físico danés Niels Bohr desarrolló en 1913 el modelo atómico que lleva su nombre. En el año 1885, el maestro de escuela suizo Johann Jakob Balmer probó que la longitud de onda de las cuatro primeras rayas del espectro visible del hidrógeno podían obtenerse mediante la siguiente ecuación empírica</w:t>
      </w:r>
    </w:p>
    <w:p>
      <w:pPr>
        <w:pStyle w:val="BodyText"/>
      </w:pPr>
      <m:oMathPara>
        <m:oMathParaPr>
          <m:jc m:val="center"/>
        </m:oMathParaPr>
        <m:oMath>
          <m:r>
            <m:t>λ</m:t>
          </m:r>
          <m:r>
            <m:rPr>
              <m:sty m:val="p"/>
            </m:rPr>
            <m:t>=</m:t>
          </m:r>
          <m:r>
            <m:t>3645.6</m:t>
          </m:r>
          <m:d>
            <m:dPr>
              <m:begChr m:val="("/>
              <m:endChr m:val=")"/>
              <m:sepChr m:val=""/>
              <m:grow/>
            </m:dPr>
            <m:e>
              <m:f>
                <m:fPr>
                  <m:type m:val="bar"/>
                </m:fPr>
                <m:num>
                  <m:sSup>
                    <m:e>
                      <m:r>
                        <m:t>n</m:t>
                      </m:r>
                    </m:e>
                    <m:sup>
                      <m:r>
                        <m:t>2</m:t>
                      </m:r>
                    </m:sup>
                  </m:sSup>
                </m:num>
                <m:den>
                  <m:sSup>
                    <m:e>
                      <m:r>
                        <m:t>n</m:t>
                      </m:r>
                    </m:e>
                    <m:sup>
                      <m:r>
                        <m:t>2</m:t>
                      </m:r>
                    </m:sup>
                  </m:sSup>
                  <m:r>
                    <m:rPr>
                      <m:sty m:val="p"/>
                    </m:rPr>
                    <m:t>−</m:t>
                  </m:r>
                  <m:r>
                    <m:t>4</m:t>
                  </m:r>
                </m:den>
              </m:f>
            </m:e>
          </m:d>
          <m:r>
            <m:rPr>
              <m:sty m:val="p"/>
            </m:rPr>
            <m:t>,</m:t>
          </m:r>
          <m:r>
            <m:t> </m:t>
          </m:r>
          <m:r>
            <m:rPr>
              <m:nor/>
              <m:sty m:val="p"/>
            </m:rPr>
            <m:t>(5.2)</m:t>
          </m:r>
        </m:oMath>
      </m:oMathPara>
    </w:p>
    <w:p>
      <w:pPr>
        <w:pStyle w:val="FirstParagraph"/>
      </w:pPr>
      <w:r>
        <w:t xml:space="preserve">donde</w:t>
      </w:r>
      <w:r>
        <w:t xml:space="preserve"> </w:t>
      </w:r>
      <m:oMath>
        <m:r>
          <m:t>n</m:t>
        </m:r>
      </m:oMath>
      <w:r>
        <w:t xml:space="preserve"> </w:t>
      </w:r>
      <w:r>
        <w:t xml:space="preserve">es un número entero mayor que tres. Esta fórmula original sería generalizada tres años después por el físico sueco Johannes Rydberg, y permite determinar la longitud de onda de un fotón emitido en una transición electrónica entre dos estados</w:t>
      </w:r>
      <w:r>
        <w:t xml:space="preserve"> </w:t>
      </w:r>
      <m:oMath>
        <m:r>
          <m:t>n</m:t>
        </m:r>
      </m:oMath>
      <w:r>
        <w:t xml:space="preserve"> </w:t>
      </w:r>
      <w:r>
        <w:t xml:space="preserve">y</w:t>
      </w:r>
      <w:r>
        <w:t xml:space="preserve"> </w:t>
      </w:r>
      <m:oMath>
        <m:r>
          <m:t>m</m:t>
        </m:r>
      </m:oMath>
      <w:r>
        <w:t xml:space="preserve"> </w:t>
      </w:r>
      <w:r>
        <w:t xml:space="preserve">del espectro. Tradicionalmente, dicha fórmula se escribe como</w:t>
      </w:r>
    </w:p>
    <w:p>
      <w:pPr>
        <w:pStyle w:val="BodyText"/>
      </w:pPr>
      <m:oMathPara>
        <m:oMathParaPr>
          <m:jc m:val="center"/>
        </m:oMathParaPr>
        <m:oMath>
          <m:r>
            <m:t>κ</m:t>
          </m:r>
          <m:r>
            <m:rPr>
              <m:sty m:val="p"/>
            </m:rPr>
            <m:t>=</m:t>
          </m:r>
          <m:sSub>
            <m:e>
              <m:r>
                <m:t>R</m:t>
              </m:r>
            </m:e>
            <m:sub>
              <m:r>
                <m:t>H</m:t>
              </m:r>
            </m:sub>
          </m:sSub>
          <m:d>
            <m:dPr>
              <m:begChr m:val="("/>
              <m:endChr m:val=")"/>
              <m:sepChr m:val=""/>
              <m:grow/>
            </m:dPr>
            <m:e>
              <m:f>
                <m:fPr>
                  <m:type m:val="bar"/>
                </m:fPr>
                <m:num>
                  <m:r>
                    <m:t>1</m:t>
                  </m:r>
                </m:num>
                <m:den>
                  <m:sSup>
                    <m:e>
                      <m:r>
                        <m:t>m</m:t>
                      </m:r>
                    </m:e>
                    <m:sup>
                      <m:r>
                        <m:t>2</m:t>
                      </m:r>
                    </m:sup>
                  </m:sSup>
                </m:den>
              </m:f>
              <m:r>
                <m:rPr>
                  <m:sty m:val="p"/>
                </m:rPr>
                <m:t>−</m:t>
              </m:r>
              <m:f>
                <m:fPr>
                  <m:type m:val="bar"/>
                </m:fPr>
                <m:num>
                  <m:r>
                    <m:t>1</m:t>
                  </m:r>
                </m:num>
                <m:den>
                  <m:sSup>
                    <m:e>
                      <m:r>
                        <m:t>n</m:t>
                      </m:r>
                    </m:e>
                    <m:sup>
                      <m:r>
                        <m:t>2</m:t>
                      </m:r>
                    </m:sup>
                  </m:sSup>
                </m:den>
              </m:f>
            </m:e>
          </m:d>
          <m:r>
            <m:rPr>
              <m:sty m:val="p"/>
            </m:rPr>
            <m:t>,</m:t>
          </m:r>
          <m:r>
            <m:t> </m:t>
          </m:r>
          <m:r>
            <m:rPr>
              <m:nor/>
              <m:sty m:val="p"/>
            </m:rPr>
            <m:t>(5.3)</m:t>
          </m:r>
        </m:oMath>
      </m:oMathPara>
    </w:p>
    <w:p>
      <w:pPr>
        <w:pStyle w:val="FirstParagraph"/>
      </w:pPr>
      <w:r>
        <w:t xml:space="preserve">donde</w:t>
      </w:r>
      <w:r>
        <w:t xml:space="preserve"> </w:t>
      </w:r>
      <m:oMath>
        <m:r>
          <m:t>κ</m:t>
        </m:r>
        <m:r>
          <m:rPr>
            <m:sty m:val="p"/>
          </m:rPr>
          <m:t>=</m:t>
        </m:r>
        <m:r>
          <m:t>1</m:t>
        </m:r>
        <m:r>
          <m:rPr>
            <m:sty m:val="p"/>
          </m:rPr>
          <m:t>/</m:t>
        </m:r>
        <m:r>
          <m:t>λ</m:t>
        </m:r>
      </m:oMath>
      <w:r>
        <w:t xml:space="preserve">,</w:t>
      </w:r>
      <w:r>
        <w:t xml:space="preserve"> </w:t>
      </w:r>
      <m:oMath>
        <m:r>
          <m:t>n</m:t>
        </m:r>
      </m:oMath>
      <w:r>
        <w:t xml:space="preserve"> </w:t>
      </w:r>
      <w:r>
        <w:t xml:space="preserve">representa el nivel desde el cual se produce la transición electrónica y</w:t>
      </w:r>
      <w:r>
        <w:t xml:space="preserve"> </w:t>
      </w:r>
      <m:oMath>
        <m:r>
          <m:t>m</m:t>
        </m:r>
      </m:oMath>
      <w:r>
        <w:t xml:space="preserve"> </w:t>
      </w:r>
      <w:r>
        <w:t xml:space="preserve">representa el nivel de llegada. Como puede verse en la figura 5.1, este último número determina el tipo de serie espectral. Por ejemplo,</w:t>
      </w:r>
      <w:r>
        <w:t xml:space="preserve"> </w:t>
      </w:r>
      <m:oMath>
        <m:r>
          <m:t>m</m:t>
        </m:r>
        <m:r>
          <m:rPr>
            <m:sty m:val="p"/>
          </m:rPr>
          <m:t>=</m:t>
        </m:r>
        <m:r>
          <m:t>1</m:t>
        </m:r>
      </m:oMath>
      <w:r>
        <w:t xml:space="preserve"> </w:t>
      </w:r>
      <w:r>
        <w:t xml:space="preserve">representa la serie de Lyman,</w:t>
      </w:r>
      <w:r>
        <w:t xml:space="preserve"> </w:t>
      </w:r>
      <m:oMath>
        <m:r>
          <m:t>m</m:t>
        </m:r>
        <m:r>
          <m:rPr>
            <m:sty m:val="p"/>
          </m:rPr>
          <m:t>=</m:t>
        </m:r>
        <m:r>
          <m:t>2</m:t>
        </m:r>
      </m:oMath>
      <w:r>
        <w:t xml:space="preserve"> </w:t>
      </w:r>
      <w:r>
        <w:t xml:space="preserve">la de Balmer, etc. En la presente práctica nos centraremos en esta última, por estar dentro del espectro visible. La constante</w:t>
      </w:r>
      <w:r>
        <w:t xml:space="preserve"> </w:t>
      </w:r>
      <m:oMath>
        <m:sSub>
          <m:e>
            <m:r>
              <m:t>R</m:t>
            </m:r>
          </m:e>
          <m:sub>
            <m:r>
              <m:t>H</m:t>
            </m:r>
          </m:sub>
        </m:sSub>
      </m:oMath>
      <w:r>
        <w:t xml:space="preserve"> </w:t>
      </w:r>
      <w:r>
        <w:t xml:space="preserve">se denomina constante de Rydberg y puede calcularse de forma teórica a partir del modelo atómico de Bohr, teniendo en cuenta que la energía</w:t>
      </w:r>
      <w:r>
        <w:t xml:space="preserve"> </w:t>
      </w:r>
      <m:oMath>
        <m:sSub>
          <m:e>
            <m:r>
              <m:t>E</m:t>
            </m:r>
          </m:e>
          <m:sub>
            <m:r>
              <m:t>n</m:t>
            </m:r>
          </m:sub>
        </m:sSub>
      </m:oMath>
      <w:r>
        <w:t xml:space="preserve"> </w:t>
      </w:r>
      <w:r>
        <w:t xml:space="preserve">de un electrón en el nivel</w:t>
      </w:r>
      <w:r>
        <w:t xml:space="preserve"> </w:t>
      </w:r>
      <m:oMath>
        <m:r>
          <m:t>n</m:t>
        </m:r>
      </m:oMath>
      <w:r>
        <w:t xml:space="preserve">-ésimo viene dada por</w:t>
      </w:r>
    </w:p>
    <w:p>
      <w:pPr>
        <w:pStyle w:val="BodyText"/>
      </w:pPr>
      <m:oMathPara>
        <m:oMathParaPr>
          <m:jc m:val="center"/>
        </m:oMathParaPr>
        <m:oMath>
          <m:sSub>
            <m:e>
              <m:r>
                <m:t>E</m:t>
              </m:r>
            </m:e>
            <m:sub>
              <m:r>
                <m:t>n</m:t>
              </m:r>
            </m:sub>
          </m:sSub>
          <m:r>
            <m:rPr>
              <m:sty m:val="p"/>
            </m:rPr>
            <m:t>=</m:t>
          </m:r>
          <m:r>
            <m:rPr>
              <m:sty m:val="p"/>
            </m:rPr>
            <m:t>−</m:t>
          </m:r>
          <m:f>
            <m:fPr>
              <m:type m:val="bar"/>
            </m:fPr>
            <m:num>
              <m:sSup>
                <m:e>
                  <m:r>
                    <m:t>e</m:t>
                  </m:r>
                </m:e>
                <m:sup>
                  <m:r>
                    <m:t>4</m:t>
                  </m:r>
                </m:sup>
              </m:sSup>
              <m:sSub>
                <m:e>
                  <m:r>
                    <m:t>m</m:t>
                  </m:r>
                </m:e>
                <m:sub>
                  <m:r>
                    <m:t>e</m:t>
                  </m:r>
                </m:sub>
              </m:sSub>
            </m:num>
            <m:den>
              <m:r>
                <m:t>8</m:t>
              </m:r>
              <m:sSubSup>
                <m:e>
                  <m:r>
                    <m:t>ϵ</m:t>
                  </m:r>
                </m:e>
                <m:sub>
                  <m:r>
                    <m:t>0</m:t>
                  </m:r>
                </m:sub>
                <m:sup>
                  <m:r>
                    <m:t>2</m:t>
                  </m:r>
                </m:sup>
              </m:sSubSup>
              <m:sSup>
                <m:e>
                  <m:r>
                    <m:t>h</m:t>
                  </m:r>
                </m:e>
                <m:sup>
                  <m:r>
                    <m:t>2</m:t>
                  </m:r>
                </m:sup>
              </m:sSup>
            </m:den>
          </m:f>
          <m:f>
            <m:fPr>
              <m:type m:val="bar"/>
            </m:fPr>
            <m:num>
              <m:r>
                <m:t>1</m:t>
              </m:r>
            </m:num>
            <m:den>
              <m:sSup>
                <m:e>
                  <m:r>
                    <m:t>n</m:t>
                  </m:r>
                </m:e>
                <m:sup>
                  <m:r>
                    <m:t>2</m:t>
                  </m:r>
                </m:sup>
              </m:sSup>
            </m:den>
          </m:f>
          <m:r>
            <m:rPr>
              <m:sty m:val="p"/>
            </m:rPr>
            <m:t>.</m:t>
          </m:r>
          <m:r>
            <m:t> </m:t>
          </m:r>
          <m:r>
            <m:rPr>
              <m:nor/>
              <m:sty m:val="p"/>
            </m:rPr>
            <m:t>(5.4)</m:t>
          </m:r>
        </m:oMath>
      </m:oMathPara>
    </w:p>
    <w:p>
      <w:pPr>
        <w:pStyle w:val="FirstParagraph"/>
      </w:pPr>
      <w:r>
        <w:t xml:space="preserve">Por lo tanto, tenemos que</w:t>
      </w:r>
    </w:p>
    <w:p>
      <w:pPr>
        <w:pStyle w:val="BodyText"/>
      </w:pPr>
      <m:oMathPara>
        <m:oMathParaPr>
          <m:jc m:val="center"/>
        </m:oMathParaPr>
        <m:oMath>
          <m:sSub>
            <m:e>
              <m:r>
                <m:t>R</m:t>
              </m:r>
            </m:e>
            <m:sub>
              <m:r>
                <m:t>H</m:t>
              </m:r>
            </m:sub>
          </m:sSub>
          <m:r>
            <m:rPr>
              <m:sty m:val="p"/>
            </m:rPr>
            <m:t>=</m:t>
          </m:r>
          <m:f>
            <m:fPr>
              <m:type m:val="bar"/>
            </m:fPr>
            <m:num>
              <m:sSup>
                <m:e>
                  <m:r>
                    <m:t>e</m:t>
                  </m:r>
                </m:e>
                <m:sup>
                  <m:r>
                    <m:t>4</m:t>
                  </m:r>
                </m:sup>
              </m:sSup>
              <m:sSub>
                <m:e>
                  <m:r>
                    <m:t>m</m:t>
                  </m:r>
                </m:e>
                <m:sub>
                  <m:r>
                    <m:t>e</m:t>
                  </m:r>
                </m:sub>
              </m:sSub>
            </m:num>
            <m:den>
              <m:r>
                <m:t>8</m:t>
              </m:r>
              <m:sSubSup>
                <m:e>
                  <m:r>
                    <m:t>ϵ</m:t>
                  </m:r>
                </m:e>
                <m:sub>
                  <m:r>
                    <m:t>0</m:t>
                  </m:r>
                </m:sub>
                <m:sup>
                  <m:r>
                    <m:t>2</m:t>
                  </m:r>
                </m:sup>
              </m:sSubSup>
              <m:sSup>
                <m:e>
                  <m:r>
                    <m:t>h</m:t>
                  </m:r>
                </m:e>
                <m:sup>
                  <m:r>
                    <m:t>3</m:t>
                  </m:r>
                </m:sup>
              </m:sSup>
              <m:r>
                <m:t>c</m:t>
              </m:r>
            </m:den>
          </m:f>
          <m:r>
            <m:rPr>
              <m:sty m:val="p"/>
            </m:rPr>
            <m:t>,</m:t>
          </m:r>
          <m:r>
            <m:t> </m:t>
          </m:r>
          <m:r>
            <m:rPr>
              <m:nor/>
              <m:sty m:val="p"/>
            </m:rPr>
            <m:t>(5.5)</m:t>
          </m:r>
        </m:oMath>
      </m:oMathPara>
    </w:p>
    <w:p>
      <w:pPr>
        <w:pStyle w:val="FirstParagraph"/>
      </w:pPr>
      <w:r>
        <w:t xml:space="preserve">cuyo valor puede aproximarse por</w:t>
      </w:r>
      <w:r>
        <w:t xml:space="preserve"> </w:t>
      </w:r>
      <m:oMath>
        <m:sSub>
          <m:e>
            <m:r>
              <m:t>R</m:t>
            </m:r>
          </m:e>
          <m:sub>
            <m:r>
              <m:t>H</m:t>
            </m:r>
          </m:sub>
        </m:sSub>
        <m:r>
          <m:rPr>
            <m:sty m:val="p"/>
          </m:rPr>
          <m:t>=</m:t>
        </m:r>
        <m:r>
          <m:t>1.097</m:t>
        </m:r>
        <m:r>
          <m:rPr>
            <m:sty m:val="p"/>
          </m:rPr>
          <m:t>⋅</m:t>
        </m:r>
        <m:sSup>
          <m:e>
            <m:r>
              <m:t>10</m:t>
            </m:r>
          </m:e>
          <m:sup>
            <m:r>
              <m:t>7</m:t>
            </m:r>
          </m:sup>
        </m:sSup>
      </m:oMath>
      <w:r>
        <w:t xml:space="preserve"> </w:t>
      </w:r>
      <w:r>
        <w:t xml:space="preserve">m</w:t>
      </w:r>
      <m:oMath>
        <m:sSup>
          <m:e>
            <m:r>
              <m:t>​</m:t>
            </m:r>
          </m:e>
          <m:sup>
            <m:r>
              <m:rPr>
                <m:sty m:val="p"/>
              </m:rPr>
              <m:t>−</m:t>
            </m:r>
            <m:r>
              <m:t>1</m:t>
            </m:r>
          </m:sup>
        </m:sSup>
      </m:oMath>
      <w:r>
        <w:t xml:space="preserve">.</w:t>
      </w:r>
    </w:p>
    <w:p>
      <w:pPr>
        <w:pStyle w:val="BodyText"/>
      </w:pPr>
      <w:r>
        <w:t xml:space="preserve">Finalmente, a lo largo de esta práctica se utilizará una red de difracción para observar el espectro del átomo de hidrógeno. Si un haz de luz de longitud de onda</w:t>
      </w:r>
      <w:r>
        <w:t xml:space="preserve"> </w:t>
      </w:r>
      <m:oMath>
        <m:r>
          <m:t>λ</m:t>
        </m:r>
      </m:oMath>
      <w:r>
        <w:t xml:space="preserve"> </w:t>
      </w:r>
      <w:r>
        <w:t xml:space="preserve">incide sobre una red de difracción con distancia de red</w:t>
      </w:r>
      <w:r>
        <w:t xml:space="preserve"> </w:t>
      </w:r>
      <m:oMath>
        <m:r>
          <m:t>δ</m:t>
        </m:r>
      </m:oMath>
      <w:r>
        <w:t xml:space="preserve">, los picos de intensidad ocurren cuando el ángulo</w:t>
      </w:r>
      <w:r>
        <w:t xml:space="preserve"> </w:t>
      </w:r>
      <m:oMath>
        <m:r>
          <m:t>α</m:t>
        </m:r>
      </m:oMath>
      <w:r>
        <w:t xml:space="preserve"> </w:t>
      </w:r>
      <w:r>
        <w:t xml:space="preserve">de difracción obedece la condición</w:t>
      </w:r>
    </w:p>
    <w:p>
      <w:pPr>
        <w:pStyle w:val="BodyText"/>
      </w:pPr>
      <m:oMathPara>
        <m:oMathParaPr>
          <m:jc m:val="center"/>
        </m:oMathParaPr>
        <m:oMath>
          <m:r>
            <m:t>n</m:t>
          </m:r>
          <m:r>
            <m:t>λ</m:t>
          </m:r>
          <m:r>
            <m:rPr>
              <m:sty m:val="p"/>
            </m:rPr>
            <m:t>=</m:t>
          </m:r>
          <m:r>
            <m:t>δ</m:t>
          </m:r>
          <m:r>
            <m:rPr>
              <m:sty m:val="p"/>
            </m:rPr>
            <m:t>sin</m:t>
          </m:r>
          <m:r>
            <m:t>α</m:t>
          </m:r>
          <m:r>
            <m:rPr>
              <m:sty m:val="p"/>
            </m:rPr>
            <m:t>,</m:t>
          </m:r>
          <m:r>
            <m:t> </m:t>
          </m:r>
          <m:r>
            <m:rPr>
              <m:nor/>
              <m:sty m:val="p"/>
            </m:rPr>
            <m:t>(5.6)</m:t>
          </m:r>
        </m:oMath>
      </m:oMathPara>
    </w:p>
    <w:p>
      <w:pPr>
        <w:pStyle w:val="FirstParagraph"/>
      </w:pPr>
      <w:r>
        <w:t xml:space="preserve">donde este</w:t>
      </w:r>
      <w:r>
        <w:t xml:space="preserve"> </w:t>
      </w:r>
      <m:oMath>
        <m:r>
          <m:t>n</m:t>
        </m:r>
      </m:oMath>
      <w:r>
        <w:t xml:space="preserve"> </w:t>
      </w:r>
      <w:r>
        <w:t xml:space="preserve">no debe confundirse con el anterior y representa el orden de difracción. Como puede observarse en la figura 5.2, el seno del ángulo puede calcularse por trigonometría elemental.</w:t>
      </w:r>
    </w:p>
    <w:p>
      <w:pPr>
        <w:pStyle w:val="CaptionedFigure"/>
      </w:pPr>
      <w:r>
        <w:drawing>
          <wp:inline>
            <wp:extent cx="4319999" cy="2919599"/>
            <wp:effectExtent b="0" l="0" r="0" t="0"/>
            <wp:docPr descr="" title="" id="25" name="Picture"/>
            <a:graphic>
              <a:graphicData uri="http://schemas.openxmlformats.org/drawingml/2006/picture">
                <pic:pic>
                  <pic:nvPicPr>
                    <pic:cNvPr descr="img/fig041.png" id="26" name="Picture"/>
                    <pic:cNvPicPr>
                      <a:picLocks noChangeArrowheads="1" noChangeAspect="1"/>
                    </pic:cNvPicPr>
                  </pic:nvPicPr>
                  <pic:blipFill>
                    <a:blip r:embed="rId24"/>
                    <a:stretch>
                      <a:fillRect/>
                    </a:stretch>
                  </pic:blipFill>
                  <pic:spPr bwMode="auto">
                    <a:xfrm>
                      <a:off x="0" y="0"/>
                      <a:ext cx="4319999" cy="2919599"/>
                    </a:xfrm>
                    <a:prstGeom prst="rect">
                      <a:avLst/>
                    </a:prstGeom>
                    <a:noFill/>
                    <a:ln w="9525">
                      <a:noFill/>
                      <a:headEnd/>
                      <a:tailEnd/>
                    </a:ln>
                  </pic:spPr>
                </pic:pic>
              </a:graphicData>
            </a:graphic>
          </wp:inline>
        </w:drawing>
      </w:r>
    </w:p>
    <w:p>
      <w:pPr>
        <w:pStyle w:val="ImageCaption"/>
      </w:pPr>
      <w:r>
        <w:t xml:space="preserve">Figura 5.2: Representación esquemática del montaje experimental.</w:t>
      </w:r>
      <w:r>
        <w:t xml:space="preserve"> </w:t>
      </w:r>
    </w:p>
    <w:bookmarkEnd w:id="27"/>
    <w:bookmarkStart w:id="31" w:name="montaje-experimental"/>
    <w:p>
      <w:pPr>
        <w:pStyle w:val="Heading2"/>
      </w:pPr>
      <w:r>
        <w:t xml:space="preserve">Montaje experimental</w:t>
      </w:r>
    </w:p>
    <w:p>
      <w:pPr>
        <w:pStyle w:val="FirstParagraph"/>
      </w:pPr>
      <w:r>
        <w:t xml:space="preserve">El montaje de la práctica se puede observar en las figura 5.3. Éste consta de un generador de corriente continua de alto voltaje, conectado a un tubo espectral. Todas las medidas se realizarán a una corriente de 5 kV, por lo que se recuerda al alumno</w:t>
      </w:r>
      <w:r>
        <w:t xml:space="preserve"> </w:t>
      </w:r>
      <w:r>
        <w:rPr>
          <w:bCs/>
          <w:b/>
        </w:rPr>
        <w:t xml:space="preserve">bajar la corriente a cero una vez se halla realizado cada medida</w:t>
      </w:r>
      <w:r>
        <w:t xml:space="preserve">. La lampara se fijará a un soporte mediante dos abrazaderas, mientras que una tercera servirá para anclar una regla milimetrada tras la misma, de tal manera que se evite el paralaje a la hora de tomar las medidas. Finalmente, una red de difracción se situará enfrente de la lámpara a una distancia</w:t>
      </w:r>
      <w:r>
        <w:t xml:space="preserve"> </w:t>
      </w:r>
      <m:oMath>
        <m:r>
          <m:t>d</m:t>
        </m:r>
      </m:oMath>
      <w:r>
        <w:t xml:space="preserve"> </w:t>
      </w:r>
      <w:r>
        <w:t xml:space="preserve">de 50 cm, y a la altura de su rendija.</w:t>
      </w:r>
    </w:p>
    <w:p>
      <w:pPr>
        <w:pStyle w:val="BodyText"/>
      </w:pPr>
      <w:r>
        <w:t xml:space="preserve">El tubo es observado por detrás de la red, tal y como se indica en la figura 5.2. Es preciso que la oscuridad sea suficiente como para que las líneas espectrales se observen con claridad, pero dejando al tiempo que se vean las medidas de la regla. La distancia</w:t>
      </w:r>
      <w:r>
        <w:t xml:space="preserve"> </w:t>
      </w:r>
      <m:oMath>
        <m:r>
          <m:t>2</m:t>
        </m:r>
        <m:r>
          <m:t>l</m:t>
        </m:r>
      </m:oMath>
      <w:r>
        <w:t xml:space="preserve"> </w:t>
      </w:r>
      <w:r>
        <w:t xml:space="preserve">entre las líneas espectrales, correspondientes al primer orden de difracción, se observarán a uno y otro lado de la rendija y se leerán sin mover la cabeza.</w:t>
      </w:r>
    </w:p>
    <w:p>
      <w:pPr>
        <w:pStyle w:val="BodyText"/>
      </w:pPr>
      <w:r>
        <w:t xml:space="preserve">En la práctica se utilizarán dos tipos de lámparas espectrales, una de mercurio y otra de hidrógeno. La primera se empleará para obtener la distancia</w:t>
      </w:r>
      <w:r>
        <w:t xml:space="preserve"> </w:t>
      </w:r>
      <m:oMath>
        <m:r>
          <m:t>δ</m:t>
        </m:r>
      </m:oMath>
      <w:r>
        <w:t xml:space="preserve"> </w:t>
      </w:r>
      <w:r>
        <w:t xml:space="preserve">de la red de difracción, mientras que la segunda servirá para estudiar la serie de Balmer del espectro del hidrógeno. Tres líneas claramente visibles se observarán al estudiar el espectro del tubo de mercurio. Posteriormente, se determinará el valor de la constante</w:t>
      </w:r>
      <w:r>
        <w:t xml:space="preserve"> </w:t>
      </w:r>
      <m:oMath>
        <m:r>
          <m:t>δ</m:t>
        </m:r>
      </m:oMath>
      <w:r>
        <w:t xml:space="preserve"> </w:t>
      </w:r>
      <w:r>
        <w:t xml:space="preserve">a partir de los valores de las longitudes de onda de tales líneas espectrales. Para finalizar, se utilizará el tubo de hidrógeno con el fin de obtener la constante de Rydberg y los niveles energéticos del átomo de hidrógeno.</w:t>
      </w:r>
    </w:p>
    <w:p>
      <w:pPr>
        <w:pStyle w:val="CaptionedFigure"/>
      </w:pPr>
      <w:r>
        <w:drawing>
          <wp:inline>
            <wp:extent cx="4636799" cy="2919599"/>
            <wp:effectExtent b="0" l="0" r="0" t="0"/>
            <wp:docPr descr="" title="" id="29" name="Picture"/>
            <a:graphic>
              <a:graphicData uri="http://schemas.openxmlformats.org/drawingml/2006/picture">
                <pic:pic>
                  <pic:nvPicPr>
                    <pic:cNvPr descr="img/fig042.jpg" id="30" name="Picture"/>
                    <pic:cNvPicPr>
                      <a:picLocks noChangeArrowheads="1" noChangeAspect="1"/>
                    </pic:cNvPicPr>
                  </pic:nvPicPr>
                  <pic:blipFill>
                    <a:blip r:embed="rId28"/>
                    <a:stretch>
                      <a:fillRect/>
                    </a:stretch>
                  </pic:blipFill>
                  <pic:spPr bwMode="auto">
                    <a:xfrm>
                      <a:off x="0" y="0"/>
                      <a:ext cx="4636799" cy="2919599"/>
                    </a:xfrm>
                    <a:prstGeom prst="rect">
                      <a:avLst/>
                    </a:prstGeom>
                    <a:noFill/>
                    <a:ln w="9525">
                      <a:noFill/>
                      <a:headEnd/>
                      <a:tailEnd/>
                    </a:ln>
                  </pic:spPr>
                </pic:pic>
              </a:graphicData>
            </a:graphic>
          </wp:inline>
        </w:drawing>
      </w:r>
    </w:p>
    <w:p>
      <w:pPr>
        <w:pStyle w:val="ImageCaption"/>
      </w:pPr>
      <w:r>
        <w:t xml:space="preserve">Figura 5.3: Montaje experimental.</w:t>
      </w:r>
      <w:r>
        <w:t xml:space="preserve"> </w:t>
      </w:r>
    </w:p>
    <w:bookmarkEnd w:id="31"/>
    <w:bookmarkStart w:id="32" w:name="resultados"/>
    <w:p>
      <w:pPr>
        <w:pStyle w:val="Heading2"/>
      </w:pPr>
      <w:r>
        <w:t xml:space="preserve">Resultados</w:t>
      </w:r>
    </w:p>
    <w:p>
      <w:pPr>
        <w:numPr>
          <w:ilvl w:val="0"/>
          <w:numId w:val="1001"/>
        </w:numPr>
      </w:pPr>
      <w:r>
        <w:t xml:space="preserve">Medir con una regla milimetrada la distancia de la red de difracción al tubo espectral:</w:t>
      </w:r>
    </w:p>
    <w:p>
      <w:pPr>
        <w:pStyle w:val="BodyText"/>
      </w:pPr>
      <m:oMathPara>
        <m:oMathParaPr>
          <m:jc m:val="center"/>
        </m:oMathParaPr>
        <m:oMath>
          <m:r>
            <m:t>d</m:t>
          </m:r>
          <m:d>
            <m:dPr>
              <m:begChr m:val="("/>
              <m:endChr m:val=")"/>
              <m:sepChr m:val=""/>
              <m:grow/>
            </m:dPr>
            <m:e>
              <m:r>
                <m:rPr>
                  <m:sty m:val="p"/>
                </m:rPr>
                <m:t>±</m:t>
              </m:r>
              <m:sSub>
                <m:e>
                  <m:r>
                    <m:t>ϵ</m:t>
                  </m:r>
                </m:e>
                <m:sub>
                  <m:r>
                    <m:t>d</m:t>
                  </m:r>
                </m:sub>
              </m:sSub>
            </m:e>
          </m:d>
          <m:r>
            <m:rPr>
              <m:sty m:val="p"/>
            </m:rPr>
            <m:t>=</m:t>
          </m:r>
        </m:oMath>
      </m:oMathPara>
    </w:p>
    <w:p>
      <w:pPr>
        <w:numPr>
          <w:ilvl w:val="0"/>
          <w:numId w:val="1001"/>
        </w:numPr>
      </w:pPr>
      <w:r>
        <w:t xml:space="preserve">Para las líneas amarilla, verde, y azul de la lampara de mercurio, cuyos valores de la longitud de onda</w:t>
      </w:r>
      <w:r>
        <w:t xml:space="preserve"> </w:t>
      </w:r>
      <m:oMath>
        <m:r>
          <m:t>λ</m:t>
        </m:r>
      </m:oMath>
      <w:r>
        <w:t xml:space="preserve"> </w:t>
      </w:r>
      <w:r>
        <w:t xml:space="preserve">aparecen en la tabla siguiente, calcular los valores de</w:t>
      </w:r>
      <w:r>
        <w:t xml:space="preserve"> </w:t>
      </w:r>
      <m:oMath>
        <m:r>
          <m:t>l</m:t>
        </m:r>
      </m:oMath>
      <w:r>
        <w:t xml:space="preserve">.</w:t>
      </w:r>
    </w:p>
    <w:tbl>
      <w:tblPr>
        <w:tblStyle w:val="Table"/>
        <w:tblW w:type="auto" w:w="0"/>
        <w:tblLook w:firstRow="1" w:lastRow="0" w:firstColumn="0" w:lastColumn="0" w:noHBand="0" w:noVBand="0" w:val="0020"/>
        <w:jc w:val="start"/>
        <w:tblInd w:w="720" w:type="dxa"/>
        <w:tblLayout w:type="fixed"/>
      </w:tblPr>
      <w:tblGrid>
        <w:gridCol w:w="2267"/>
        <w:gridCol w:w="3967"/>
        <w:gridCol w:w="3116"/>
      </w:tblGrid>
      <w:tr>
        <w:trPr>
          <w:tblHeader w:val="true"/>
        </w:trPr>
        <w:tc>
          <w:tcPr/>
          <w:p>
            <w:pPr>
              <w:pStyle w:val="Compact"/>
              <w:jc w:val="center"/>
            </w:pPr>
            <w:r>
              <w:t xml:space="preserve">Color</w:t>
            </w:r>
          </w:p>
        </w:tc>
        <w:tc>
          <w:tcPr/>
          <w:p>
            <w:pPr>
              <w:pStyle w:val="Compact"/>
              <w:jc w:val="center"/>
            </w:pPr>
            <m:oMath>
              <m:r>
                <m:t>λ</m:t>
              </m:r>
              <m:d>
                <m:dPr>
                  <m:begChr m:val="("/>
                  <m:endChr m:val=")"/>
                  <m:sepChr m:val=""/>
                  <m:grow/>
                </m:dPr>
                <m:e>
                  <m:r>
                    <m:rPr>
                      <m:sty m:val="p"/>
                    </m:rPr>
                    <m:t>±</m:t>
                  </m:r>
                  <m:r>
                    <m:t>0.1</m:t>
                  </m:r>
                </m:e>
              </m:d>
            </m:oMath>
            <w:r>
              <w:t xml:space="preserve"> </w:t>
            </w:r>
            <w:r>
              <w:t xml:space="preserve">nm</w:t>
            </w:r>
          </w:p>
        </w:tc>
        <w:tc>
          <w:tcPr/>
          <w:p>
            <w:pPr>
              <w:pStyle w:val="Compact"/>
              <w:jc w:val="center"/>
            </w:pPr>
            <m:oMath>
              <m:r>
                <m:t>l</m:t>
              </m:r>
              <m:d>
                <m:dPr>
                  <m:begChr m:val="("/>
                  <m:endChr m:val=")"/>
                  <m:sepChr m:val=""/>
                  <m:grow/>
                </m:dPr>
                <m:e>
                  <m:r>
                    <m:rPr>
                      <m:sty m:val="p"/>
                    </m:rPr>
                    <m:t>±</m:t>
                  </m:r>
                  <m:sSub>
                    <m:e>
                      <m:r>
                        <m:t>ϵ</m:t>
                      </m:r>
                    </m:e>
                    <m:sub>
                      <m:r>
                        <m:t>l</m:t>
                      </m:r>
                    </m:sub>
                  </m:sSub>
                </m:e>
              </m:d>
            </m:oMath>
          </w:p>
        </w:tc>
      </w:tr>
      <w:tr>
        <w:tc>
          <w:tcPr/>
          <w:p>
            <w:pPr>
              <w:pStyle w:val="Compact"/>
              <w:jc w:val="center"/>
            </w:pPr>
            <w:r>
              <w:t xml:space="preserve">Amarilla</w:t>
            </w:r>
          </w:p>
        </w:tc>
        <w:tc>
          <w:tcPr/>
          <w:p>
            <w:pPr>
              <w:pStyle w:val="Compact"/>
              <w:jc w:val="center"/>
            </w:pPr>
            <w:r>
              <w:t xml:space="preserve">578.0</w:t>
            </w:r>
          </w:p>
        </w:tc>
        <w:tc>
          <w:tcPr/>
          <w:p>
            <w:pPr>
              <w:pStyle w:val="Compact"/>
            </w:pPr>
          </w:p>
        </w:tc>
      </w:tr>
      <w:tr>
        <w:tc>
          <w:tcPr/>
          <w:p>
            <w:pPr>
              <w:pStyle w:val="Compact"/>
              <w:jc w:val="center"/>
            </w:pPr>
            <w:r>
              <w:t xml:space="preserve">Verde</w:t>
            </w:r>
          </w:p>
        </w:tc>
        <w:tc>
          <w:tcPr/>
          <w:p>
            <w:pPr>
              <w:pStyle w:val="Compact"/>
              <w:jc w:val="center"/>
            </w:pPr>
            <w:r>
              <w:t xml:space="preserve">546.1</w:t>
            </w:r>
          </w:p>
        </w:tc>
        <w:tc>
          <w:tcPr/>
          <w:p>
            <w:pPr>
              <w:pStyle w:val="Compact"/>
            </w:pPr>
          </w:p>
        </w:tc>
      </w:tr>
      <w:tr>
        <w:tc>
          <w:tcPr/>
          <w:p>
            <w:pPr>
              <w:pStyle w:val="Compact"/>
              <w:jc w:val="center"/>
            </w:pPr>
            <w:r>
              <w:t xml:space="preserve">Azul</w:t>
            </w:r>
          </w:p>
        </w:tc>
        <w:tc>
          <w:tcPr/>
          <w:p>
            <w:pPr>
              <w:pStyle w:val="Compact"/>
              <w:jc w:val="center"/>
            </w:pPr>
            <w:r>
              <w:t xml:space="preserve">434.8</w:t>
            </w:r>
          </w:p>
        </w:tc>
        <w:tc>
          <w:tcPr/>
          <w:p>
            <w:pPr>
              <w:pStyle w:val="Compact"/>
            </w:pPr>
          </w:p>
        </w:tc>
      </w:tr>
    </w:tbl>
    <w:p>
      <w:pPr>
        <w:numPr>
          <w:ilvl w:val="0"/>
          <w:numId w:val="1000"/>
        </w:numPr>
      </w:pPr>
      <w:r>
        <w:t xml:space="preserve">Valiéndose de la ecuación 5.6, calcular los valores de</w:t>
      </w:r>
      <w:r>
        <w:t xml:space="preserve"> </w:t>
      </w:r>
      <m:oMath>
        <m:r>
          <m:t>δ</m:t>
        </m:r>
      </m:oMath>
      <w:r>
        <w:t xml:space="preserve"> </w:t>
      </w:r>
      <w:r>
        <w:t xml:space="preserve">para los tres casos y hacer la media:</w:t>
      </w:r>
    </w:p>
    <w:p>
      <w:pPr>
        <w:pStyle w:val="BodyText"/>
      </w:pPr>
      <m:oMathPara>
        <m:oMathParaPr>
          <m:jc m:val="center"/>
        </m:oMathParaPr>
        <m:oMath>
          <m:bar>
            <m:barPr>
              <m:pos m:val="top"/>
            </m:barPr>
            <m:e>
              <m:r>
                <m:t>δ</m:t>
              </m:r>
            </m:e>
          </m:bar>
          <m:d>
            <m:dPr>
              <m:begChr m:val="("/>
              <m:endChr m:val=")"/>
              <m:sepChr m:val=""/>
              <m:grow/>
            </m:dPr>
            <m:e>
              <m:r>
                <m:rPr>
                  <m:sty m:val="p"/>
                </m:rPr>
                <m:t>±</m:t>
              </m:r>
              <m:sSub>
                <m:e>
                  <m:r>
                    <m:t>ϵ</m:t>
                  </m:r>
                </m:e>
                <m:sub>
                  <m:bar>
                    <m:barPr>
                      <m:pos m:val="top"/>
                    </m:barPr>
                    <m:e>
                      <m:r>
                        <m:t>δ</m:t>
                      </m:r>
                    </m:e>
                  </m:bar>
                </m:sub>
              </m:sSub>
            </m:e>
          </m:d>
          <m:r>
            <m:rPr>
              <m:sty m:val="p"/>
            </m:rPr>
            <m:t>=</m:t>
          </m:r>
        </m:oMath>
      </m:oMathPara>
    </w:p>
    <w:p>
      <w:pPr>
        <w:numPr>
          <w:ilvl w:val="0"/>
          <w:numId w:val="1001"/>
        </w:numPr>
      </w:pPr>
      <w:r>
        <w:t xml:space="preserve">Cambiando la lámpara de mercurio por la de hidrógeno y usando el valor de</w:t>
      </w:r>
      <w:r>
        <w:t xml:space="preserve"> </w:t>
      </w:r>
      <m:oMath>
        <m:bar>
          <m:barPr>
            <m:pos m:val="top"/>
          </m:barPr>
          <m:e>
            <m:r>
              <m:t>δ</m:t>
            </m:r>
          </m:e>
        </m:bar>
      </m:oMath>
      <w:r>
        <w:t xml:space="preserve"> </w:t>
      </w:r>
      <w:r>
        <w:t xml:space="preserve">obtenido en el apartado anterior, calcular los valores de la longitud de onda para las tres primeras líneas (H</w:t>
      </w:r>
      <m:oMath>
        <m:sSub>
          <m:e>
            <m:r>
              <m:t>​</m:t>
            </m:r>
          </m:e>
          <m:sub>
            <m:r>
              <m:t>α</m:t>
            </m:r>
          </m:sub>
        </m:sSub>
      </m:oMath>
      <w:r>
        <w:t xml:space="preserve">, H</w:t>
      </w:r>
      <m:oMath>
        <m:sSub>
          <m:e>
            <m:r>
              <m:t>​</m:t>
            </m:r>
          </m:e>
          <m:sub>
            <m:r>
              <m:t>β</m:t>
            </m:r>
          </m:sub>
        </m:sSub>
      </m:oMath>
      <w:r>
        <w:t xml:space="preserve"> </w:t>
      </w:r>
      <w:r>
        <w:t xml:space="preserve">y H</w:t>
      </w:r>
      <m:oMath>
        <m:sSub>
          <m:e>
            <m:r>
              <m:t>​</m:t>
            </m:r>
          </m:e>
          <m:sub>
            <m:r>
              <m:t>γ</m:t>
            </m:r>
          </m:sub>
        </m:sSub>
      </m:oMath>
      <w:r>
        <w:t xml:space="preserve">) de la serie de Balmer.</w:t>
      </w:r>
    </w:p>
    <w:tbl>
      <w:tblPr>
        <w:tblStyle w:val="Table"/>
        <w:tblW w:type="auto" w:w="0"/>
        <w:tblLook w:firstRow="1" w:lastRow="0" w:firstColumn="0" w:lastColumn="0" w:noHBand="0" w:noVBand="0" w:val="0020"/>
        <w:jc w:val="start"/>
        <w:tblInd w:w="720" w:type="dxa"/>
        <w:tblLayout w:type="fixed"/>
      </w:tblPr>
      <w:tblGrid>
        <w:gridCol w:w="1461"/>
        <w:gridCol w:w="3214"/>
        <w:gridCol w:w="4675"/>
      </w:tblGrid>
      <w:tr>
        <w:trPr>
          <w:tblHeader w:val="true"/>
        </w:trPr>
        <w:tc>
          <w:tcPr/>
          <w:p>
            <w:pPr>
              <w:pStyle w:val="Compact"/>
              <w:jc w:val="center"/>
            </w:pPr>
            <w:r>
              <w:t xml:space="preserve">Línea</w:t>
            </w:r>
          </w:p>
        </w:tc>
        <w:tc>
          <w:tcPr/>
          <w:p>
            <w:pPr>
              <w:pStyle w:val="Compact"/>
              <w:jc w:val="center"/>
            </w:pPr>
            <m:oMath>
              <m:r>
                <m:t>l</m:t>
              </m:r>
              <m:d>
                <m:dPr>
                  <m:begChr m:val="("/>
                  <m:endChr m:val=")"/>
                  <m:sepChr m:val=""/>
                  <m:grow/>
                </m:dPr>
                <m:e>
                  <m:r>
                    <m:rPr>
                      <m:sty m:val="p"/>
                    </m:rPr>
                    <m:t>±</m:t>
                  </m:r>
                  <m:sSub>
                    <m:e>
                      <m:r>
                        <m:t>ϵ</m:t>
                      </m:r>
                    </m:e>
                    <m:sub>
                      <m:r>
                        <m:t>l</m:t>
                      </m:r>
                    </m:sub>
                  </m:sSub>
                </m:e>
              </m:d>
            </m:oMath>
          </w:p>
        </w:tc>
        <w:tc>
          <w:tcPr/>
          <w:p>
            <w:pPr>
              <w:pStyle w:val="Compact"/>
              <w:jc w:val="center"/>
            </w:pPr>
            <m:oMath>
              <m:r>
                <m:t>λ</m:t>
              </m:r>
              <m:d>
                <m:dPr>
                  <m:begChr m:val="("/>
                  <m:endChr m:val=")"/>
                  <m:sepChr m:val=""/>
                  <m:grow/>
                </m:dPr>
                <m:e>
                  <m:r>
                    <m:rPr>
                      <m:sty m:val="p"/>
                    </m:rPr>
                    <m:t>±</m:t>
                  </m:r>
                  <m:sSub>
                    <m:e>
                      <m:r>
                        <m:t>ϵ</m:t>
                      </m:r>
                    </m:e>
                    <m:sub>
                      <m:r>
                        <m:t>λ</m:t>
                      </m:r>
                    </m:sub>
                  </m:sSub>
                </m:e>
              </m:d>
            </m:oMath>
            <w:r>
              <w:t xml:space="preserve"> </w:t>
            </w:r>
            <w:r>
              <w:t xml:space="preserve">nm</w:t>
            </w:r>
          </w:p>
        </w:tc>
      </w:tr>
      <w:tr>
        <w:tc>
          <w:tcPr/>
          <w:p>
            <w:pPr>
              <w:pStyle w:val="Compact"/>
              <w:jc w:val="center"/>
            </w:pPr>
            <w:r>
              <w:t xml:space="preserve">H</w:t>
            </w:r>
            <m:oMath>
              <m:sSub>
                <m:e>
                  <m:r>
                    <m:t>​</m:t>
                  </m:r>
                </m:e>
                <m:sub>
                  <m:r>
                    <m:t>α</m:t>
                  </m:r>
                </m:sub>
              </m:sSub>
            </m:oMath>
          </w:p>
        </w:tc>
        <w:tc>
          <w:tcPr/>
          <w:p>
            <w:pPr>
              <w:pStyle w:val="Compact"/>
            </w:pPr>
          </w:p>
        </w:tc>
        <w:tc>
          <w:tcPr/>
          <w:p>
            <w:pPr>
              <w:pStyle w:val="Compact"/>
            </w:pPr>
          </w:p>
        </w:tc>
      </w:tr>
      <w:tr>
        <w:tc>
          <w:tcPr/>
          <w:p>
            <w:pPr>
              <w:pStyle w:val="Compact"/>
              <w:jc w:val="center"/>
            </w:pPr>
            <w:r>
              <w:t xml:space="preserve">H</w:t>
            </w:r>
            <m:oMath>
              <m:sSub>
                <m:e>
                  <m:r>
                    <m:t>​</m:t>
                  </m:r>
                </m:e>
                <m:sub>
                  <m:r>
                    <m:t>β</m:t>
                  </m:r>
                </m:sub>
              </m:sSub>
            </m:oMath>
          </w:p>
        </w:tc>
        <w:tc>
          <w:tcPr/>
          <w:p>
            <w:pPr>
              <w:pStyle w:val="Compact"/>
            </w:pPr>
          </w:p>
        </w:tc>
        <w:tc>
          <w:tcPr/>
          <w:p>
            <w:pPr>
              <w:pStyle w:val="Compact"/>
            </w:pPr>
          </w:p>
        </w:tc>
      </w:tr>
      <w:tr>
        <w:tc>
          <w:tcPr/>
          <w:p>
            <w:pPr>
              <w:pStyle w:val="Compact"/>
              <w:jc w:val="center"/>
            </w:pPr>
            <w:r>
              <w:t xml:space="preserve">H</w:t>
            </w:r>
            <m:oMath>
              <m:sSub>
                <m:e>
                  <m:r>
                    <m:t>​</m:t>
                  </m:r>
                </m:e>
                <m:sub>
                  <m:r>
                    <m:t>γ</m:t>
                  </m:r>
                </m:sub>
              </m:sSub>
            </m:oMath>
          </w:p>
        </w:tc>
        <w:tc>
          <w:tcPr/>
          <w:p>
            <w:pPr>
              <w:pStyle w:val="Compact"/>
            </w:pPr>
          </w:p>
        </w:tc>
        <w:tc>
          <w:tcPr/>
          <w:p>
            <w:pPr>
              <w:pStyle w:val="Compact"/>
            </w:pPr>
          </w:p>
        </w:tc>
      </w:tr>
    </w:tbl>
    <w:p>
      <w:pPr>
        <w:numPr>
          <w:ilvl w:val="0"/>
          <w:numId w:val="1000"/>
        </w:numPr>
      </w:pPr>
      <w:r>
        <w:t xml:space="preserve">Representar gráficamente</w:t>
      </w:r>
      <w:r>
        <w:t xml:space="preserve"> </w:t>
      </w:r>
      <m:oMath>
        <m:r>
          <m:t>κ</m:t>
        </m:r>
      </m:oMath>
      <w:r>
        <w:t xml:space="preserve"> </w:t>
      </w:r>
      <w:r>
        <w:t xml:space="preserve">en función de</w:t>
      </w:r>
      <w:r>
        <w:t xml:space="preserve"> </w:t>
      </w:r>
      <m:oMath>
        <m:r>
          <m:t>1</m:t>
        </m:r>
        <m:r>
          <m:rPr>
            <m:sty m:val="p"/>
          </m:rPr>
          <m:t>/</m:t>
        </m:r>
        <m:sSup>
          <m:e>
            <m:r>
              <m:t>n</m:t>
            </m:r>
          </m:e>
          <m:sup>
            <m:r>
              <m:t>2</m:t>
            </m:r>
          </m:sup>
        </m:sSup>
      </m:oMath>
      <w:r>
        <w:t xml:space="preserve">. Calcular la pendiente</w:t>
      </w:r>
      <w:r>
        <w:t xml:space="preserve"> </w:t>
      </w:r>
      <m:oMath>
        <m:r>
          <m:t>a</m:t>
        </m:r>
      </m:oMath>
      <w:r>
        <w:t xml:space="preserve">, la ordenada en el origen</w:t>
      </w:r>
      <w:r>
        <w:t xml:space="preserve"> </w:t>
      </w:r>
      <m:oMath>
        <m:r>
          <m:t>b</m:t>
        </m:r>
      </m:oMath>
      <w:r>
        <w:t xml:space="preserve"> </w:t>
      </w:r>
      <w:r>
        <w:t xml:space="preserve">y el coeficiente de correlación lineal</w:t>
      </w:r>
      <w:r>
        <w:t xml:space="preserve"> </w:t>
      </w:r>
      <m:oMath>
        <m:r>
          <m:t>r</m:t>
        </m:r>
      </m:oMath>
      <w:r>
        <w:t xml:space="preserve"> </w:t>
      </w:r>
      <w:r>
        <w:t xml:space="preserve">de la recta de mı́nimos cuadrados</w:t>
      </w:r>
      <w:r>
        <w:t xml:space="preserve"> </w:t>
      </w:r>
      <m:oMath>
        <m:r>
          <m:t>κ</m:t>
        </m:r>
        <m:r>
          <m:rPr>
            <m:sty m:val="p"/>
          </m:rPr>
          <m:t>=</m:t>
        </m:r>
        <m:r>
          <m:t>a</m:t>
        </m:r>
        <m:r>
          <m:rPr>
            <m:sty m:val="p"/>
          </m:rPr>
          <m:t>⋅</m:t>
        </m:r>
        <m:sSup>
          <m:e>
            <m:r>
              <m:t>n</m:t>
            </m:r>
          </m:e>
          <m:sup>
            <m:r>
              <m:rPr>
                <m:sty m:val="p"/>
              </m:rPr>
              <m:t>−</m:t>
            </m:r>
            <m:r>
              <m:t>2</m:t>
            </m:r>
          </m:sup>
        </m:sSup>
        <m:r>
          <m:rPr>
            <m:sty m:val="p"/>
          </m:rPr>
          <m:t>+</m:t>
        </m:r>
        <m:r>
          <m:t>b</m:t>
        </m:r>
      </m:oMath>
      <w:r>
        <w:t xml:space="preserve">. Trazar esta recta sobre la representación anterior.</w:t>
      </w:r>
    </w:p>
    <w:p>
      <w:pPr>
        <w:pStyle w:val="BodyText"/>
      </w:pPr>
      <m:oMathPara>
        <m:oMathParaPr>
          <m:jc m:val="center"/>
        </m:oMathParaPr>
        <m:oMath>
          <m:r>
            <m:t>a</m:t>
          </m:r>
          <m:d>
            <m:dPr>
              <m:begChr m:val="("/>
              <m:endChr m:val=")"/>
              <m:sepChr m:val=""/>
              <m:grow/>
            </m:dPr>
            <m:e>
              <m:r>
                <m:rPr>
                  <m:sty m:val="p"/>
                </m:rPr>
                <m:t>±</m:t>
              </m:r>
              <m:sSub>
                <m:e>
                  <m:r>
                    <m:t>ϵ</m:t>
                  </m:r>
                </m:e>
                <m:sub>
                  <m:r>
                    <m:t>a</m:t>
                  </m:r>
                </m:sub>
              </m:sSub>
            </m:e>
          </m:d>
          <m:r>
            <m:rPr>
              <m:sty m:val="p"/>
            </m:rPr>
            <m:t>=</m:t>
          </m:r>
          <m:r>
            <m:t>  </m:t>
          </m:r>
          <m:r>
            <m:t>b</m:t>
          </m:r>
          <m:d>
            <m:dPr>
              <m:begChr m:val="("/>
              <m:endChr m:val=")"/>
              <m:sepChr m:val=""/>
              <m:grow/>
            </m:dPr>
            <m:e>
              <m:r>
                <m:rPr>
                  <m:sty m:val="p"/>
                </m:rPr>
                <m:t>±</m:t>
              </m:r>
              <m:sSub>
                <m:e>
                  <m:r>
                    <m:t>ϵ</m:t>
                  </m:r>
                </m:e>
                <m:sub>
                  <m:r>
                    <m:t>b</m:t>
                  </m:r>
                </m:sub>
              </m:sSub>
            </m:e>
          </m:d>
          <m:r>
            <m:rPr>
              <m:sty m:val="p"/>
            </m:rPr>
            <m:t>=</m:t>
          </m:r>
          <m:r>
            <m:t>  </m:t>
          </m:r>
          <m:r>
            <m:t>r</m:t>
          </m:r>
          <m:r>
            <m:rPr>
              <m:sty m:val="p"/>
            </m:rPr>
            <m:t>=</m:t>
          </m:r>
          <m:r>
            <m:rPr>
              <m:nor/>
              <m:sty m:val="p"/>
            </m:rPr>
            <m:t>            </m:t>
          </m:r>
        </m:oMath>
      </m:oMathPara>
    </w:p>
    <w:p>
      <w:pPr>
        <w:numPr>
          <w:ilvl w:val="0"/>
          <w:numId w:val="1000"/>
        </w:numPr>
      </w:pPr>
      <w:r>
        <w:t xml:space="preserve">Haciendo uso de la pendiente de la recta de mínimos cuadrados, y</w:t>
      </w:r>
      <w:r>
        <w:t xml:space="preserve"> </w:t>
      </w:r>
      <w:r>
        <w:t xml:space="preserve">comparando con la ecuación 5.3, determinar la constante de Rydberg.</w:t>
      </w:r>
    </w:p>
    <w:p>
      <w:pPr>
        <w:pStyle w:val="BodyText"/>
      </w:pPr>
      <m:oMathPara>
        <m:oMathParaPr>
          <m:jc m:val="center"/>
        </m:oMathParaPr>
        <m:oMath>
          <m:sSub>
            <m:e>
              <m:r>
                <m:t>R</m:t>
              </m:r>
            </m:e>
            <m:sub>
              <m:r>
                <m:t>H</m:t>
              </m:r>
            </m:sub>
          </m:sSub>
          <m:d>
            <m:dPr>
              <m:begChr m:val="("/>
              <m:endChr m:val=")"/>
              <m:sepChr m:val=""/>
              <m:grow/>
            </m:dPr>
            <m:e>
              <m:r>
                <m:rPr>
                  <m:sty m:val="p"/>
                </m:rPr>
                <m:t>±</m:t>
              </m:r>
              <m:sSub>
                <m:e>
                  <m:r>
                    <m:t>ϵ</m:t>
                  </m:r>
                </m:e>
                <m:sub>
                  <m:sSub>
                    <m:e>
                      <m:r>
                        <m:t>R</m:t>
                      </m:r>
                    </m:e>
                    <m:sub>
                      <m:r>
                        <m:t>H</m:t>
                      </m:r>
                    </m:sub>
                  </m:sSub>
                </m:sub>
              </m:sSub>
            </m:e>
          </m:d>
          <m:r>
            <m:rPr>
              <m:sty m:val="p"/>
            </m:rPr>
            <m:t>=</m:t>
          </m:r>
          <m:r>
            <m:rPr>
              <m:nor/>
              <m:sty m:val="p"/>
            </m:rPr>
            <m:t>            </m:t>
          </m:r>
        </m:oMath>
      </m:oMathPara>
    </w:p>
    <w:bookmarkEnd w:id="32"/>
    <w:bookmarkStart w:id="33" w:name="discusión"/>
    <w:p>
      <w:pPr>
        <w:pStyle w:val="Heading2"/>
      </w:pPr>
      <w:r>
        <w:t xml:space="preserve">Discusión</w:t>
      </w:r>
    </w:p>
    <w:p>
      <w:pPr>
        <w:numPr>
          <w:ilvl w:val="0"/>
          <w:numId w:val="1002"/>
        </w:numPr>
      </w:pPr>
      <w:r>
        <w:t xml:space="preserve">Discutir la bondad de la constante de Rydberg en comparación con su valor teoríco, según la ecuación 5.5.</w:t>
      </w:r>
    </w:p>
    <w:p>
      <w:pPr>
        <w:numPr>
          <w:ilvl w:val="0"/>
          <w:numId w:val="1002"/>
        </w:numPr>
      </w:pPr>
      <w:r>
        <w:t xml:space="preserve">Usando dicha constante, calcular la energía del estado fundamental del átomo de hidrógeno en eV.</w:t>
      </w:r>
    </w:p>
    <w:p>
      <w:pPr>
        <w:numPr>
          <w:ilvl w:val="0"/>
          <w:numId w:val="1002"/>
        </w:numPr>
      </w:pPr>
      <w:r>
        <w:t xml:space="preserve">Discutir cualquier otro resultado o problema de interés</w:t>
      </w:r>
      <w:r>
        <w:t xml:space="preserve"> </w:t>
      </w:r>
      <w:r>
        <w:t xml:space="preserve">encontrado en el experimento.</w:t>
      </w:r>
    </w:p>
    <w:bookmarkEnd w:id="33"/>
    <w:bookmarkStart w:id="34" w:name="cuestiones"/>
    <w:p>
      <w:pPr>
        <w:pStyle w:val="Heading2"/>
      </w:pPr>
      <w:r>
        <w:t xml:space="preserve">Cuestiones</w:t>
      </w:r>
    </w:p>
    <w:p>
      <w:pPr>
        <w:numPr>
          <w:ilvl w:val="0"/>
          <w:numId w:val="1003"/>
        </w:numPr>
      </w:pPr>
      <w:r>
        <w:t xml:space="preserve">Obtener la ecuación 5.4 a partir del modelo atómico de Bohr y calcular la frecuencia de un fotón que resulta de una transición Ly-</w:t>
      </w:r>
      <m:oMath>
        <m:r>
          <m:t>β</m:t>
        </m:r>
      </m:oMath>
      <w:r>
        <w:t xml:space="preserve">, donde Ly denota la serie de Lyman. ¿En qué parte del espectro luminoso se encuentra?</w:t>
      </w:r>
    </w:p>
    <w:p>
      <w:pPr>
        <w:numPr>
          <w:ilvl w:val="0"/>
          <w:numId w:val="1003"/>
        </w:numPr>
      </w:pPr>
      <w:r>
        <w:t xml:space="preserve">¿Cómo se ve modificada la constante de Rydberg para representar en general átomos hidrogenoides?</w:t>
      </w:r>
    </w:p>
    <w:p>
      <w:pPr>
        <w:numPr>
          <w:ilvl w:val="0"/>
          <w:numId w:val="1003"/>
        </w:numPr>
      </w:pPr>
      <w:r>
        <w:t xml:space="preserve">En el fundamento teórico se ha despreciado la masa del protón. ¿Cómo modificaría dicha masa las ecuaciones que en él aparecen?</w:t>
      </w:r>
    </w:p>
    <w:p>
      <w:pPr>
        <w:numPr>
          <w:ilvl w:val="0"/>
          <w:numId w:val="1003"/>
        </w:numPr>
      </w:pPr>
      <w:r>
        <w:t xml:space="preserve">Cuando el átomo de hidrógeno es ionizado, los autoestados de la energía dejan de estar cuantizados. Dichos estados se denominan estados de dispersión o de scattering. ¿A qué tipo de trayectorias clásicas están asociados los orbitales de los estados ligados y las ondas de los estados de dispersión, respectivamente?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24" Target="media/rId24.png" /><Relationship Type="http://schemas.openxmlformats.org/officeDocument/2006/relationships/image" Id="rId28" Target="media/rId2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2026-09-10T15:49:31Z</dcterms:created>
  <dcterms:modified xsi:type="dcterms:W3CDTF">2026-09-10T15:49:31Z</dcterms:modified>
</cp:coreProperties>
</file>

<file path=docProps/custom.xml><?xml version="1.0" encoding="utf-8"?>
<Properties xmlns="http://schemas.openxmlformats.org/officeDocument/2006/custom-properties" xmlns:vt="http://schemas.openxmlformats.org/officeDocument/2006/docPropsVTypes"/>
</file>