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tulo1"/>
        <w:keepNext/>
        <w:spacing w:after="80"/>
      </w:pPr>
      <w:r>
        <w:rPr>
          <w:rFonts w:ascii="Times New Roman" w:hAnsi="Times New Roman"/>
          <w:b/>
          <w:i w:val="0"/>
          <w:color w:val="000000"/>
          <w:sz w:val="24"/>
        </w:rPr>
        <w:t>Irradiación solar</w:t>
      </w:r>
    </w:p>
    <w:p>
      <w:pPr>
        <w:pStyle w:val="Ttulo2"/>
        <w:keepNext/>
        <w:spacing w:before="100" w:after="40"/>
      </w:pPr>
      <w:r>
        <w:rPr>
          <w:b/>
          <w:i/>
          <w:color w:val="000000"/>
          <w:sz w:val="20"/>
        </w:rPr>
        <w:t>Objetivo</w:t>
      </w:r>
    </w:p>
    <w:p>
      <w:pPr>
        <w:pStyle w:val="Textoindependiente"/>
        <w:keepNext w:val="0"/>
        <w:spacing w:before="0" w:after="60" w:line="240" w:lineRule="auto"/>
        <w:ind w:firstLine="0"/>
        <w:jc w:val="both"/>
      </w:pPr>
      <w:r>
        <w:rPr>
          <w:rFonts w:ascii="Times New Roman" w:hAnsi="Times New Roman"/>
          <w:b w:val="0"/>
          <w:i w:val="0"/>
          <w:color w:val="000000"/>
          <w:sz w:val="19"/>
        </w:rPr>
        <w:t>La práctica tiene dos objetivos. En primer lugar, verificar la dependencia de la irradiación recibida por una superficie con el ángulo de incidencia. En segundo lugar, comprobar la dependencia con la distancia a la fuente. La irradiación se estudiará a través del voltaje generado por una célula fotovoltaica y de las lecturas de un fotómetro.</w:t>
      </w:r>
    </w:p>
    <w:p>
      <w:pPr>
        <w:pStyle w:val="Ttulo2"/>
        <w:keepNext/>
        <w:spacing w:before="100" w:after="40"/>
      </w:pPr>
      <w:r>
        <w:rPr>
          <w:b/>
          <w:i/>
          <w:color w:val="000000"/>
          <w:sz w:val="20"/>
        </w:rPr>
        <w:t>Fundamento teórico</w:t>
      </w:r>
    </w:p>
    <w:p>
      <w:pPr>
        <w:pStyle w:val="Textoindependiente"/>
        <w:keepNext w:val="0"/>
        <w:spacing w:before="0" w:after="60" w:line="240" w:lineRule="auto"/>
        <w:ind w:firstLine="0"/>
        <w:jc w:val="both"/>
      </w:pPr>
      <w:r>
        <w:rPr>
          <w:rFonts w:ascii="Times New Roman" w:hAnsi="Times New Roman"/>
          <w:b w:val="0"/>
          <w:i w:val="0"/>
          <w:color w:val="000000"/>
          <w:sz w:val="19"/>
        </w:rPr>
        <w:t>La irradiación que recibe una superficie depende de la orientación de su normal respecto a la dirección de propagación de la radiación. Para una fuente suficientemente alejada, de modo que los rayos puedan considerarse aproximadamente paralelos, la potencia absorbida por una superficie de área S puede escribirse como:</w:t>
      </w:r>
    </w:p>
    <w:tbl>
      <w:tblPr>
        <w:tblW w:type="auto" w:w="0"/>
        <w:jc w:val="center"/>
        <w:tblLayout w:type="fixed"/>
        <w:tblLook w:firstColumn="1" w:firstRow="1" w:lastColumn="0" w:lastRow="0" w:noHBand="0" w:noVBand="1" w:val="04A0"/>
      </w:tblPr>
      <w:tblGrid>
        <w:gridCol w:w="4680"/>
        <w:gridCol w:w="4680"/>
      </w:tblGrid>
      <w:tr>
        <w:tc>
          <w:tcPr>
            <w:tcW w:type="dxa" w:w="7600"/>
            <w:vAlign w:val="center"/>
            <w:tcMar>
              <w:top w:w="0" w:type="dxa"/>
              <w:start w:w="0" w:type="dxa"/>
              <w:bottom w:w="0" w:type="dxa"/>
              <w:end w:w="0" w:type="dxa"/>
            </w:tcMar>
            <w:tcBorders>
              <w:top w:val="nil"/>
              <w:left w:val="nil"/>
              <w:bottom w:val="nil"/>
              <w:right w:val="nil"/>
              <w:insideH w:val="nil"/>
              <w:insideV w:val="nil"/>
            </w:tcBorders>
          </w:tcPr>
          <w:p>
            <w:pPr>
              <w:spacing w:before="40" w:after="40"/>
              <w:jc w:val="center"/>
            </w:pPr>
            <w:r>
              <w:rPr>
                <w:rFonts w:ascii="Cambria Math" w:hAnsi="Cambria Math"/>
                <w:b w:val="0"/>
                <w:i/>
                <w:color w:val="000000"/>
                <w:sz w:val="21"/>
              </w:rPr>
              <w:t>P</w:t>
            </w:r>
            <w:r>
              <w:rPr>
                <w:rFonts w:ascii="Cambria Math" w:hAnsi="Cambria Math"/>
                <w:b w:val="0"/>
                <w:i/>
                <w:color w:val="000000"/>
                <w:sz w:val="21"/>
                <w:vertAlign w:val="subscript"/>
              </w:rPr>
              <w:t>abs</w:t>
            </w:r>
            <w:r>
              <w:rPr>
                <w:rFonts w:ascii="Cambria Math" w:hAnsi="Cambria Math"/>
                <w:b w:val="0"/>
                <w:i w:val="0"/>
                <w:color w:val="000000"/>
                <w:sz w:val="21"/>
              </w:rPr>
              <w:t xml:space="preserve"> = </w:t>
            </w:r>
            <w:r>
              <w:rPr>
                <w:rFonts w:ascii="Cambria Math" w:hAnsi="Cambria Math"/>
                <w:b w:val="0"/>
                <w:i/>
                <w:color w:val="000000"/>
                <w:sz w:val="21"/>
              </w:rPr>
              <w:t>P₀</w:t>
            </w:r>
            <w:r>
              <w:rPr>
                <w:rFonts w:ascii="Cambria Math" w:hAnsi="Cambria Math"/>
                <w:b w:val="0"/>
                <w:i w:val="0"/>
                <w:color w:val="000000"/>
                <w:sz w:val="21"/>
              </w:rPr>
              <w:t xml:space="preserve"> cos θ</w:t>
            </w:r>
          </w:p>
        </w:tc>
        <w:tc>
          <w:tcPr>
            <w:tcW w:type="dxa" w:w="1400"/>
            <w:vAlign w:val="center"/>
            <w:tcMar>
              <w:top w:w="0" w:type="dxa"/>
              <w:start w:w="0" w:type="dxa"/>
              <w:bottom w:w="0" w:type="dxa"/>
              <w:end w:w="0" w:type="dxa"/>
            </w:tcMar>
            <w:tcBorders>
              <w:top w:val="nil"/>
              <w:left w:val="nil"/>
              <w:bottom w:val="nil"/>
              <w:right w:val="nil"/>
              <w:insideH w:val="nil"/>
              <w:insideV w:val="nil"/>
            </w:tcBorders>
          </w:tcPr>
          <w:p>
            <w:pPr>
              <w:jc w:val="right"/>
            </w:pPr>
            <w:r>
              <w:rPr>
                <w:rFonts w:ascii="Times New Roman" w:hAnsi="Times New Roman"/>
                <w:b w:val="0"/>
                <w:i w:val="0"/>
                <w:color w:val="000000"/>
                <w:sz w:val="19"/>
              </w:rPr>
              <w:t>(5.1)</w:t>
            </w:r>
          </w:p>
        </w:tc>
      </w:tr>
    </w:tbl>
    <w:p>
      <w:pPr>
        <w:pStyle w:val="Textoindependiente"/>
        <w:keepNext w:val="0"/>
        <w:spacing w:before="0" w:after="60" w:line="240" w:lineRule="auto"/>
        <w:ind w:firstLine="0"/>
        <w:jc w:val="both"/>
      </w:pPr>
      <w:r>
        <w:rPr>
          <w:rFonts w:ascii="Times New Roman" w:hAnsi="Times New Roman"/>
          <w:b w:val="0"/>
          <w:i w:val="0"/>
          <w:color w:val="000000"/>
          <w:sz w:val="19"/>
        </w:rPr>
        <w:t>En el guion se define α como el ángulo respecto a la superficie, de manera que α = π/2 − θ. La célula fotovoltaica transforma la energía incidente en energía eléctrica y, dentro del régimen de trabajo, su voltaje es proporcional a la potencia absorbida:</w:t>
      </w:r>
    </w:p>
    <w:tbl>
      <w:tblPr>
        <w:tblW w:type="auto" w:w="0"/>
        <w:jc w:val="center"/>
        <w:tblLayout w:type="fixed"/>
        <w:tblLook w:firstColumn="1" w:firstRow="1" w:lastColumn="0" w:lastRow="0" w:noHBand="0" w:noVBand="1" w:val="04A0"/>
      </w:tblPr>
      <w:tblGrid>
        <w:gridCol w:w="4680"/>
        <w:gridCol w:w="4680"/>
      </w:tblGrid>
      <w:tr>
        <w:tc>
          <w:tcPr>
            <w:tcW w:type="dxa" w:w="7600"/>
            <w:vAlign w:val="center"/>
            <w:tcMar>
              <w:top w:w="0" w:type="dxa"/>
              <w:start w:w="0" w:type="dxa"/>
              <w:bottom w:w="0" w:type="dxa"/>
              <w:end w:w="0" w:type="dxa"/>
            </w:tcMar>
            <w:tcBorders>
              <w:top w:val="nil"/>
              <w:left w:val="nil"/>
              <w:bottom w:val="nil"/>
              <w:right w:val="nil"/>
              <w:insideH w:val="nil"/>
              <w:insideV w:val="nil"/>
            </w:tcBorders>
          </w:tcPr>
          <w:p>
            <w:pPr>
              <w:spacing w:before="40" w:after="40"/>
              <w:jc w:val="center"/>
            </w:pPr>
            <w:r>
              <w:rPr>
                <w:rFonts w:ascii="Cambria Math" w:hAnsi="Cambria Math"/>
                <w:b w:val="0"/>
                <w:i/>
                <w:color w:val="000000"/>
                <w:sz w:val="21"/>
              </w:rPr>
              <w:t>V</w:t>
            </w:r>
            <w:r>
              <w:rPr>
                <w:rFonts w:ascii="Cambria Math" w:hAnsi="Cambria Math"/>
                <w:b w:val="0"/>
                <w:i w:val="0"/>
                <w:color w:val="000000"/>
                <w:sz w:val="21"/>
              </w:rPr>
              <w:t xml:space="preserve"> = </w:t>
            </w:r>
            <w:r>
              <w:rPr>
                <w:rFonts w:ascii="Cambria Math" w:hAnsi="Cambria Math"/>
                <w:b w:val="0"/>
                <w:i/>
                <w:color w:val="000000"/>
                <w:sz w:val="21"/>
              </w:rPr>
              <w:t>V₀</w:t>
            </w:r>
            <w:r>
              <w:rPr>
                <w:rFonts w:ascii="Cambria Math" w:hAnsi="Cambria Math"/>
                <w:b w:val="0"/>
                <w:i w:val="0"/>
                <w:color w:val="000000"/>
                <w:sz w:val="21"/>
              </w:rPr>
              <w:t xml:space="preserve"> sin </w:t>
            </w:r>
            <w:r>
              <w:rPr>
                <w:rFonts w:ascii="Cambria Math" w:hAnsi="Cambria Math"/>
                <w:b w:val="0"/>
                <w:i/>
                <w:color w:val="000000"/>
                <w:sz w:val="21"/>
              </w:rPr>
              <w:t>α</w:t>
            </w:r>
          </w:p>
        </w:tc>
        <w:tc>
          <w:tcPr>
            <w:tcW w:type="dxa" w:w="1400"/>
            <w:vAlign w:val="center"/>
            <w:tcMar>
              <w:top w:w="0" w:type="dxa"/>
              <w:start w:w="0" w:type="dxa"/>
              <w:bottom w:w="0" w:type="dxa"/>
              <w:end w:w="0" w:type="dxa"/>
            </w:tcMar>
            <w:tcBorders>
              <w:top w:val="nil"/>
              <w:left w:val="nil"/>
              <w:bottom w:val="nil"/>
              <w:right w:val="nil"/>
              <w:insideH w:val="nil"/>
              <w:insideV w:val="nil"/>
            </w:tcBorders>
          </w:tcPr>
          <w:p>
            <w:pPr>
              <w:jc w:val="right"/>
            </w:pPr>
            <w:r>
              <w:rPr>
                <w:rFonts w:ascii="Times New Roman" w:hAnsi="Times New Roman"/>
                <w:b w:val="0"/>
                <w:i w:val="0"/>
                <w:color w:val="000000"/>
                <w:sz w:val="19"/>
              </w:rPr>
              <w:t>(5.2)</w:t>
            </w:r>
          </w:p>
        </w:tc>
      </w:tr>
    </w:tbl>
    <w:p>
      <w:pPr>
        <w:pStyle w:val="Textoindependiente"/>
        <w:keepNext w:val="0"/>
        <w:spacing w:before="0" w:after="60" w:line="240" w:lineRule="auto"/>
        <w:ind w:firstLine="0"/>
        <w:jc w:val="both"/>
      </w:pPr>
      <w:r>
        <w:rPr>
          <w:rFonts w:ascii="Times New Roman" w:hAnsi="Times New Roman"/>
          <w:b w:val="0"/>
          <w:i w:val="0"/>
          <w:color w:val="000000"/>
          <w:sz w:val="19"/>
        </w:rPr>
        <w:t>Por tanto, el voltaje debe ser mínimo para α = 0° y máximo para α = 90°. El ajuste lineal se realizará representando el voltaje medio frente a sin α.</w:t>
      </w:r>
    </w:p>
    <w:p>
      <w:pPr>
        <w:spacing w:before="60" w:after="20"/>
        <w:jc w:val="center"/>
      </w:pPr>
      <w:r>
        <w:drawing>
          <wp:inline xmlns:a="http://schemas.openxmlformats.org/drawingml/2006/main" xmlns:pic="http://schemas.openxmlformats.org/drawingml/2006/picture">
            <wp:extent cx="2880360" cy="1800225"/>
            <wp:docPr id="1" name="Picture 1"/>
            <wp:cNvGraphicFramePr>
              <a:graphicFrameLocks noChangeAspect="1"/>
            </wp:cNvGraphicFramePr>
            <a:graphic>
              <a:graphicData uri="http://schemas.openxmlformats.org/drawingml/2006/picture">
                <pic:pic>
                  <pic:nvPicPr>
                    <pic:cNvPr id="0" name="img-000.jpg"/>
                    <pic:cNvPicPr/>
                  </pic:nvPicPr>
                  <pic:blipFill>
                    <a:blip r:embed="rId17"/>
                    <a:stretch>
                      <a:fillRect/>
                    </a:stretch>
                  </pic:blipFill>
                  <pic:spPr>
                    <a:xfrm>
                      <a:off x="0" y="0"/>
                      <a:ext cx="2880360" cy="1800225"/>
                    </a:xfrm>
                    <a:prstGeom prst="rect"/>
                  </pic:spPr>
                </pic:pic>
              </a:graphicData>
            </a:graphic>
          </wp:inline>
        </w:drawing>
      </w:r>
    </w:p>
    <w:p>
      <w:pPr>
        <w:pStyle w:val="Descripcin"/>
        <w:spacing w:after="80"/>
        <w:jc w:val="center"/>
      </w:pPr>
      <w:r>
        <w:rPr>
          <w:rFonts w:ascii="Times New Roman" w:hAnsi="Times New Roman"/>
          <w:b w:val="0"/>
          <w:i/>
          <w:color w:val="000000"/>
          <w:sz w:val="17"/>
        </w:rPr>
        <w:t>Figura 1. Geometría del ángulo de incidencia.</w:t>
      </w:r>
    </w:p>
    <w:p>
      <w:pPr>
        <w:pStyle w:val="Textoindependiente"/>
        <w:keepNext w:val="0"/>
        <w:spacing w:before="0" w:after="60" w:line="240" w:lineRule="auto"/>
        <w:ind w:firstLine="0"/>
        <w:jc w:val="both"/>
      </w:pPr>
      <w:r>
        <w:rPr>
          <w:rFonts w:ascii="Times New Roman" w:hAnsi="Times New Roman"/>
          <w:b w:val="0"/>
          <w:i w:val="0"/>
          <w:color w:val="000000"/>
          <w:sz w:val="19"/>
        </w:rPr>
        <w:t>Para una fuente aproximadamente puntual, la energía se distribuye sobre superficies de área proporcional a d². A orientación fija, el voltaje generado por la célula debe seguir:</w:t>
      </w:r>
    </w:p>
    <w:tbl>
      <w:tblPr>
        <w:tblW w:type="auto" w:w="0"/>
        <w:jc w:val="center"/>
        <w:tblLayout w:type="fixed"/>
        <w:tblLook w:firstColumn="1" w:firstRow="1" w:lastColumn="0" w:lastRow="0" w:noHBand="0" w:noVBand="1" w:val="04A0"/>
      </w:tblPr>
      <w:tblGrid>
        <w:gridCol w:w="4680"/>
        <w:gridCol w:w="4680"/>
      </w:tblGrid>
      <w:tr>
        <w:tc>
          <w:tcPr>
            <w:tcW w:type="dxa" w:w="7600"/>
            <w:vAlign w:val="center"/>
            <w:tcMar>
              <w:top w:w="0" w:type="dxa"/>
              <w:start w:w="0" w:type="dxa"/>
              <w:bottom w:w="0" w:type="dxa"/>
              <w:end w:w="0" w:type="dxa"/>
            </w:tcMar>
            <w:tcBorders>
              <w:top w:val="nil"/>
              <w:left w:val="nil"/>
              <w:bottom w:val="nil"/>
              <w:right w:val="nil"/>
              <w:insideH w:val="nil"/>
              <w:insideV w:val="nil"/>
            </w:tcBorders>
          </w:tcPr>
          <w:p>
            <w:pPr>
              <w:spacing w:before="40" w:after="40"/>
              <w:jc w:val="center"/>
            </w:pPr>
            <w:r>
              <w:rPr>
                <w:rFonts w:ascii="Cambria Math" w:hAnsi="Cambria Math"/>
                <w:b w:val="0"/>
                <w:i/>
                <w:color w:val="000000"/>
                <w:sz w:val="21"/>
              </w:rPr>
              <w:t>V</w:t>
            </w:r>
            <w:r>
              <w:rPr>
                <w:rFonts w:ascii="Cambria Math" w:hAnsi="Cambria Math"/>
                <w:b w:val="0"/>
                <w:i w:val="0"/>
                <w:color w:val="000000"/>
                <w:sz w:val="21"/>
              </w:rPr>
              <w:t xml:space="preserve"> = </w:t>
            </w:r>
            <w:r>
              <w:rPr>
                <w:rFonts w:ascii="Cambria Math" w:hAnsi="Cambria Math"/>
                <w:b w:val="0"/>
                <w:i/>
                <w:color w:val="000000"/>
                <w:sz w:val="21"/>
              </w:rPr>
              <w:t>V</w:t>
            </w:r>
            <w:r>
              <w:rPr>
                <w:rFonts w:ascii="Cambria Math" w:hAnsi="Cambria Math"/>
                <w:b w:val="0"/>
                <w:i/>
                <w:color w:val="000000"/>
                <w:sz w:val="21"/>
                <w:vertAlign w:val="subscript"/>
              </w:rPr>
              <w:t>e0</w:t>
            </w:r>
            <w:r>
              <w:rPr>
                <w:rFonts w:ascii="Cambria Math" w:hAnsi="Cambria Math"/>
                <w:b w:val="0"/>
                <w:i w:val="0"/>
                <w:color w:val="000000"/>
                <w:sz w:val="21"/>
              </w:rPr>
              <w:t xml:space="preserve"> · </w:t>
            </w:r>
            <w:r>
              <w:rPr>
                <w:rFonts w:ascii="Cambria Math" w:hAnsi="Cambria Math"/>
                <w:b w:val="0"/>
                <w:i/>
                <w:color w:val="000000"/>
                <w:sz w:val="21"/>
              </w:rPr>
              <w:t>1/d²</w:t>
            </w:r>
          </w:p>
        </w:tc>
        <w:tc>
          <w:tcPr>
            <w:tcW w:type="dxa" w:w="1400"/>
            <w:vAlign w:val="center"/>
            <w:tcMar>
              <w:top w:w="0" w:type="dxa"/>
              <w:start w:w="0" w:type="dxa"/>
              <w:bottom w:w="0" w:type="dxa"/>
              <w:end w:w="0" w:type="dxa"/>
            </w:tcMar>
            <w:tcBorders>
              <w:top w:val="nil"/>
              <w:left w:val="nil"/>
              <w:bottom w:val="nil"/>
              <w:right w:val="nil"/>
              <w:insideH w:val="nil"/>
              <w:insideV w:val="nil"/>
            </w:tcBorders>
          </w:tcPr>
          <w:p>
            <w:pPr>
              <w:jc w:val="right"/>
            </w:pPr>
            <w:r>
              <w:rPr>
                <w:rFonts w:ascii="Times New Roman" w:hAnsi="Times New Roman"/>
                <w:b w:val="0"/>
                <w:i w:val="0"/>
                <w:color w:val="000000"/>
                <w:sz w:val="19"/>
              </w:rPr>
              <w:t>(5.3)</w:t>
            </w:r>
          </w:p>
        </w:tc>
      </w:tr>
    </w:tbl>
    <w:p>
      <w:pPr>
        <w:pStyle w:val="Textoindependiente"/>
        <w:keepNext w:val="0"/>
        <w:spacing w:before="0" w:after="60" w:line="240" w:lineRule="auto"/>
        <w:ind w:firstLine="0"/>
        <w:jc w:val="both"/>
      </w:pPr>
      <w:r>
        <w:rPr>
          <w:rFonts w:ascii="Times New Roman" w:hAnsi="Times New Roman"/>
          <w:b w:val="0"/>
          <w:i w:val="0"/>
          <w:color w:val="000000"/>
          <w:sz w:val="19"/>
        </w:rPr>
        <w:t>La comprobación lineal se realizará representando el voltaje medio frente a 1/d². Además, las lecturas del fotómetro en lux y estereocandelas permitirán obtener el factor experimental de conversión entre ambas unidades.</w:t>
      </w:r>
    </w:p>
    <w:p>
      <w:r>
        <w:br w:type="page"/>
      </w:r>
    </w:p>
    <w:p>
      <w:pPr>
        <w:pStyle w:val="Ttulo2"/>
        <w:keepNext/>
        <w:spacing w:before="100" w:after="40"/>
      </w:pPr>
      <w:r>
        <w:rPr>
          <w:b/>
          <w:i/>
          <w:color w:val="000000"/>
          <w:sz w:val="20"/>
        </w:rPr>
        <w:t>Dependencia con el ángulo de incidencia</w:t>
      </w:r>
    </w:p>
    <w:p>
      <w:pPr>
        <w:pStyle w:val="Textoindependiente"/>
        <w:keepNext/>
        <w:spacing w:before="0" w:after="60" w:line="240" w:lineRule="auto"/>
        <w:ind w:firstLine="0"/>
        <w:jc w:val="both"/>
      </w:pPr>
      <w:r>
        <w:rPr>
          <w:rFonts w:ascii="Times New Roman" w:hAnsi="Times New Roman"/>
          <w:b w:val="0"/>
          <w:i w:val="0"/>
          <w:color w:val="000000"/>
          <w:sz w:val="19"/>
        </w:rPr>
        <w:t>Sitúe la lámpara a la mayor distancia posible de la célula fotovoltaica y mantenga fija esa distancia durante toda esta parte. Para cada ángulo α = 0°, 15°, 30°, 45°, 60°, 75° y 90°, realice cinco medidas del voltaje. Recuerde que α se mide respecto a la superficie: a 90° debe obtenerse el voltaje máximo.</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Distancia fija d ± εd (m)</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εα (°)</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r>
    </w:tbl>
    <w:p>
      <w:pPr>
        <w:pStyle w:val="Textoindependiente"/>
        <w:keepNext w:val="0"/>
        <w:spacing w:before="0" w:after="40" w:line="240" w:lineRule="auto"/>
        <w:ind w:firstLine="0"/>
        <w:jc w:val="both"/>
      </w:pP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rPr>
          <w:tblHeader w:val="true"/>
        </w:trPr>
        <w:tc>
          <w:tcPr>
            <w:tcW w:type="dxa" w:w="8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5"/>
              </w:rPr>
              <w:t>α (°)</w:t>
            </w:r>
          </w:p>
        </w:tc>
        <w:tc>
          <w:tcPr>
            <w:tcW w:type="dxa" w:w="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5"/>
              </w:rPr>
              <w:t>sin α</w:t>
            </w: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5"/>
              </w:rPr>
              <w:t>V₁ (V)</w:t>
            </w: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5"/>
              </w:rPr>
              <w:t>V₂ (V)</w:t>
            </w: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5"/>
              </w:rPr>
              <w:t>V₃ (V)</w:t>
            </w: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5"/>
              </w:rPr>
              <w:t>V₄ (V)</w:t>
            </w: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5"/>
              </w:rPr>
              <w:t>V₅ (V)</w:t>
            </w:r>
          </w:p>
        </w:tc>
        <w:tc>
          <w:tcPr>
            <w:tcW w:type="dxa" w:w="1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5"/>
              </w:rPr>
              <w:t>V̄ (V)</w:t>
            </w:r>
          </w:p>
        </w:tc>
        <w:tc>
          <w:tcPr>
            <w:tcW w:type="dxa" w:w="1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5"/>
              </w:rPr>
              <w:t>ΔV (V)</w:t>
            </w:r>
          </w:p>
        </w:tc>
      </w:tr>
      <w:tr>
        <w:trPr>
          <w:trHeight w:val="380" w:hRule="atLeast"/>
        </w:trPr>
        <w:tc>
          <w:tcPr>
            <w:tcW w:type="dxa" w:w="8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5"/>
              </w:rPr>
              <w:t>0</w:t>
            </w:r>
          </w:p>
        </w:tc>
        <w:tc>
          <w:tcPr>
            <w:tcW w:type="dxa" w:w="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380" w:hRule="atLeast"/>
        </w:trPr>
        <w:tc>
          <w:tcPr>
            <w:tcW w:type="dxa" w:w="8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5"/>
              </w:rPr>
              <w:t>15</w:t>
            </w:r>
          </w:p>
        </w:tc>
        <w:tc>
          <w:tcPr>
            <w:tcW w:type="dxa" w:w="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380" w:hRule="atLeast"/>
        </w:trPr>
        <w:tc>
          <w:tcPr>
            <w:tcW w:type="dxa" w:w="8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5"/>
              </w:rPr>
              <w:t>30</w:t>
            </w:r>
          </w:p>
        </w:tc>
        <w:tc>
          <w:tcPr>
            <w:tcW w:type="dxa" w:w="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380" w:hRule="atLeast"/>
        </w:trPr>
        <w:tc>
          <w:tcPr>
            <w:tcW w:type="dxa" w:w="8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5"/>
              </w:rPr>
              <w:t>45</w:t>
            </w:r>
          </w:p>
        </w:tc>
        <w:tc>
          <w:tcPr>
            <w:tcW w:type="dxa" w:w="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380" w:hRule="atLeast"/>
        </w:trPr>
        <w:tc>
          <w:tcPr>
            <w:tcW w:type="dxa" w:w="8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5"/>
              </w:rPr>
              <w:t>60</w:t>
            </w:r>
          </w:p>
        </w:tc>
        <w:tc>
          <w:tcPr>
            <w:tcW w:type="dxa" w:w="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380" w:hRule="atLeast"/>
        </w:trPr>
        <w:tc>
          <w:tcPr>
            <w:tcW w:type="dxa" w:w="8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5"/>
              </w:rPr>
              <w:t>75</w:t>
            </w:r>
          </w:p>
        </w:tc>
        <w:tc>
          <w:tcPr>
            <w:tcW w:type="dxa" w:w="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380" w:hRule="atLeast"/>
        </w:trPr>
        <w:tc>
          <w:tcPr>
            <w:tcW w:type="dxa" w:w="8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5"/>
              </w:rPr>
              <w:t>90</w:t>
            </w:r>
          </w:p>
        </w:tc>
        <w:tc>
          <w:tcPr>
            <w:tcW w:type="dxa" w:w="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bl>
    <w:p>
      <w:pPr>
        <w:pStyle w:val="Textoindependiente"/>
        <w:keepNext w:val="0"/>
        <w:spacing w:before="0" w:after="40" w:line="240" w:lineRule="auto"/>
        <w:ind w:firstLine="0"/>
        <w:jc w:val="both"/>
      </w:pPr>
      <w:r>
        <w:rPr>
          <w:rFonts w:ascii="Times New Roman" w:hAnsi="Times New Roman"/>
          <w:b/>
          <w:i w:val="0"/>
          <w:color w:val="000000"/>
          <w:sz w:val="19"/>
        </w:rPr>
        <w:t xml:space="preserve">Transformación e incertidumbre:  </w:t>
      </w:r>
      <w:r>
        <w:rPr>
          <w:rFonts w:ascii="Times New Roman" w:hAnsi="Times New Roman"/>
          <w:b w:val="0"/>
          <w:i w:val="0"/>
          <w:color w:val="000000"/>
          <w:sz w:val="19"/>
        </w:rPr>
        <w:t>x = sin α    y    εx = |cos α|·εα, utilizando εα en radianes.</w:t>
      </w:r>
    </w:p>
    <w:p>
      <w:pPr>
        <w:pStyle w:val="Textoindependiente"/>
        <w:keepNext w:val="0"/>
        <w:spacing w:before="0" w:after="60" w:line="240" w:lineRule="auto"/>
        <w:ind w:firstLine="0"/>
        <w:jc w:val="both"/>
      </w:pPr>
    </w:p>
    <w:p>
      <w:pPr>
        <w:pStyle w:val="Textoindependiente"/>
        <w:keepNext/>
        <w:spacing w:before="0" w:after="60" w:line="240" w:lineRule="auto"/>
        <w:ind w:firstLine="0"/>
        <w:jc w:val="both"/>
      </w:pPr>
      <w:r>
        <w:rPr>
          <w:rFonts w:ascii="Times New Roman" w:hAnsi="Times New Roman"/>
          <w:b w:val="0"/>
          <w:i w:val="0"/>
          <w:color w:val="000000"/>
          <w:sz w:val="19"/>
        </w:rPr>
        <w:t>Represente el voltaje medio V̄ frente a sin α y realice un ajuste lineal de la forma V̄ = a sin α + b.</w:t>
      </w:r>
    </w:p>
    <w:tbl>
      <w:tblPr>
        <w:tblW w:type="auto" w:w="0"/>
        <w:jc w:val="center"/>
        <w:tblLayout w:type="fixed"/>
        <w:tblLook w:firstColumn="1" w:firstRow="1" w:lastColumn="0" w:lastRow="0" w:noHBand="0" w:noVBand="1" w:val="04A0"/>
      </w:tblPr>
      <w:tblGrid>
        <w:gridCol w:w="9360"/>
      </w:tblGrid>
      <w:tr>
        <w:trPr>
          <w:trHeight w:val="3672" w:hRule="exact"/>
        </w:trPr>
        <w:tc>
          <w:tcPr>
            <w:tcW w:type="dxa" w:w="8700"/>
            <w:tcBorders>
              <w:top w:val="single" w:sz="8" w:color="BFBFBF"/>
              <w:left w:val="single" w:sz="8" w:color="BFBFBF"/>
              <w:bottom w:val="single" w:sz="8" w:color="BFBFBF"/>
              <w:right w:val="single" w:sz="8" w:color="BFBFBF"/>
              <w:insideH w:val="single" w:sz="8" w:color="BFBFBF"/>
              <w:insideV w:val="single" w:sz="8" w:color="BFBFBF"/>
            </w:tcBorders>
            <w:tcMar>
              <w:top w:w="90" w:type="dxa"/>
              <w:start w:w="90" w:type="dxa"/>
              <w:bottom w:w="90" w:type="dxa"/>
              <w:end w:w="90" w:type="dxa"/>
            </w:tcMar>
          </w:tcPr>
          <w:p>
            <w:pPr>
              <w:spacing w:before="1577"/>
              <w:jc w:val="center"/>
            </w:pPr>
            <w:r>
              <w:rPr>
                <w:rFonts w:ascii="Times New Roman" w:hAnsi="Times New Roman"/>
                <w:b w:val="0"/>
                <w:i/>
                <w:color w:val="A6A6A6"/>
                <w:sz w:val="16"/>
              </w:rPr>
              <w:t>Espacio para insertar la gráfica</w:t>
            </w:r>
          </w:p>
        </w:tc>
      </w:tr>
    </w:tbl>
    <w:p>
      <w:pPr>
        <w:pStyle w:val="Textoindependiente"/>
        <w:keepNext w:val="0"/>
        <w:spacing w:before="0" w:after="60" w:line="240" w:lineRule="auto"/>
        <w:ind w:firstLine="0"/>
        <w:jc w:val="both"/>
      </w:pP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a ± εa (V)</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b ± εb (V)</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r>
      <w:tr>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R²</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Intervalo ajustado</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r>
    </w:tbl>
    <w:p>
      <w:pPr>
        <w:pStyle w:val="Textoindependiente"/>
        <w:keepNext w:val="0"/>
        <w:spacing w:before="0" w:after="20" w:line="240" w:lineRule="auto"/>
        <w:ind w:firstLine="0"/>
        <w:jc w:val="both"/>
      </w:pPr>
      <w:r>
        <w:rPr>
          <w:rFonts w:ascii="Times New Roman" w:hAnsi="Times New Roman"/>
          <w:b/>
          <w:i w:val="0"/>
          <w:color w:val="000000"/>
          <w:sz w:val="19"/>
        </w:rPr>
        <w:t xml:space="preserve">Interpretación del ajuste angular:  </w:t>
      </w:r>
      <w:r>
        <w:rPr>
          <w:rFonts w:ascii="Times New Roman" w:hAnsi="Times New Roman"/>
          <w:b w:val="0"/>
          <w:i w:val="0"/>
          <w:color w:val="000000"/>
          <w:sz w:val="19"/>
        </w:rPr>
        <w:t>compare a con V₀, valore si b es compatible con cero y examine la distribución de los residuos.</w:t>
      </w:r>
    </w:p>
    <w:p>
      <w:r>
        <w:br w:type="page"/>
      </w:r>
    </w:p>
    <w:p>
      <w:pPr>
        <w:pStyle w:val="Ttulo2"/>
        <w:keepNext/>
        <w:spacing w:before="100" w:after="40"/>
      </w:pPr>
      <w:r>
        <w:rPr>
          <w:b/>
          <w:i/>
          <w:color w:val="000000"/>
          <w:sz w:val="20"/>
        </w:rPr>
        <w:t>Dependencia directa con la distancia</w:t>
      </w:r>
    </w:p>
    <w:p>
      <w:pPr>
        <w:pStyle w:val="Textoindependiente"/>
        <w:keepNext/>
        <w:spacing w:before="0" w:after="60" w:line="240" w:lineRule="auto"/>
        <w:ind w:firstLine="0"/>
        <w:jc w:val="both"/>
      </w:pPr>
      <w:r>
        <w:rPr>
          <w:rFonts w:ascii="Times New Roman" w:hAnsi="Times New Roman"/>
          <w:b w:val="0"/>
          <w:i w:val="0"/>
          <w:color w:val="000000"/>
          <w:sz w:val="19"/>
        </w:rPr>
        <w:t>Mantenga fija la orientación de máxima respuesta y seleccione cinco distancias al foco suficientemente grandes y bien distribuidas. En cada distancia realice cinco medidas del voltaje y una lectura del fotómetro en lux y en estereocandelas.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εd (m)</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εV instrumental (V)</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r>
    </w:tbl>
    <w:p>
      <w:pPr>
        <w:pStyle w:val="Textoindependiente"/>
        <w:keepNext w:val="0"/>
        <w:spacing w:before="0" w:after="40" w:line="240" w:lineRule="auto"/>
        <w:ind w:firstLine="0"/>
        <w:jc w:val="both"/>
      </w:pPr>
    </w:p>
    <w:tbl>
      <w:tblPr>
        <w:tblW w:type="auto" w:w="0"/>
        <w:jc w:val="center"/>
        <w:tblLayout w:type="fixed"/>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tblHeader w:val="true"/>
        </w:trPr>
        <w:tc>
          <w:tcPr>
            <w:tcW w:type="dxa" w:w="8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3"/>
              </w:rPr>
              <w:t>d (m)</w:t>
            </w:r>
          </w:p>
        </w:tc>
        <w:tc>
          <w:tcPr>
            <w:tcW w:type="dxa" w:w="1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3"/>
              </w:rPr>
              <w:t>1/d² (m⁻²)</w:t>
            </w:r>
          </w:p>
        </w:tc>
        <w:tc>
          <w:tcPr>
            <w:tcW w:type="dxa" w:w="66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3"/>
              </w:rPr>
              <w:t>V₁</w:t>
            </w:r>
          </w:p>
        </w:tc>
        <w:tc>
          <w:tcPr>
            <w:tcW w:type="dxa" w:w="66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3"/>
              </w:rPr>
              <w:t>V₂</w:t>
            </w:r>
          </w:p>
        </w:tc>
        <w:tc>
          <w:tcPr>
            <w:tcW w:type="dxa" w:w="66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3"/>
              </w:rPr>
              <w:t>V₃</w:t>
            </w:r>
          </w:p>
        </w:tc>
        <w:tc>
          <w:tcPr>
            <w:tcW w:type="dxa" w:w="66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3"/>
              </w:rPr>
              <w:t>V₄</w:t>
            </w:r>
          </w:p>
        </w:tc>
        <w:tc>
          <w:tcPr>
            <w:tcW w:type="dxa" w:w="66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3"/>
              </w:rPr>
              <w:t>V₅</w:t>
            </w:r>
          </w:p>
        </w:tc>
        <w:tc>
          <w:tcPr>
            <w:tcW w:type="dxa" w:w="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3"/>
              </w:rPr>
              <w:t>V̄ (V)</w:t>
            </w:r>
          </w:p>
        </w:tc>
        <w:tc>
          <w:tcPr>
            <w:tcW w:type="dxa" w:w="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3"/>
              </w:rPr>
              <w:t>ΔV (V)</w:t>
            </w:r>
          </w:p>
        </w:tc>
        <w:tc>
          <w:tcPr>
            <w:tcW w:type="dxa" w:w="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3"/>
              </w:rPr>
              <w:t>E lux</w:t>
            </w:r>
          </w:p>
        </w:tc>
        <w:tc>
          <w:tcPr>
            <w:tcW w:type="dxa" w:w="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3"/>
              </w:rPr>
              <w:t>E sc</w:t>
            </w:r>
          </w:p>
        </w:tc>
      </w:tr>
      <w:tr>
        <w:trPr>
          <w:trHeight w:val="442" w:hRule="atLeast"/>
        </w:trPr>
        <w:tc>
          <w:tcPr>
            <w:tcW w:type="dxa" w:w="8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66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66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66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66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66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442" w:hRule="atLeast"/>
        </w:trPr>
        <w:tc>
          <w:tcPr>
            <w:tcW w:type="dxa" w:w="8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66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66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66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66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66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442" w:hRule="atLeast"/>
        </w:trPr>
        <w:tc>
          <w:tcPr>
            <w:tcW w:type="dxa" w:w="8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66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66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66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66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66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442" w:hRule="atLeast"/>
        </w:trPr>
        <w:tc>
          <w:tcPr>
            <w:tcW w:type="dxa" w:w="8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66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66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66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66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66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442" w:hRule="atLeast"/>
        </w:trPr>
        <w:tc>
          <w:tcPr>
            <w:tcW w:type="dxa" w:w="8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66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66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66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66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66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bl>
    <w:p>
      <w:pPr>
        <w:pStyle w:val="Textoindependiente"/>
        <w:keepNext w:val="0"/>
        <w:spacing w:before="0" w:after="40" w:line="240" w:lineRule="auto"/>
        <w:ind w:firstLine="0"/>
        <w:jc w:val="both"/>
      </w:pPr>
      <w:r>
        <w:rPr>
          <w:rFonts w:ascii="Times New Roman" w:hAnsi="Times New Roman"/>
          <w:b/>
          <w:i w:val="0"/>
          <w:color w:val="000000"/>
          <w:sz w:val="19"/>
        </w:rPr>
        <w:t xml:space="preserve">Transformación e incertidumbre:  </w:t>
      </w:r>
      <w:r>
        <w:rPr>
          <w:rFonts w:ascii="Times New Roman" w:hAnsi="Times New Roman"/>
          <w:b w:val="0"/>
          <w:i w:val="0"/>
          <w:color w:val="000000"/>
          <w:sz w:val="19"/>
        </w:rPr>
        <w:t>x = 1/d²    y    εx = 2εd/d³.</w:t>
      </w:r>
    </w:p>
    <w:p>
      <w:pPr>
        <w:pStyle w:val="Textoindependiente"/>
        <w:keepNext w:val="0"/>
        <w:spacing w:before="0" w:after="60" w:line="240" w:lineRule="auto"/>
        <w:ind w:firstLine="0"/>
        <w:jc w:val="both"/>
      </w:pPr>
    </w:p>
    <w:p>
      <w:pPr>
        <w:pStyle w:val="Textoindependiente"/>
        <w:keepNext/>
        <w:spacing w:before="0" w:after="60" w:line="240" w:lineRule="auto"/>
        <w:ind w:firstLine="0"/>
        <w:jc w:val="both"/>
      </w:pPr>
      <w:r>
        <w:rPr>
          <w:rFonts w:ascii="Times New Roman" w:hAnsi="Times New Roman"/>
          <w:b w:val="0"/>
          <w:i w:val="0"/>
          <w:color w:val="000000"/>
          <w:sz w:val="19"/>
        </w:rPr>
        <w:t>Represente primero el voltaje medio V̄ frente a la distancia d para visualizar la dependencia no lineal.</w:t>
      </w:r>
    </w:p>
    <w:tbl>
      <w:tblPr>
        <w:tblW w:type="auto" w:w="0"/>
        <w:jc w:val="center"/>
        <w:tblLayout w:type="fixed"/>
        <w:tblLook w:firstColumn="1" w:firstRow="1" w:lastColumn="0" w:lastRow="0" w:noHBand="0" w:noVBand="1" w:val="04A0"/>
      </w:tblPr>
      <w:tblGrid>
        <w:gridCol w:w="9360"/>
      </w:tblGrid>
      <w:tr>
        <w:trPr>
          <w:trHeight w:val="5112" w:hRule="exact"/>
        </w:trPr>
        <w:tc>
          <w:tcPr>
            <w:tcW w:type="dxa" w:w="8700"/>
            <w:tcBorders>
              <w:top w:val="single" w:sz="8" w:color="BFBFBF"/>
              <w:left w:val="single" w:sz="8" w:color="BFBFBF"/>
              <w:bottom w:val="single" w:sz="8" w:color="BFBFBF"/>
              <w:right w:val="single" w:sz="8" w:color="BFBFBF"/>
              <w:insideH w:val="single" w:sz="8" w:color="BFBFBF"/>
              <w:insideV w:val="single" w:sz="8" w:color="BFBFBF"/>
            </w:tcBorders>
            <w:tcMar>
              <w:top w:w="90" w:type="dxa"/>
              <w:start w:w="90" w:type="dxa"/>
              <w:bottom w:w="90" w:type="dxa"/>
              <w:end w:w="90" w:type="dxa"/>
            </w:tcMar>
          </w:tcPr>
          <w:p>
            <w:pPr>
              <w:spacing w:before="2297"/>
              <w:jc w:val="center"/>
            </w:pPr>
            <w:r>
              <w:rPr>
                <w:rFonts w:ascii="Times New Roman" w:hAnsi="Times New Roman"/>
                <w:b w:val="0"/>
                <w:i/>
                <w:color w:val="A6A6A6"/>
                <w:sz w:val="16"/>
              </w:rPr>
              <w:t>Espacio para insertar la gráfica</w:t>
            </w:r>
          </w:p>
        </w:tc>
      </w:tr>
    </w:tbl>
    <w:p>
      <w:pPr>
        <w:pStyle w:val="Textoindependiente"/>
        <w:keepNext w:val="0"/>
        <w:spacing w:before="0" w:after="20" w:line="240" w:lineRule="auto"/>
        <w:ind w:firstLine="0"/>
        <w:jc w:val="both"/>
      </w:pPr>
      <w:r>
        <w:rPr>
          <w:rFonts w:ascii="Times New Roman" w:hAnsi="Times New Roman"/>
          <w:b/>
          <w:i w:val="0"/>
          <w:color w:val="000000"/>
          <w:sz w:val="19"/>
        </w:rPr>
        <w:t>Observaciones sobre la gráfica directa:</w:t>
      </w:r>
    </w:p>
    <w:p>
      <w:pPr>
        <w:pStyle w:val="Textoindependiente"/>
        <w:keepNext w:val="0"/>
        <w:spacing w:before="0" w:after="640" w:line="240" w:lineRule="auto"/>
        <w:ind w:firstLine="0"/>
        <w:jc w:val="both"/>
      </w:pPr>
    </w:p>
    <w:p>
      <w:r>
        <w:br w:type="page"/>
      </w:r>
    </w:p>
    <w:p>
      <w:pPr>
        <w:pStyle w:val="Ttulo2"/>
        <w:keepNext/>
        <w:spacing w:before="100" w:after="40"/>
      </w:pPr>
      <w:r>
        <w:rPr>
          <w:b/>
          <w:i/>
          <w:color w:val="000000"/>
          <w:sz w:val="20"/>
        </w:rPr>
        <w:t>Linealización de la dependencia con la distancia</w:t>
      </w:r>
    </w:p>
    <w:p>
      <w:pPr>
        <w:pStyle w:val="Textoindependiente"/>
        <w:keepNext/>
        <w:spacing w:before="0" w:after="60" w:line="240" w:lineRule="auto"/>
        <w:ind w:firstLine="0"/>
        <w:jc w:val="both"/>
      </w:pPr>
      <w:r>
        <w:rPr>
          <w:rFonts w:ascii="Times New Roman" w:hAnsi="Times New Roman"/>
          <w:b w:val="0"/>
          <w:i w:val="0"/>
          <w:color w:val="000000"/>
          <w:sz w:val="19"/>
        </w:rPr>
        <w:t>Represente el voltaje medio V̄ frente a 1/d² y realice un ajuste lineal de la forma V̄ = a(1/d²) + b.</w:t>
      </w:r>
    </w:p>
    <w:tbl>
      <w:tblPr>
        <w:tblW w:type="auto" w:w="0"/>
        <w:jc w:val="center"/>
        <w:tblLayout w:type="fixed"/>
        <w:tblLook w:firstColumn="1" w:firstRow="1" w:lastColumn="0" w:lastRow="0" w:noHBand="0" w:noVBand="1" w:val="04A0"/>
      </w:tblPr>
      <w:tblGrid>
        <w:gridCol w:w="9360"/>
      </w:tblGrid>
      <w:tr>
        <w:trPr>
          <w:trHeight w:val="5112" w:hRule="exact"/>
        </w:trPr>
        <w:tc>
          <w:tcPr>
            <w:tcW w:type="dxa" w:w="8700"/>
            <w:tcBorders>
              <w:top w:val="single" w:sz="8" w:color="BFBFBF"/>
              <w:left w:val="single" w:sz="8" w:color="BFBFBF"/>
              <w:bottom w:val="single" w:sz="8" w:color="BFBFBF"/>
              <w:right w:val="single" w:sz="8" w:color="BFBFBF"/>
              <w:insideH w:val="single" w:sz="8" w:color="BFBFBF"/>
              <w:insideV w:val="single" w:sz="8" w:color="BFBFBF"/>
            </w:tcBorders>
            <w:tcMar>
              <w:top w:w="90" w:type="dxa"/>
              <w:start w:w="90" w:type="dxa"/>
              <w:bottom w:w="90" w:type="dxa"/>
              <w:end w:w="90" w:type="dxa"/>
            </w:tcMar>
          </w:tcPr>
          <w:p>
            <w:pPr>
              <w:spacing w:before="2297"/>
              <w:jc w:val="center"/>
            </w:pPr>
            <w:r>
              <w:rPr>
                <w:rFonts w:ascii="Times New Roman" w:hAnsi="Times New Roman"/>
                <w:b w:val="0"/>
                <w:i/>
                <w:color w:val="A6A6A6"/>
                <w:sz w:val="16"/>
              </w:rPr>
              <w:t>Espacio para insertar la gráfica</w:t>
            </w:r>
          </w:p>
        </w:tc>
      </w:tr>
    </w:tbl>
    <w:p>
      <w:pPr>
        <w:pStyle w:val="Textoindependiente"/>
        <w:keepNext w:val="0"/>
        <w:spacing w:before="0" w:after="60" w:line="240" w:lineRule="auto"/>
        <w:ind w:firstLine="0"/>
        <w:jc w:val="both"/>
      </w:pP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a ± εa (V·m²)</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b ± εb (V)</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r>
      <w:tr>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R²</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Intervalo ajustado</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r>
    </w:tbl>
    <w:p>
      <w:pPr>
        <w:pStyle w:val="Textoindependiente"/>
        <w:keepNext w:val="0"/>
        <w:spacing w:before="0" w:after="20" w:line="240" w:lineRule="auto"/>
        <w:ind w:firstLine="0"/>
        <w:jc w:val="both"/>
      </w:pPr>
      <w:r>
        <w:rPr>
          <w:rFonts w:ascii="Times New Roman" w:hAnsi="Times New Roman"/>
          <w:b/>
          <w:i w:val="0"/>
          <w:color w:val="000000"/>
          <w:sz w:val="19"/>
        </w:rPr>
        <w:t xml:space="preserve">Interpretación del ajuste con la distancia:  </w:t>
      </w:r>
      <w:r>
        <w:rPr>
          <w:rFonts w:ascii="Times New Roman" w:hAnsi="Times New Roman"/>
          <w:b w:val="0"/>
          <w:i w:val="0"/>
          <w:color w:val="000000"/>
          <w:sz w:val="19"/>
        </w:rPr>
        <w:t>compare a con Ve0, valore si b es compatible con cero y discuta la coherencia con la ley 1/d².</w:t>
      </w:r>
    </w:p>
    <w:p>
      <w:pPr>
        <w:pStyle w:val="Textoindependiente"/>
        <w:keepNext w:val="0"/>
        <w:spacing w:before="0" w:after="1500" w:line="240" w:lineRule="auto"/>
        <w:ind w:firstLine="0"/>
        <w:jc w:val="both"/>
      </w:pPr>
    </w:p>
    <w:p>
      <w:pPr>
        <w:pStyle w:val="Textoindependiente"/>
        <w:keepNext w:val="0"/>
        <w:spacing w:before="0" w:after="20" w:line="240" w:lineRule="auto"/>
        <w:ind w:firstLine="0"/>
        <w:jc w:val="both"/>
      </w:pPr>
      <w:r>
        <w:rPr>
          <w:rFonts w:ascii="Times New Roman" w:hAnsi="Times New Roman"/>
          <w:b/>
          <w:i w:val="0"/>
          <w:color w:val="000000"/>
          <w:sz w:val="19"/>
        </w:rPr>
        <w:t>Principales fuentes de desviación:</w:t>
      </w:r>
    </w:p>
    <w:p>
      <w:pPr>
        <w:pStyle w:val="Textoindependiente"/>
        <w:keepNext w:val="0"/>
        <w:spacing w:before="0" w:after="1500" w:line="240" w:lineRule="auto"/>
        <w:ind w:firstLine="0"/>
        <w:jc w:val="both"/>
      </w:pPr>
    </w:p>
    <w:p>
      <w:r>
        <w:br w:type="page"/>
      </w:r>
    </w:p>
    <w:p>
      <w:pPr>
        <w:pStyle w:val="Ttulo2"/>
        <w:keepNext/>
        <w:spacing w:before="100" w:after="40"/>
      </w:pPr>
      <w:r>
        <w:rPr>
          <w:b/>
          <w:i/>
          <w:color w:val="000000"/>
          <w:sz w:val="20"/>
        </w:rPr>
        <w:t>Conversión entre las lecturas del fotómetro</w:t>
      </w:r>
    </w:p>
    <w:p>
      <w:pPr>
        <w:pStyle w:val="Textoindependiente"/>
        <w:keepNext/>
        <w:spacing w:before="0" w:after="60" w:line="240" w:lineRule="auto"/>
        <w:ind w:firstLine="0"/>
        <w:jc w:val="both"/>
      </w:pPr>
      <w:r>
        <w:rPr>
          <w:rFonts w:ascii="Times New Roman" w:hAnsi="Times New Roman"/>
          <w:b w:val="0"/>
          <w:i w:val="0"/>
          <w:color w:val="000000"/>
          <w:sz w:val="19"/>
        </w:rPr>
        <w:t>Represente las lecturas E lux frente a E sc y realice un ajuste lineal de la forma E lux = c·E sc + d₀. La pendiente c proporciona el factor experimental de conversión entre ambas unidades.</w:t>
      </w:r>
    </w:p>
    <w:tbl>
      <w:tblPr>
        <w:tblW w:type="auto" w:w="0"/>
        <w:jc w:val="center"/>
        <w:tblLayout w:type="fixed"/>
        <w:tblLook w:firstColumn="1" w:firstRow="1" w:lastColumn="0" w:lastRow="0" w:noHBand="0" w:noVBand="1" w:val="04A0"/>
      </w:tblPr>
      <w:tblGrid>
        <w:gridCol w:w="9360"/>
      </w:tblGrid>
      <w:tr>
        <w:trPr>
          <w:trHeight w:val="5112" w:hRule="exact"/>
        </w:trPr>
        <w:tc>
          <w:tcPr>
            <w:tcW w:type="dxa" w:w="8700"/>
            <w:tcBorders>
              <w:top w:val="single" w:sz="8" w:color="BFBFBF"/>
              <w:left w:val="single" w:sz="8" w:color="BFBFBF"/>
              <w:bottom w:val="single" w:sz="8" w:color="BFBFBF"/>
              <w:right w:val="single" w:sz="8" w:color="BFBFBF"/>
              <w:insideH w:val="single" w:sz="8" w:color="BFBFBF"/>
              <w:insideV w:val="single" w:sz="8" w:color="BFBFBF"/>
            </w:tcBorders>
            <w:tcMar>
              <w:top w:w="90" w:type="dxa"/>
              <w:start w:w="90" w:type="dxa"/>
              <w:bottom w:w="90" w:type="dxa"/>
              <w:end w:w="90" w:type="dxa"/>
            </w:tcMar>
          </w:tcPr>
          <w:p>
            <w:pPr>
              <w:spacing w:before="2297"/>
              <w:jc w:val="center"/>
            </w:pPr>
            <w:r>
              <w:rPr>
                <w:rFonts w:ascii="Times New Roman" w:hAnsi="Times New Roman"/>
                <w:b w:val="0"/>
                <w:i/>
                <w:color w:val="A6A6A6"/>
                <w:sz w:val="16"/>
              </w:rPr>
              <w:t>Espacio para insertar la gráfica</w:t>
            </w:r>
          </w:p>
        </w:tc>
      </w:tr>
    </w:tbl>
    <w:p>
      <w:pPr>
        <w:pStyle w:val="Textoindependiente"/>
        <w:keepNext w:val="0"/>
        <w:spacing w:before="0" w:after="60" w:line="240" w:lineRule="auto"/>
        <w:ind w:firstLine="0"/>
        <w:jc w:val="both"/>
      </w:pP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c ± εc (lux·sc⁻¹)</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d₀ ± εd₀ (lux)</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r>
      <w:tr>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R²</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Factor de conversión</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r>
    </w:tbl>
    <w:p>
      <w:pPr>
        <w:pStyle w:val="Textoindependiente"/>
        <w:keepNext w:val="0"/>
        <w:spacing w:before="0" w:after="360" w:line="240" w:lineRule="auto"/>
        <w:ind w:firstLine="0"/>
        <w:jc w:val="both"/>
      </w:pPr>
    </w:p>
    <w:p>
      <w:pPr>
        <w:pStyle w:val="Textoindependiente"/>
        <w:keepNext w:val="0"/>
        <w:spacing w:before="0" w:after="20" w:line="240" w:lineRule="auto"/>
        <w:ind w:firstLine="0"/>
        <w:jc w:val="both"/>
      </w:pPr>
      <w:r>
        <w:rPr>
          <w:rFonts w:ascii="Times New Roman" w:hAnsi="Times New Roman"/>
          <w:b/>
          <w:i w:val="0"/>
          <w:color w:val="000000"/>
          <w:sz w:val="19"/>
        </w:rPr>
        <w:t>Interpretación del ajuste del fotómetro:</w:t>
      </w:r>
    </w:p>
    <w:p>
      <w:pPr>
        <w:pStyle w:val="Textoindependiente"/>
        <w:keepNext w:val="0"/>
        <w:spacing w:before="0" w:after="1700" w:line="240" w:lineRule="auto"/>
        <w:ind w:firstLine="0"/>
        <w:jc w:val="both"/>
      </w:pPr>
    </w:p>
    <w:p>
      <w:pPr>
        <w:pStyle w:val="Textoindependiente"/>
        <w:keepNext w:val="0"/>
        <w:spacing w:before="0" w:after="20" w:line="240" w:lineRule="auto"/>
        <w:ind w:firstLine="0"/>
        <w:jc w:val="both"/>
      </w:pPr>
      <w:r>
        <w:rPr>
          <w:rFonts w:ascii="Times New Roman" w:hAnsi="Times New Roman"/>
          <w:b/>
          <w:i w:val="0"/>
          <w:color w:val="000000"/>
          <w:sz w:val="19"/>
        </w:rPr>
        <w:t xml:space="preserve">Conclusión conjunta:  </w:t>
      </w:r>
      <w:r>
        <w:rPr>
          <w:rFonts w:ascii="Times New Roman" w:hAnsi="Times New Roman"/>
          <w:b w:val="0"/>
          <w:i w:val="0"/>
          <w:color w:val="000000"/>
          <w:sz w:val="19"/>
        </w:rPr>
        <w:t>indique si los resultados apoyan las dependencias con sin α y 1/d², y señale las principales limitaciones experimentales de ambas partes.</w:t>
      </w:r>
    </w:p>
    <w:p>
      <w:pPr>
        <w:pStyle w:val="Textoindependiente"/>
        <w:keepNext w:val="0"/>
        <w:spacing w:before="0" w:after="2400" w:line="240" w:lineRule="auto"/>
        <w:ind w:firstLine="0"/>
        <w:jc w:val="both"/>
      </w:pPr>
    </w:p>
    <w:sectPr w:rsidR="007C5844" w:rsidRPr="007C5844" w:rsidSect="008B7D60">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2016" w:left="1440" w:header="567" w:footer="144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BDE51A" w14:textId="77777777" w:rsidR="00486B61" w:rsidRDefault="00486B61">
      <w:r>
        <w:separator/>
      </w:r>
    </w:p>
  </w:endnote>
  <w:endnote w:type="continuationSeparator" w:id="0">
    <w:p w14:paraId="4D249B0F" w14:textId="77777777" w:rsidR="00486B61" w:rsidRDefault="00486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tarSymbol">
    <w:altName w:val="Times New Roman"/>
    <w:charset w:val="01"/>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FB0818" w14:textId="77777777" w:rsidR="007C5844" w:rsidRDefault="007C5844">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D42F9D" w14:textId="7803B428" w:rsidR="007C5844" w:rsidRDefault="007C5844">
    <w:pPr>
      <w:pStyle w:val="Piedepgina"/>
      <w:jc w:val="center"/>
    </w:pPr>
    <w:r>
      <w:fldChar w:fldCharType="begin"/>
    </w:r>
    <w:r>
      <w:instrText xml:space="preserve"> PAGE </w:instrText>
    </w:r>
    <w:r>
      <w:fldChar w:fldCharType="separate"/>
    </w:r>
    <w:r w:rsidR="008B7D60">
      <w:rPr>
        <w:noProof/>
      </w:rPr>
      <w:t>1</w:t>
    </w:r>
    <w:r>
      <w:fldChar w:fldCharType="end"/>
    </w: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9B71B4" w14:textId="77777777" w:rsidR="007C5844" w:rsidRDefault="007C5844">
    <w:pPr>
      <w:pStyle w:val="Piedepgina"/>
      <w:jc w:val="center"/>
    </w:pPr>
    <w:r>
      <w:fldChar w:fldCharType="begin"/>
    </w:r>
    <w:r>
      <w:instrText xml:space="preserve"> PAGE </w:instrText>
    </w:r>
    <w:r>
      <w:fldChar w:fldCharType="separate"/>
    </w:r>
    <w:r>
      <w:t>3</w:t>
    </w:r>
    <w:r>
      <w:fldChar w:fldCharType="end"/>
    </w: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3E0420" w14:textId="77777777" w:rsidR="00486B61" w:rsidRDefault="00486B61">
      <w:r>
        <w:separator/>
      </w:r>
    </w:p>
  </w:footnote>
  <w:footnote w:type="continuationSeparator" w:id="0">
    <w:p w14:paraId="0C211922" w14:textId="77777777" w:rsidR="00486B61" w:rsidRDefault="00486B6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18BE6E" w14:textId="77777777" w:rsidR="008B7D60" w:rsidRDefault="008B7D60">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479A20" w14:textId="238D4597" w:rsidR="008B7D60" w:rsidRPr="008B7D60" w:rsidRDefault="008B7D60">
    <w:pPr>
      <w:pStyle w:val="Encabezado"/>
      <w:rPr>
        <w:color w:val="FF0000"/>
        <w:lang w:val="es-ES"/>
      </w:rPr>
    </w:pPr>
    <w:bookmarkStart w:id="1" w:name="_GoBack"/>
    <w:r w:rsidRPr="008B7D60">
      <w:rPr>
        <w:color w:val="FF0000"/>
      </w:rPr>
      <w:t>Alumno 1:</w:t>
    </w:r>
    <w:r w:rsidRPr="008B7D60">
      <w:rPr>
        <w:color w:val="FF0000"/>
      </w:rPr>
      <w:ptab w:relativeTo="margin" w:alignment="center" w:leader="none"/>
    </w:r>
    <w:r w:rsidRPr="008B7D60">
      <w:rPr>
        <w:color w:val="FF0000"/>
      </w:rPr>
      <w:t>Alumno 2:</w:t>
    </w:r>
    <w:r w:rsidRPr="008B7D60">
      <w:rPr>
        <w:color w:val="FF0000"/>
      </w:rPr>
      <w:ptab w:relativeTo="margin" w:alignment="right" w:leader="none"/>
    </w:r>
    <w:r w:rsidRPr="008B7D60">
      <w:rPr>
        <w:color w:val="FF0000"/>
      </w:rPr>
      <w:t>Alumno 3:</w:t>
    </w:r>
    <w:bookmarkEnd w:id="1"/>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604AE7" w14:textId="77777777" w:rsidR="008B7D60" w:rsidRDefault="008B7D60">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568DD"/>
    <w:multiLevelType w:val="multilevel"/>
    <w:tmpl w:val="4EF20A3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DAF68F1"/>
    <w:multiLevelType w:val="multilevel"/>
    <w:tmpl w:val="7286FBFE"/>
    <w:lvl w:ilvl="0">
      <w:start w:val="1"/>
      <w:numFmt w:val="none"/>
      <w:pStyle w:val="Ttulo1"/>
      <w:suff w:val="nothing"/>
      <w:lvlText w:val="%1"/>
      <w:lvlJc w:val="left"/>
      <w:pPr>
        <w:tabs>
          <w:tab w:val="num" w:pos="0"/>
        </w:tabs>
        <w:ind w:left="0" w:firstLine="0"/>
      </w:pPr>
    </w:lvl>
    <w:lvl w:ilvl="1">
      <w:start w:val="1"/>
      <w:numFmt w:val="none"/>
      <w:pStyle w:val="Ttulo2"/>
      <w:suff w:val="nothing"/>
      <w:lvlText w:val="%2"/>
      <w:lvlJc w:val="left"/>
      <w:pPr>
        <w:tabs>
          <w:tab w:val="num" w:pos="0"/>
        </w:tabs>
        <w:ind w:left="0" w:firstLine="0"/>
      </w:pPr>
    </w:lvl>
    <w:lvl w:ilvl="2">
      <w:start w:val="1"/>
      <w:numFmt w:val="none"/>
      <w:pStyle w:val="Ttulo3"/>
      <w:suff w:val="nothing"/>
      <w:lvlText w:val="%3"/>
      <w:lvlJc w:val="left"/>
      <w:pPr>
        <w:tabs>
          <w:tab w:val="num" w:pos="0"/>
        </w:tabs>
        <w:ind w:left="0" w:firstLine="0"/>
      </w:pPr>
    </w:lvl>
    <w:lvl w:ilvl="3">
      <w:start w:val="1"/>
      <w:numFmt w:val="none"/>
      <w:pStyle w:val="Ttulo4"/>
      <w:suff w:val="nothing"/>
      <w:lvlText w:val="%4"/>
      <w:lvlJc w:val="left"/>
      <w:pPr>
        <w:tabs>
          <w:tab w:val="num" w:pos="0"/>
        </w:tabs>
        <w:ind w:left="0" w:firstLine="0"/>
      </w:pPr>
    </w:lvl>
    <w:lvl w:ilvl="4">
      <w:start w:val="1"/>
      <w:numFmt w:val="none"/>
      <w:pStyle w:val="Ttulo5"/>
      <w:suff w:val="nothing"/>
      <w:lvlText w:val="%5"/>
      <w:lvlJc w:val="left"/>
      <w:pPr>
        <w:tabs>
          <w:tab w:val="num" w:pos="0"/>
        </w:tabs>
        <w:ind w:left="0" w:firstLine="0"/>
      </w:pPr>
    </w:lvl>
    <w:lvl w:ilvl="5">
      <w:start w:val="1"/>
      <w:numFmt w:val="none"/>
      <w:pStyle w:val="Ttulo6"/>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6E0B5CB1"/>
    <w:multiLevelType w:val="multilevel"/>
    <w:tmpl w:val="9BA698D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7EDB7117"/>
    <w:multiLevelType w:val="multilevel"/>
    <w:tmpl w:val="B504CE98"/>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47B0"/>
    <w:rsid w:val="000422D8"/>
    <w:rsid w:val="000501F9"/>
    <w:rsid w:val="000847B0"/>
    <w:rsid w:val="000957FB"/>
    <w:rsid w:val="000A3C1D"/>
    <w:rsid w:val="000C3E1C"/>
    <w:rsid w:val="0010518B"/>
    <w:rsid w:val="00116EC2"/>
    <w:rsid w:val="00130288"/>
    <w:rsid w:val="00137C03"/>
    <w:rsid w:val="0015798E"/>
    <w:rsid w:val="001810C1"/>
    <w:rsid w:val="002048E2"/>
    <w:rsid w:val="00204F0B"/>
    <w:rsid w:val="00231E7F"/>
    <w:rsid w:val="00244EE7"/>
    <w:rsid w:val="002E4362"/>
    <w:rsid w:val="0037724A"/>
    <w:rsid w:val="003F384D"/>
    <w:rsid w:val="00452BEA"/>
    <w:rsid w:val="00486B61"/>
    <w:rsid w:val="005264E9"/>
    <w:rsid w:val="005C55F7"/>
    <w:rsid w:val="005D27B0"/>
    <w:rsid w:val="005D6198"/>
    <w:rsid w:val="005D6C29"/>
    <w:rsid w:val="006240FF"/>
    <w:rsid w:val="00685F77"/>
    <w:rsid w:val="006B0E72"/>
    <w:rsid w:val="006E29E3"/>
    <w:rsid w:val="0071098A"/>
    <w:rsid w:val="00745F45"/>
    <w:rsid w:val="007C42EA"/>
    <w:rsid w:val="007C5844"/>
    <w:rsid w:val="007E4AF4"/>
    <w:rsid w:val="008472F0"/>
    <w:rsid w:val="00853EC7"/>
    <w:rsid w:val="00856052"/>
    <w:rsid w:val="00866814"/>
    <w:rsid w:val="00877279"/>
    <w:rsid w:val="008964E3"/>
    <w:rsid w:val="00897E4F"/>
    <w:rsid w:val="008B7D60"/>
    <w:rsid w:val="00963714"/>
    <w:rsid w:val="00974E18"/>
    <w:rsid w:val="00997E0E"/>
    <w:rsid w:val="009A008B"/>
    <w:rsid w:val="009F76B7"/>
    <w:rsid w:val="00A07C71"/>
    <w:rsid w:val="00A9553C"/>
    <w:rsid w:val="00B51BF5"/>
    <w:rsid w:val="00B80B2C"/>
    <w:rsid w:val="00B87562"/>
    <w:rsid w:val="00BA27E4"/>
    <w:rsid w:val="00BAC888"/>
    <w:rsid w:val="00BE2F30"/>
    <w:rsid w:val="00C4226B"/>
    <w:rsid w:val="00C5215E"/>
    <w:rsid w:val="00C56BEA"/>
    <w:rsid w:val="00C67238"/>
    <w:rsid w:val="00C735C3"/>
    <w:rsid w:val="00C818C7"/>
    <w:rsid w:val="00C92766"/>
    <w:rsid w:val="00D07A6F"/>
    <w:rsid w:val="00D80E21"/>
    <w:rsid w:val="00DB0C8A"/>
    <w:rsid w:val="00DC5C06"/>
    <w:rsid w:val="00E97438"/>
    <w:rsid w:val="00EB5511"/>
    <w:rsid w:val="00EB7398"/>
    <w:rsid w:val="00EF74F4"/>
    <w:rsid w:val="00F05E4E"/>
    <w:rsid w:val="00F67E43"/>
    <w:rsid w:val="00F772B1"/>
    <w:rsid w:val="00F7782F"/>
    <w:rsid w:val="00F865B2"/>
    <w:rsid w:val="00FD1477"/>
    <w:rsid w:val="00FF00BE"/>
    <w:rsid w:val="01965484"/>
    <w:rsid w:val="021AC796"/>
    <w:rsid w:val="02D57A35"/>
    <w:rsid w:val="02E264B2"/>
    <w:rsid w:val="03D8A59A"/>
    <w:rsid w:val="05C117F6"/>
    <w:rsid w:val="05CF95B2"/>
    <w:rsid w:val="05DDEE47"/>
    <w:rsid w:val="06FFC181"/>
    <w:rsid w:val="07EE6836"/>
    <w:rsid w:val="07F9B9B4"/>
    <w:rsid w:val="09A72B30"/>
    <w:rsid w:val="0A0F9D96"/>
    <w:rsid w:val="0A17886A"/>
    <w:rsid w:val="0D51206E"/>
    <w:rsid w:val="0F07FE5B"/>
    <w:rsid w:val="0F8F3251"/>
    <w:rsid w:val="0FE3793D"/>
    <w:rsid w:val="1045D7AE"/>
    <w:rsid w:val="124531C9"/>
    <w:rsid w:val="145B73ED"/>
    <w:rsid w:val="14D1E2EA"/>
    <w:rsid w:val="14E8CF6E"/>
    <w:rsid w:val="1511DB34"/>
    <w:rsid w:val="1698C528"/>
    <w:rsid w:val="174578F9"/>
    <w:rsid w:val="18F586CE"/>
    <w:rsid w:val="193A439E"/>
    <w:rsid w:val="198C67CD"/>
    <w:rsid w:val="1B169016"/>
    <w:rsid w:val="1C60B3E2"/>
    <w:rsid w:val="1C9AC30A"/>
    <w:rsid w:val="1FDD2F77"/>
    <w:rsid w:val="1FF32AAA"/>
    <w:rsid w:val="266B18C6"/>
    <w:rsid w:val="26A15AF0"/>
    <w:rsid w:val="26DEA423"/>
    <w:rsid w:val="276DC7BA"/>
    <w:rsid w:val="285C2456"/>
    <w:rsid w:val="286C7FFD"/>
    <w:rsid w:val="298389FA"/>
    <w:rsid w:val="2ACC1214"/>
    <w:rsid w:val="2BD5DEA0"/>
    <w:rsid w:val="2CEDFA8E"/>
    <w:rsid w:val="2D4BF3F9"/>
    <w:rsid w:val="2F2C3389"/>
    <w:rsid w:val="311F2DBD"/>
    <w:rsid w:val="31B9B49F"/>
    <w:rsid w:val="31DA8A53"/>
    <w:rsid w:val="32266457"/>
    <w:rsid w:val="32646E53"/>
    <w:rsid w:val="3394B4CC"/>
    <w:rsid w:val="34149420"/>
    <w:rsid w:val="359772DE"/>
    <w:rsid w:val="3797CBFF"/>
    <w:rsid w:val="3AEAAC6B"/>
    <w:rsid w:val="3BAD9B7D"/>
    <w:rsid w:val="3C8C835B"/>
    <w:rsid w:val="3E198808"/>
    <w:rsid w:val="3ECA7B12"/>
    <w:rsid w:val="4051F152"/>
    <w:rsid w:val="40CB6E8A"/>
    <w:rsid w:val="42D1E0D8"/>
    <w:rsid w:val="435F673A"/>
    <w:rsid w:val="472D47B1"/>
    <w:rsid w:val="48A7CB4E"/>
    <w:rsid w:val="4974CB37"/>
    <w:rsid w:val="4ABE51DB"/>
    <w:rsid w:val="4E1FD0C7"/>
    <w:rsid w:val="503DC5FB"/>
    <w:rsid w:val="50DF0D66"/>
    <w:rsid w:val="52064E05"/>
    <w:rsid w:val="521F415C"/>
    <w:rsid w:val="5336E652"/>
    <w:rsid w:val="536DC86B"/>
    <w:rsid w:val="5451B944"/>
    <w:rsid w:val="553AD406"/>
    <w:rsid w:val="5691F731"/>
    <w:rsid w:val="576A347D"/>
    <w:rsid w:val="578469C9"/>
    <w:rsid w:val="58708EF2"/>
    <w:rsid w:val="5AA535B8"/>
    <w:rsid w:val="5AA92F6A"/>
    <w:rsid w:val="5B7B3346"/>
    <w:rsid w:val="5BDE7C65"/>
    <w:rsid w:val="5C050ACF"/>
    <w:rsid w:val="5C8F7004"/>
    <w:rsid w:val="5CA7FAB1"/>
    <w:rsid w:val="5FDAB27D"/>
    <w:rsid w:val="6111B2C2"/>
    <w:rsid w:val="62C5C019"/>
    <w:rsid w:val="634CD52F"/>
    <w:rsid w:val="63A54794"/>
    <w:rsid w:val="6421271E"/>
    <w:rsid w:val="642E1241"/>
    <w:rsid w:val="66FCA4E0"/>
    <w:rsid w:val="6839A086"/>
    <w:rsid w:val="6C1FDDBF"/>
    <w:rsid w:val="6FBD8AF6"/>
    <w:rsid w:val="7120B726"/>
    <w:rsid w:val="71CCC33E"/>
    <w:rsid w:val="72084651"/>
    <w:rsid w:val="7270BEF6"/>
    <w:rsid w:val="735C81A1"/>
    <w:rsid w:val="73DA07E0"/>
    <w:rsid w:val="795D5F1B"/>
    <w:rsid w:val="7A3DE76A"/>
    <w:rsid w:val="7ADE7899"/>
    <w:rsid w:val="7AF374DA"/>
    <w:rsid w:val="7B411775"/>
    <w:rsid w:val="7D3427CC"/>
    <w:rsid w:val="7FE873D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F12D1"/>
  <w15:docId w15:val="{7090B955-895D-4823-A236-DB01A7F81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Lucida Sans Unicode" w:hAnsi="Times New Roman" w:cs="Tahoma"/>
        <w:kern w:val="2"/>
        <w:sz w:val="24"/>
        <w:szCs w:val="24"/>
        <w:lang w:val="en-US" w:eastAsia="es-E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overflowPunct w:val="0"/>
    </w:pPr>
    <w:rPr>
      <w:rFonts w:ascii="Times New Roman" w:hAnsi="Times New Roman"/>
      <w:sz w:val="19"/>
    </w:rPr>
  </w:style>
  <w:style w:type="paragraph" w:styleId="Ttulo1">
    <w:name w:val="heading 1"/>
    <w:basedOn w:val="Heading"/>
    <w:next w:val="Textoindependiente"/>
    <w:qFormat/>
    <w:pPr>
      <w:numPr>
        <w:numId w:val="1"/>
      </w:numPr>
      <w:outlineLvl w:val="0"/>
    </w:pPr>
    <w:rPr>
      <w:b/>
      <w:bCs/>
      <w:color w:val="000000"/>
      <w:sz w:val="32"/>
      <w:szCs w:val="32"/>
    </w:rPr>
  </w:style>
  <w:style w:type="paragraph" w:styleId="Ttulo2">
    <w:name w:val="heading 2"/>
    <w:basedOn w:val="Heading"/>
    <w:next w:val="Textoindependiente"/>
    <w:qFormat/>
    <w:pPr>
      <w:numPr>
        <w:ilvl w:val="1"/>
        <w:numId w:val="1"/>
      </w:numPr>
      <w:outlineLvl w:val="1"/>
    </w:pPr>
    <w:rPr>
      <w:b/>
      <w:bCs/>
      <w:i/>
      <w:iCs/>
      <w:color w:val="000000"/>
    </w:rPr>
  </w:style>
  <w:style w:type="paragraph" w:styleId="Ttulo3">
    <w:name w:val="heading 3"/>
    <w:basedOn w:val="Heading"/>
    <w:next w:val="Textoindependiente"/>
    <w:qFormat/>
    <w:pPr>
      <w:numPr>
        <w:ilvl w:val="2"/>
        <w:numId w:val="1"/>
      </w:numPr>
      <w:outlineLvl w:val="2"/>
    </w:pPr>
    <w:rPr>
      <w:b/>
      <w:bCs/>
    </w:rPr>
  </w:style>
  <w:style w:type="paragraph" w:styleId="Ttulo4">
    <w:name w:val="heading 4"/>
    <w:basedOn w:val="Heading"/>
    <w:next w:val="Textoindependiente"/>
    <w:qFormat/>
    <w:pPr>
      <w:numPr>
        <w:ilvl w:val="3"/>
        <w:numId w:val="1"/>
      </w:numPr>
      <w:outlineLvl w:val="3"/>
    </w:pPr>
    <w:rPr>
      <w:b/>
      <w:bCs/>
      <w:i/>
      <w:iCs/>
      <w:sz w:val="24"/>
      <w:szCs w:val="24"/>
    </w:rPr>
  </w:style>
  <w:style w:type="paragraph" w:styleId="Ttulo5">
    <w:name w:val="heading 5"/>
    <w:basedOn w:val="Heading"/>
    <w:next w:val="Textoindependiente"/>
    <w:qFormat/>
    <w:pPr>
      <w:numPr>
        <w:ilvl w:val="4"/>
        <w:numId w:val="1"/>
      </w:numPr>
      <w:outlineLvl w:val="4"/>
    </w:pPr>
    <w:rPr>
      <w:b/>
      <w:bCs/>
      <w:sz w:val="24"/>
      <w:szCs w:val="24"/>
    </w:rPr>
  </w:style>
  <w:style w:type="paragraph" w:styleId="Ttulo6">
    <w:name w:val="heading 6"/>
    <w:basedOn w:val="Heading"/>
    <w:next w:val="Textoindependiente"/>
    <w:qFormat/>
    <w:pPr>
      <w:numPr>
        <w:ilvl w:val="5"/>
        <w:numId w:val="1"/>
      </w:numPr>
      <w:outlineLvl w:val="5"/>
    </w:pPr>
    <w:rPr>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ourceText">
    <w:name w:val="Source_Text"/>
    <w:qFormat/>
    <w:rPr>
      <w:rFonts w:ascii="Courier New" w:eastAsia="Courier New" w:hAnsi="Courier New" w:cs="Courier New"/>
      <w:sz w:val="20"/>
      <w:szCs w:val="20"/>
    </w:rPr>
  </w:style>
  <w:style w:type="character" w:customStyle="1" w:styleId="NumberingSymbols">
    <w:name w:val="Numbering Symbols"/>
    <w:qFormat/>
  </w:style>
  <w:style w:type="character" w:customStyle="1" w:styleId="Bullets">
    <w:name w:val="Bullets"/>
    <w:qFormat/>
    <w:rPr>
      <w:rFonts w:ascii="StarSymbol" w:eastAsia="StarSymbol" w:hAnsi="StarSymbol" w:cs="StarSymbol"/>
      <w:sz w:val="18"/>
      <w:szCs w:val="18"/>
    </w:rPr>
  </w:style>
  <w:style w:type="character" w:styleId="nfasis">
    <w:name w:val="Emphasis"/>
    <w:qFormat/>
    <w:rPr>
      <w:i/>
      <w:iCs/>
    </w:rPr>
  </w:style>
  <w:style w:type="character" w:styleId="Textoennegrita">
    <w:name w:val="Strong"/>
    <w:qFormat/>
    <w:rPr>
      <w:b/>
      <w:bCs/>
    </w:rPr>
  </w:style>
  <w:style w:type="character" w:customStyle="1" w:styleId="Strikeout">
    <w:name w:val="Strikeout"/>
    <w:qFormat/>
    <w:rPr>
      <w:strike/>
    </w:rPr>
  </w:style>
  <w:style w:type="character" w:customStyle="1" w:styleId="Superscript">
    <w:name w:val="Superscript"/>
    <w:qFormat/>
    <w:rPr>
      <w:vertAlign w:val="superscript"/>
    </w:rPr>
  </w:style>
  <w:style w:type="character" w:customStyle="1" w:styleId="Subscript">
    <w:name w:val="Subscript"/>
    <w:qFormat/>
    <w:rPr>
      <w:vertAlign w:val="subscript"/>
    </w:rPr>
  </w:style>
  <w:style w:type="character" w:customStyle="1" w:styleId="Quotation">
    <w:name w:val="Quotation"/>
    <w:qFormat/>
    <w:rPr>
      <w:i/>
      <w:iCs/>
    </w:rPr>
  </w:style>
  <w:style w:type="character" w:customStyle="1" w:styleId="Teletype">
    <w:name w:val="Teletype"/>
    <w:qFormat/>
    <w:rPr>
      <w:rFonts w:ascii="Courier New" w:eastAsia="Courier New" w:hAnsi="Courier New" w:cs="Courier New"/>
    </w:rPr>
  </w:style>
  <w:style w:type="character" w:styleId="Hipervnculo">
    <w:name w:val="Hyperlink"/>
    <w:rPr>
      <w:color w:val="000080"/>
      <w:u w:val="single"/>
    </w:rPr>
  </w:style>
  <w:style w:type="character" w:customStyle="1" w:styleId="FootnoteCharacters">
    <w:name w:val="Footnote Characters"/>
    <w:qFormat/>
    <w:rPr>
      <w:vertAlign w:val="superscript"/>
    </w:rPr>
  </w:style>
  <w:style w:type="character" w:styleId="Refdenotaalpie">
    <w:name w:val="footnote reference"/>
    <w:rPr>
      <w:vertAlign w:val="superscript"/>
    </w:rPr>
  </w:style>
  <w:style w:type="character" w:customStyle="1" w:styleId="Definition">
    <w:name w:val="Definition"/>
    <w:qFormat/>
  </w:style>
  <w:style w:type="paragraph" w:customStyle="1" w:styleId="Heading">
    <w:name w:val="Heading"/>
    <w:basedOn w:val="Normal"/>
    <w:next w:val="Textoindependiente"/>
    <w:qFormat/>
    <w:pPr>
      <w:keepNext/>
      <w:spacing w:before="240" w:after="120"/>
    </w:pPr>
    <w:rPr>
      <w:rFonts w:ascii="Arial" w:hAnsi="Arial"/>
      <w:sz w:val="28"/>
      <w:szCs w:val="28"/>
    </w:rPr>
  </w:style>
  <w:style w:type="paragraph" w:styleId="Textoindependiente">
    <w:name w:val="Body Text"/>
    <w:basedOn w:val="Normal"/>
    <w:link w:val="TextoindependienteCar"/>
    <w:pPr>
      <w:spacing w:before="86" w:after="86"/>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Author">
    <w:name w:val="Author"/>
    <w:basedOn w:val="Normal"/>
    <w:qFormat/>
    <w:pPr>
      <w:jc w:val="center"/>
    </w:pPr>
  </w:style>
  <w:style w:type="paragraph" w:styleId="Fecha">
    <w:name w:val="Date"/>
    <w:basedOn w:val="Normal"/>
    <w:qFormat/>
    <w:pPr>
      <w:jc w:val="center"/>
    </w:pPr>
  </w:style>
  <w:style w:type="paragraph" w:customStyle="1" w:styleId="Abstract">
    <w:name w:val="Abstract"/>
    <w:basedOn w:val="Normal"/>
    <w:qFormat/>
    <w:pPr>
      <w:spacing w:before="144" w:after="144"/>
      <w:ind w:left="567" w:right="567"/>
    </w:pPr>
  </w:style>
  <w:style w:type="paragraph" w:customStyle="1" w:styleId="Table">
    <w:name w:val="Table"/>
    <w:basedOn w:val="Descripcin"/>
    <w:qFormat/>
  </w:style>
  <w:style w:type="paragraph" w:customStyle="1" w:styleId="FigureCaption">
    <w:name w:val="FigureCaption"/>
    <w:basedOn w:val="Descripcin"/>
    <w:qFormat/>
  </w:style>
  <w:style w:type="paragraph" w:customStyle="1" w:styleId="Figure">
    <w:name w:val="Figure"/>
    <w:basedOn w:val="Normal"/>
    <w:qFormat/>
    <w:pPr>
      <w:suppressLineNumbers/>
    </w:pPr>
  </w:style>
  <w:style w:type="paragraph" w:customStyle="1" w:styleId="FigureWithCaption">
    <w:name w:val="FigureWithCaption"/>
    <w:basedOn w:val="Figure"/>
    <w:qFormat/>
    <w:pPr>
      <w:keepNext/>
    </w:pPr>
  </w:style>
  <w:style w:type="paragraph" w:customStyle="1" w:styleId="BlockQuotation">
    <w:name w:val="Block Quotation"/>
    <w:basedOn w:val="Normal"/>
    <w:qFormat/>
    <w:pPr>
      <w:spacing w:before="144" w:after="144"/>
      <w:ind w:left="567" w:right="567"/>
    </w:pPr>
  </w:style>
  <w:style w:type="paragraph" w:customStyle="1" w:styleId="PreformattedText">
    <w:name w:val="Preformatted Text"/>
    <w:basedOn w:val="Normal"/>
    <w:qFormat/>
    <w:rPr>
      <w:rFonts w:ascii="Courier New" w:eastAsia="Courier New" w:hAnsi="Courier New" w:cs="Courier New"/>
      <w:sz w:val="20"/>
      <w:szCs w:val="20"/>
    </w:rPr>
  </w:style>
  <w:style w:type="paragraph" w:customStyle="1" w:styleId="DefinitionTerm">
    <w:name w:val="Definition Term"/>
    <w:basedOn w:val="Normal"/>
    <w:next w:val="DefinitionDefinition"/>
    <w:qFormat/>
    <w:pPr>
      <w:spacing w:before="86" w:after="86"/>
    </w:pPr>
  </w:style>
  <w:style w:type="paragraph" w:customStyle="1" w:styleId="DefinitionDefinition">
    <w:name w:val="Definition Definition"/>
    <w:basedOn w:val="Normal"/>
    <w:next w:val="Textoindependiente"/>
    <w:qFormat/>
    <w:pPr>
      <w:ind w:left="720"/>
    </w:pPr>
  </w:style>
  <w:style w:type="paragraph" w:customStyle="1" w:styleId="TableContents">
    <w:name w:val="Table Contents"/>
    <w:basedOn w:val="Normal"/>
    <w:qFormat/>
    <w:pPr>
      <w:suppressLineNumbers/>
      <w:ind w:left="43" w:right="43"/>
    </w:pPr>
  </w:style>
  <w:style w:type="paragraph" w:customStyle="1" w:styleId="TableHeading">
    <w:name w:val="Table Heading"/>
    <w:basedOn w:val="TableContents"/>
    <w:qFormat/>
    <w:rPr>
      <w:b/>
      <w:bCs/>
    </w:rPr>
  </w:style>
  <w:style w:type="paragraph" w:styleId="Textonotapie">
    <w:name w:val="footnote text"/>
    <w:basedOn w:val="Normal"/>
    <w:pPr>
      <w:suppressLineNumbers/>
      <w:ind w:left="283" w:hanging="283"/>
    </w:pPr>
    <w:rPr>
      <w:sz w:val="20"/>
      <w:szCs w:val="20"/>
    </w:rPr>
  </w:style>
  <w:style w:type="paragraph" w:customStyle="1" w:styleId="HeaderandFooter">
    <w:name w:val="Header and Footer"/>
    <w:basedOn w:val="Normal"/>
    <w:qFormat/>
    <w:pPr>
      <w:suppressLineNumbers/>
      <w:tabs>
        <w:tab w:val="center" w:pos="4819"/>
        <w:tab w:val="right" w:pos="9638"/>
      </w:tabs>
    </w:pPr>
  </w:style>
  <w:style w:type="paragraph" w:styleId="Piedepgina">
    <w:name w:val="footer"/>
    <w:basedOn w:val="Normal"/>
    <w:pPr>
      <w:suppressLineNumbers/>
      <w:tabs>
        <w:tab w:val="center" w:pos="4680"/>
        <w:tab w:val="right" w:pos="9360"/>
      </w:tabs>
    </w:pPr>
  </w:style>
  <w:style w:type="paragraph" w:customStyle="1" w:styleId="DefinitionTermTight">
    <w:name w:val="Definition Term Tight"/>
    <w:basedOn w:val="Normal"/>
    <w:next w:val="DefinitionDefinitionTight"/>
    <w:qFormat/>
    <w:pPr>
      <w:spacing w:before="115" w:after="115"/>
    </w:pPr>
  </w:style>
  <w:style w:type="paragraph" w:customStyle="1" w:styleId="DefinitionDefinitionTight">
    <w:name w:val="Definition Definition Tight"/>
    <w:basedOn w:val="Normal"/>
    <w:qFormat/>
    <w:pPr>
      <w:ind w:left="720"/>
    </w:pPr>
  </w:style>
  <w:style w:type="paragraph" w:customStyle="1" w:styleId="HorizontalLine">
    <w:name w:val="Horizontal Line"/>
    <w:basedOn w:val="Normal"/>
    <w:next w:val="Textoindependiente"/>
    <w:qFormat/>
    <w:pPr>
      <w:suppressLineNumbers/>
      <w:pBdr>
        <w:bottom w:val="double" w:sz="2" w:space="0" w:color="808080"/>
      </w:pBdr>
      <w:spacing w:after="283"/>
    </w:pPr>
    <w:rPr>
      <w:sz w:val="12"/>
      <w:szCs w:val="12"/>
    </w:rPr>
  </w:style>
  <w:style w:type="paragraph" w:customStyle="1" w:styleId="Firstparagraph">
    <w:name w:val="First paragraph"/>
    <w:basedOn w:val="Textoindependiente"/>
    <w:next w:val="Textoindependiente"/>
    <w:qFormat/>
  </w:style>
  <w:style w:type="numbering" w:customStyle="1" w:styleId="Bullet">
    <w:name w:val="Bullet •"/>
    <w:qFormat/>
  </w:style>
  <w:style w:type="numbering" w:customStyle="1" w:styleId="Bullet0">
    <w:name w:val="Bullet –"/>
    <w:qFormat/>
  </w:style>
  <w:style w:type="numbering" w:customStyle="1" w:styleId="Bullet1">
    <w:name w:val="Bullet ☑"/>
    <w:qFormat/>
  </w:style>
  <w:style w:type="numbering" w:customStyle="1" w:styleId="Bullet2">
    <w:name w:val="Bullet ➢"/>
    <w:qFormat/>
  </w:style>
  <w:style w:type="numbering" w:customStyle="1" w:styleId="Bullet3">
    <w:name w:val="Bullet ✗"/>
    <w:qFormat/>
  </w:style>
  <w:style w:type="numbering" w:customStyle="1" w:styleId="Numbering1">
    <w:name w:val="Numbering 1"/>
    <w:qFormat/>
  </w:style>
  <w:style w:type="numbering" w:customStyle="1" w:styleId="Numbering2">
    <w:name w:val="Numbering 2"/>
    <w:qFormat/>
  </w:style>
  <w:style w:type="numbering" w:customStyle="1" w:styleId="Numbering3">
    <w:name w:val="Numbering 3"/>
    <w:qFormat/>
  </w:style>
  <w:style w:type="numbering" w:customStyle="1" w:styleId="Numbering4">
    <w:name w:val="Numbering 4"/>
    <w:qFormat/>
  </w:style>
  <w:style w:type="numbering" w:customStyle="1" w:styleId="Numbering5">
    <w:name w:val="Numbering 5"/>
    <w:qFormat/>
  </w:style>
  <w:style w:type="character" w:styleId="Textodelmarcadordeposicin">
    <w:name w:val="Placeholder Text"/>
    <w:basedOn w:val="Fuentedeprrafopredeter"/>
    <w:uiPriority w:val="99"/>
    <w:semiHidden/>
    <w:rsid w:val="000C3E1C"/>
    <w:rPr>
      <w:color w:val="808080"/>
    </w:rPr>
  </w:style>
  <w:style w:type="paragraph" w:styleId="NormalWeb">
    <w:name w:val="Normal (Web)"/>
    <w:basedOn w:val="Normal"/>
    <w:uiPriority w:val="99"/>
    <w:unhideWhenUsed/>
    <w:rsid w:val="005D27B0"/>
    <w:pPr>
      <w:widowControl/>
      <w:suppressAutoHyphens w:val="0"/>
      <w:overflowPunct/>
      <w:spacing w:before="100" w:beforeAutospacing="1" w:after="100" w:afterAutospacing="1"/>
    </w:pPr>
    <w:rPr>
      <w:rFonts w:eastAsia="Times New Roman" w:cs="Times New Roman"/>
      <w:kern w:val="0"/>
      <w:lang w:val="es-ES"/>
    </w:rPr>
  </w:style>
  <w:style w:type="character" w:customStyle="1" w:styleId="katex-mathml">
    <w:name w:val="katex-mathml"/>
    <w:basedOn w:val="Fuentedeprrafopredeter"/>
    <w:rsid w:val="00A9553C"/>
  </w:style>
  <w:style w:type="character" w:customStyle="1" w:styleId="mopen">
    <w:name w:val="mopen"/>
    <w:basedOn w:val="Fuentedeprrafopredeter"/>
    <w:rsid w:val="00A9553C"/>
  </w:style>
  <w:style w:type="character" w:customStyle="1" w:styleId="mord">
    <w:name w:val="mord"/>
    <w:basedOn w:val="Fuentedeprrafopredeter"/>
    <w:rsid w:val="00A9553C"/>
  </w:style>
  <w:style w:type="character" w:customStyle="1" w:styleId="mbin">
    <w:name w:val="mbin"/>
    <w:basedOn w:val="Fuentedeprrafopredeter"/>
    <w:rsid w:val="00A9553C"/>
  </w:style>
  <w:style w:type="character" w:customStyle="1" w:styleId="vlist-s">
    <w:name w:val="vlist-s"/>
    <w:basedOn w:val="Fuentedeprrafopredeter"/>
    <w:rsid w:val="00A9553C"/>
  </w:style>
  <w:style w:type="character" w:customStyle="1" w:styleId="mclose">
    <w:name w:val="mclose"/>
    <w:basedOn w:val="Fuentedeprrafopredeter"/>
    <w:rsid w:val="00A9553C"/>
  </w:style>
  <w:style w:type="character" w:customStyle="1" w:styleId="TextoindependienteCar">
    <w:name w:val="Texto independiente Car"/>
    <w:basedOn w:val="Fuentedeprrafopredeter"/>
    <w:link w:val="Textoindependiente"/>
    <w:rsid w:val="00EB7398"/>
  </w:style>
  <w:style w:type="character" w:customStyle="1" w:styleId="mpunct">
    <w:name w:val="mpunct"/>
    <w:basedOn w:val="Fuentedeprrafopredeter"/>
    <w:rsid w:val="007E4AF4"/>
  </w:style>
  <w:style w:type="character" w:customStyle="1" w:styleId="mspace">
    <w:name w:val="mspace"/>
    <w:basedOn w:val="Fuentedeprrafopredeter"/>
    <w:rsid w:val="007E4AF4"/>
  </w:style>
  <w:style w:type="table" w:styleId="Tablaconcuadrcula">
    <w:name w:val="Table Grid"/>
    <w:basedOn w:val="Tablanormal"/>
    <w:uiPriority w:val="39"/>
    <w:rsid w:val="00EB55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B7D60"/>
    <w:pPr>
      <w:tabs>
        <w:tab w:val="center" w:pos="4252"/>
        <w:tab w:val="right" w:pos="8504"/>
      </w:tabs>
    </w:pPr>
  </w:style>
  <w:style w:type="character" w:customStyle="1" w:styleId="EncabezadoCar">
    <w:name w:val="Encabezado Car"/>
    <w:basedOn w:val="Fuentedeprrafopredeter"/>
    <w:link w:val="Encabezado"/>
    <w:uiPriority w:val="99"/>
    <w:rsid w:val="008B7D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148261">
      <w:bodyDiv w:val="1"/>
      <w:marLeft w:val="0"/>
      <w:marRight w:val="0"/>
      <w:marTop w:val="0"/>
      <w:marBottom w:val="0"/>
      <w:divBdr>
        <w:top w:val="none" w:sz="0" w:space="0" w:color="auto"/>
        <w:left w:val="none" w:sz="0" w:space="0" w:color="auto"/>
        <w:bottom w:val="none" w:sz="0" w:space="0" w:color="auto"/>
        <w:right w:val="none" w:sz="0" w:space="0" w:color="auto"/>
      </w:divBdr>
    </w:div>
    <w:div w:id="733937883">
      <w:bodyDiv w:val="1"/>
      <w:marLeft w:val="0"/>
      <w:marRight w:val="0"/>
      <w:marTop w:val="0"/>
      <w:marBottom w:val="0"/>
      <w:divBdr>
        <w:top w:val="none" w:sz="0" w:space="0" w:color="auto"/>
        <w:left w:val="none" w:sz="0" w:space="0" w:color="auto"/>
        <w:bottom w:val="none" w:sz="0" w:space="0" w:color="auto"/>
        <w:right w:val="none" w:sz="0" w:space="0" w:color="auto"/>
      </w:divBdr>
    </w:div>
    <w:div w:id="742995374">
      <w:bodyDiv w:val="1"/>
      <w:marLeft w:val="0"/>
      <w:marRight w:val="0"/>
      <w:marTop w:val="0"/>
      <w:marBottom w:val="0"/>
      <w:divBdr>
        <w:top w:val="none" w:sz="0" w:space="0" w:color="auto"/>
        <w:left w:val="none" w:sz="0" w:space="0" w:color="auto"/>
        <w:bottom w:val="none" w:sz="0" w:space="0" w:color="auto"/>
        <w:right w:val="none" w:sz="0" w:space="0" w:color="auto"/>
      </w:divBdr>
    </w:div>
    <w:div w:id="1805392902">
      <w:bodyDiv w:val="1"/>
      <w:marLeft w:val="0"/>
      <w:marRight w:val="0"/>
      <w:marTop w:val="0"/>
      <w:marBottom w:val="0"/>
      <w:divBdr>
        <w:top w:val="none" w:sz="0" w:space="0" w:color="auto"/>
        <w:left w:val="none" w:sz="0" w:space="0" w:color="auto"/>
        <w:bottom w:val="none" w:sz="0" w:space="0" w:color="auto"/>
        <w:right w:val="none" w:sz="0" w:space="0" w:color="auto"/>
      </w:divBdr>
    </w:div>
    <w:div w:id="1831865448">
      <w:bodyDiv w:val="1"/>
      <w:marLeft w:val="0"/>
      <w:marRight w:val="0"/>
      <w:marTop w:val="0"/>
      <w:marBottom w:val="0"/>
      <w:divBdr>
        <w:top w:val="none" w:sz="0" w:space="0" w:color="auto"/>
        <w:left w:val="none" w:sz="0" w:space="0" w:color="auto"/>
        <w:bottom w:val="none" w:sz="0" w:space="0" w:color="auto"/>
        <w:right w:val="none" w:sz="0" w:space="0" w:color="auto"/>
      </w:divBdr>
    </w:div>
    <w:div w:id="1865706499">
      <w:bodyDiv w:val="1"/>
      <w:marLeft w:val="0"/>
      <w:marRight w:val="0"/>
      <w:marTop w:val="0"/>
      <w:marBottom w:val="0"/>
      <w:divBdr>
        <w:top w:val="none" w:sz="0" w:space="0" w:color="auto"/>
        <w:left w:val="none" w:sz="0" w:space="0" w:color="auto"/>
        <w:bottom w:val="none" w:sz="0" w:space="0" w:color="auto"/>
        <w:right w:val="none" w:sz="0" w:space="0" w:color="auto"/>
      </w:divBdr>
    </w:div>
    <w:div w:id="1948349667">
      <w:bodyDiv w:val="1"/>
      <w:marLeft w:val="0"/>
      <w:marRight w:val="0"/>
      <w:marTop w:val="0"/>
      <w:marBottom w:val="0"/>
      <w:divBdr>
        <w:top w:val="none" w:sz="0" w:space="0" w:color="auto"/>
        <w:left w:val="none" w:sz="0" w:space="0" w:color="auto"/>
        <w:bottom w:val="none" w:sz="0" w:space="0" w:color="auto"/>
        <w:right w:val="none" w:sz="0" w:space="0" w:color="auto"/>
      </w:divBdr>
    </w:div>
    <w:div w:id="21123856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jp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1955C1-E3BD-489C-A1DB-AC22DCA22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647</Words>
  <Characters>3563</Characters>
  <Application>Microsoft Office Word</Application>
  <DocSecurity>0</DocSecurity>
  <Lines>29</Lines>
  <Paragraphs>8</Paragraphs>
  <ScaleCrop>false</ScaleCrop>
  <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Javier Used Villuendas</cp:lastModifiedBy>
  <cp:revision>56</cp:revision>
  <dcterms:created xsi:type="dcterms:W3CDTF">2025-07-16T08:42:00Z</dcterms:created>
  <dcterms:modified xsi:type="dcterms:W3CDTF">2025-09-23T15:34:00Z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2025-07-04T12:59:44Z</dcterms:created>
  <dc:creator/>
  <dc:description/>
  <dc:language>en-US</dc:language>
  <cp:lastModifiedBy/>
  <dcterms:modified xsi:type="dcterms:W3CDTF">2025-07-15T13:29:27Z</dcterms:modified>
  <cp:revision>38</cp:revision>
  <dc:subject/>
  <dc:title/>
</cp:coreProperties>
</file>