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4.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superficie-de-líquidos-en-rotación"/>
    <w:p>
      <w:pPr>
        <w:pStyle w:val="Heading1"/>
      </w:pPr>
      <w:r>
        <w:t xml:space="preserve">Superficie de líquidos en rotación</w:t>
      </w:r>
    </w:p>
    <w:bookmarkStart w:id="20" w:name="objetivo"/>
    <w:p>
      <w:pPr>
        <w:pStyle w:val="Heading2"/>
      </w:pPr>
      <w:r>
        <w:t xml:space="preserve">Objetivo</w:t>
      </w:r>
    </w:p>
    <w:p>
      <w:pPr>
        <w:pStyle w:val="FirstParagraph"/>
      </w:pPr>
      <w:r>
        <w:t xml:space="preserve">Un recipiente que contiene un líquido se hace girar alrededor de un eje, adquiriendo la superficie del líquido la forma de una parábola. Se calculará el valor de la aceleración de la gravedad a partir de la relación entre la forma de la superficie del líquido y su velocidad angular bajo los efectos del campo gravitatorio y de la fuerza centrífuga.</w:t>
      </w:r>
    </w:p>
    <w:bookmarkEnd w:id="20"/>
    <w:bookmarkStart w:id="27" w:name="fundamento-teórico"/>
    <w:p>
      <w:pPr>
        <w:pStyle w:val="Heading2"/>
      </w:pPr>
      <w:r>
        <w:t xml:space="preserve">Fundamento teórico</w:t>
      </w:r>
    </w:p>
    <w:p>
      <w:pPr>
        <w:pStyle w:val="FirstParagraph"/>
      </w:pPr>
      <w:r>
        <w:t xml:space="preserve">Cuando un líquido en un recipiente se encuentra en reposo (</w:t>
      </w:r>
      <m:oMath>
        <m:r>
          <m:t>ω</m:t>
        </m:r>
        <m:r>
          <m:rPr>
            <m:sty m:val="p"/>
          </m:rPr>
          <m:t>=</m:t>
        </m:r>
        <m:r>
          <m:t>0</m:t>
        </m:r>
      </m:oMath>
      <w:r>
        <w:t xml:space="preserve">) su superficie es horizontal. Cuando el eje del recipiente se conecta a un motor de velocidad angular variable, la superficie del líquido cambia de forma. Podemos determinar la ecuación que describe la forma de la superficie a partir de las fuerzas que se ejercen sobre las moléculas del fluido.</w:t>
      </w:r>
    </w:p>
    <w:p>
      <w:pPr>
        <w:pStyle w:val="CaptionedFigure"/>
      </w:pPr>
      <w:r>
        <w:drawing>
          <wp:inline>
            <wp:extent cx="2879999" cy="2506096"/>
            <wp:effectExtent b="0" l="0" r="0" t="0"/>
            <wp:docPr descr="" title="" id="22" name="Picture"/>
            <a:graphic>
              <a:graphicData uri="http://schemas.openxmlformats.org/drawingml/2006/picture">
                <pic:pic>
                  <pic:nvPicPr>
                    <pic:cNvPr descr="png/recipiente.png" id="23" name="Picture"/>
                    <pic:cNvPicPr>
                      <a:picLocks noChangeArrowheads="1" noChangeAspect="1"/>
                    </pic:cNvPicPr>
                  </pic:nvPicPr>
                  <pic:blipFill>
                    <a:blip r:embed="rId21"/>
                    <a:stretch>
                      <a:fillRect/>
                    </a:stretch>
                  </pic:blipFill>
                  <pic:spPr bwMode="auto">
                    <a:xfrm>
                      <a:off x="0" y="0"/>
                      <a:ext cx="2879999" cy="2506096"/>
                    </a:xfrm>
                    <a:prstGeom prst="rect">
                      <a:avLst/>
                    </a:prstGeom>
                    <a:noFill/>
                    <a:ln w="9525">
                      <a:noFill/>
                      <a:headEnd/>
                      <a:tailEnd/>
                    </a:ln>
                  </pic:spPr>
                </pic:pic>
              </a:graphicData>
            </a:graphic>
          </wp:inline>
        </w:drawing>
      </w:r>
    </w:p>
    <w:p>
      <w:pPr>
        <w:pStyle w:val="ImageCaption"/>
      </w:pPr>
      <w:r>
        <w:t xml:space="preserve">Figura 1.1: Fuerzas sobre el líquido en rotación.</w:t>
      </w:r>
    </w:p>
    <w:p>
      <w:pPr>
        <w:pStyle w:val="BodyText"/>
      </w:pPr>
      <w:r>
        <w:t xml:space="preserve">Desde el punto de vista del observador en rotación, las fuerzas que actúan sobre una partícula de masa</w:t>
      </w:r>
      <w:r>
        <w:t xml:space="preserve"> </w:t>
      </w:r>
      <m:oMath>
        <m:r>
          <m:t>m</m:t>
        </m:r>
      </m:oMath>
      <w:r>
        <w:t xml:space="preserve"> </w:t>
      </w:r>
      <w:r>
        <w:t xml:space="preserve">situada en su superficie, a una distancia</w:t>
      </w:r>
      <w:r>
        <w:t xml:space="preserve"> </w:t>
      </w:r>
      <m:oMath>
        <m:r>
          <m:t>x</m:t>
        </m:r>
      </m:oMath>
      <w:r>
        <w:t xml:space="preserve"> </w:t>
      </w:r>
      <w:r>
        <w:t xml:space="preserve">del eje de rotación, son:</w:t>
      </w:r>
    </w:p>
    <w:p>
      <w:pPr>
        <w:numPr>
          <w:ilvl w:val="0"/>
          <w:numId w:val="1001"/>
        </w:numPr>
      </w:pPr>
      <w:r>
        <w:t xml:space="preserve">El peso,</w:t>
      </w:r>
      <w:r>
        <w:t xml:space="preserve"> </w:t>
      </w:r>
      <m:oMath>
        <m:r>
          <m:rPr>
            <m:sty m:val="p"/>
          </m:rPr>
          <m:t>−</m:t>
        </m:r>
        <m:r>
          <m:t>m</m:t>
        </m:r>
        <m:r>
          <m:t>g</m:t>
        </m:r>
        <m:r>
          <m:rPr>
            <m:nor/>
            <m:sty m:val="b"/>
          </m:rPr>
          <m:t>j</m:t>
        </m:r>
      </m:oMath>
    </w:p>
    <w:p>
      <w:pPr>
        <w:numPr>
          <w:ilvl w:val="0"/>
          <w:numId w:val="1001"/>
        </w:numPr>
      </w:pPr>
      <w:r>
        <w:t xml:space="preserve">La fuerza centrífuga,</w:t>
      </w:r>
      <w:r>
        <w:t xml:space="preserve"> </w:t>
      </w:r>
      <m:oMath>
        <m:r>
          <m:t>m</m:t>
        </m:r>
        <m:sSup>
          <m:e>
            <m:r>
              <m:t>ω</m:t>
            </m:r>
          </m:e>
          <m:sup>
            <m:r>
              <m:t>2</m:t>
            </m:r>
          </m:sup>
        </m:sSup>
        <m:r>
          <m:t>x</m:t>
        </m:r>
        <m:r>
          <m:rPr>
            <m:nor/>
            <m:sty m:val="b"/>
          </m:rPr>
          <m:t>i</m:t>
        </m:r>
      </m:oMath>
    </w:p>
    <w:p>
      <w:pPr>
        <w:numPr>
          <w:ilvl w:val="0"/>
          <w:numId w:val="1001"/>
        </w:numPr>
      </w:pPr>
      <w:r>
        <w:t xml:space="preserve">La fuerza</w:t>
      </w:r>
      <w:r>
        <w:t xml:space="preserve"> </w:t>
      </w:r>
      <m:oMath>
        <m:r>
          <m:rPr>
            <m:sty m:val="b"/>
          </m:rPr>
          <m:t>R</m:t>
        </m:r>
      </m:oMath>
      <w:r>
        <w:t xml:space="preserve"> </w:t>
      </w:r>
      <w:r>
        <w:t xml:space="preserve">que ejercen las otras partículas de fluido sobre la partícula considerada.</w:t>
      </w:r>
    </w:p>
    <w:p>
      <w:pPr>
        <w:pStyle w:val="FirstParagraph"/>
      </w:pPr>
      <w:r>
        <w:t xml:space="preserve">Desde el punto de vista del observador no inercial, la partícula está en equilibrio, de manera que la resultante de las fuerzas que actúan sobre la partícula debe ser cero</w:t>
      </w:r>
    </w:p>
    <w:p>
      <w:pPr>
        <w:pStyle w:val="BodyText"/>
      </w:pPr>
      <m:oMathPara>
        <m:oMathParaPr>
          <m:jc m:val="center"/>
        </m:oMathParaPr>
        <m:oMath>
          <m:r>
            <m:rPr>
              <m:nor/>
              <m:sty m:val="b"/>
            </m:rPr>
            <m:t>R</m:t>
          </m:r>
          <m:r>
            <m:rPr>
              <m:sty m:val="p"/>
            </m:rPr>
            <m:t>−</m:t>
          </m:r>
          <m:r>
            <m:t>m</m:t>
          </m:r>
          <m:r>
            <m:t>g</m:t>
          </m:r>
          <m:r>
            <m:rPr>
              <m:nor/>
              <m:sty m:val="b"/>
            </m:rPr>
            <m:t>j</m:t>
          </m:r>
          <m:r>
            <m:rPr>
              <m:sty m:val="p"/>
            </m:rPr>
            <m:t>+</m:t>
          </m:r>
          <m:r>
            <m:t>m</m:t>
          </m:r>
          <m:sSup>
            <m:e>
              <m:r>
                <m:t>ω</m:t>
              </m:r>
            </m:e>
            <m:sup>
              <m:r>
                <m:t>2</m:t>
              </m:r>
            </m:sup>
          </m:sSup>
          <m:r>
            <m:t>x</m:t>
          </m:r>
          <m:r>
            <m:rPr>
              <m:nor/>
              <m:sty m:val="b"/>
            </m:rPr>
            <m:t>i</m:t>
          </m:r>
          <m:r>
            <m:rPr>
              <m:sty m:val="p"/>
            </m:rPr>
            <m:t>=</m:t>
          </m:r>
          <m:r>
            <m:t>0</m:t>
          </m:r>
          <m:r>
            <m:rPr>
              <m:sty m:val="p"/>
            </m:rPr>
            <m:t>.</m:t>
          </m:r>
          <m:r>
            <m:t> </m:t>
          </m:r>
          <m:r>
            <m:rPr>
              <m:nor/>
              <m:sty m:val="p"/>
            </m:rPr>
            <m:t>(1.1)</m:t>
          </m:r>
        </m:oMath>
      </m:oMathPara>
    </w:p>
    <w:p>
      <w:pPr>
        <w:pStyle w:val="FirstParagraph"/>
      </w:pPr>
      <w:r>
        <w:t xml:space="preserve">La forma de la superficie del líquido en equilibrio será tal que</w:t>
      </w:r>
      <w:r>
        <w:t xml:space="preserve"> </w:t>
      </w:r>
      <m:oMath>
        <m:r>
          <m:rPr>
            <m:sty m:val="b"/>
          </m:rPr>
          <m:t>R</m:t>
        </m:r>
      </m:oMath>
      <w:r>
        <w:t xml:space="preserve"> </w:t>
      </w:r>
      <w:r>
        <w:t xml:space="preserve">es perpendicular a la tangente a la curva en cada punto</w:t>
      </w:r>
      <w:r>
        <w:t xml:space="preserve"> </w:t>
      </w:r>
      <m:oMath>
        <m:r>
          <m:t>x</m:t>
        </m:r>
      </m:oMath>
      <w:r>
        <w:t xml:space="preserve">. Como vemos en la figura,</w:t>
      </w:r>
    </w:p>
    <w:p>
      <w:pPr>
        <w:pStyle w:val="BodyText"/>
      </w:pPr>
      <m:oMathPara>
        <m:oMathParaPr>
          <m:jc m:val="center"/>
        </m:oMathParaPr>
        <m:oMath>
          <m:r>
            <m:rPr>
              <m:sty m:val="p"/>
            </m:rPr>
            <m:t>tan</m:t>
          </m:r>
          <m:r>
            <m:t>θ</m:t>
          </m:r>
          <m:r>
            <m:rPr>
              <m:sty m:val="p"/>
            </m:rPr>
            <m:t>=</m:t>
          </m:r>
          <m:f>
            <m:fPr>
              <m:type m:val="bar"/>
            </m:fPr>
            <m:num>
              <m:r>
                <m:t>d</m:t>
              </m:r>
              <m:r>
                <m:t>y</m:t>
              </m:r>
            </m:num>
            <m:den>
              <m:r>
                <m:t>d</m:t>
              </m:r>
              <m:r>
                <m:t>x</m:t>
              </m:r>
            </m:den>
          </m:f>
          <m:r>
            <m:rPr>
              <m:sty m:val="p"/>
            </m:rPr>
            <m:t>=</m:t>
          </m:r>
          <m:f>
            <m:fPr>
              <m:type m:val="bar"/>
            </m:fPr>
            <m:num>
              <m:r>
                <m:t>m</m:t>
              </m:r>
              <m:sSup>
                <m:e>
                  <m:r>
                    <m:t>ω</m:t>
                  </m:r>
                </m:e>
                <m:sup>
                  <m:r>
                    <m:t>2</m:t>
                  </m:r>
                </m:sup>
              </m:sSup>
              <m:r>
                <m:t>x</m:t>
              </m:r>
            </m:num>
            <m:den>
              <m:r>
                <m:t>m</m:t>
              </m:r>
              <m:r>
                <m:t>g</m:t>
              </m:r>
            </m:den>
          </m:f>
          <m:r>
            <m:rPr>
              <m:sty m:val="p"/>
            </m:rPr>
            <m:t>.</m:t>
          </m:r>
          <m:r>
            <m:t> </m:t>
          </m:r>
          <m:r>
            <m:rPr>
              <m:nor/>
              <m:sty m:val="p"/>
            </m:rPr>
            <m:t>(1.2)</m:t>
          </m:r>
        </m:oMath>
      </m:oMathPara>
    </w:p>
    <w:p>
      <w:pPr>
        <w:pStyle w:val="FirstParagraph"/>
      </w:pPr>
      <w:r>
        <w:t xml:space="preserve">Integrando tenemos</w:t>
      </w:r>
    </w:p>
    <w:p>
      <w:pPr>
        <w:pStyle w:val="BodyText"/>
      </w:pPr>
      <m:oMathPara>
        <m:oMathParaPr>
          <m:jc m:val="center"/>
        </m:oMathParaPr>
        <m:oMath>
          <m:r>
            <m:t>y</m:t>
          </m:r>
          <m:r>
            <m:rPr>
              <m:sty m:val="p"/>
            </m:rPr>
            <m:t>=</m:t>
          </m:r>
          <m:f>
            <m:fPr>
              <m:type m:val="bar"/>
            </m:fPr>
            <m:num>
              <m:r>
                <m:t>1</m:t>
              </m:r>
            </m:num>
            <m:den>
              <m:r>
                <m:t>2</m:t>
              </m:r>
            </m:den>
          </m:f>
          <m:f>
            <m:fPr>
              <m:type m:val="bar"/>
            </m:fPr>
            <m:num>
              <m:sSup>
                <m:e>
                  <m:r>
                    <m:t>ω</m:t>
                  </m:r>
                </m:e>
                <m:sup>
                  <m:r>
                    <m:t>2</m:t>
                  </m:r>
                </m:sup>
              </m:sSup>
            </m:num>
            <m:den>
              <m:r>
                <m:t>g</m:t>
              </m:r>
            </m:den>
          </m:f>
          <m:sSup>
            <m:e>
              <m:r>
                <m:t>x</m:t>
              </m:r>
            </m:e>
            <m:sup>
              <m:r>
                <m:t>2</m:t>
              </m:r>
            </m:sup>
          </m:sSup>
          <m:r>
            <m:rPr>
              <m:sty m:val="p"/>
            </m:rPr>
            <m:t>+</m:t>
          </m:r>
          <m:r>
            <m:t>c</m:t>
          </m:r>
          <m:r>
            <m:t> </m:t>
          </m:r>
          <m:r>
            <m:rPr>
              <m:nor/>
              <m:sty m:val="p"/>
            </m:rPr>
            <m:t>(1.3)</m:t>
          </m:r>
        </m:oMath>
      </m:oMathPara>
    </w:p>
    <w:p>
      <w:pPr>
        <w:pStyle w:val="FirstParagraph"/>
      </w:pPr>
      <w:r>
        <w:t xml:space="preserve">que es la ecuación de una parábola simétrica respecto del eje</w:t>
      </w:r>
      <w:r>
        <w:t xml:space="preserve"> </w:t>
      </w:r>
      <m:oMath>
        <m:r>
          <m:t>Y</m:t>
        </m:r>
      </m:oMath>
      <w:r>
        <w:t xml:space="preserve">.</w:t>
      </w:r>
    </w:p>
    <w:p>
      <w:pPr>
        <w:pStyle w:val="CaptionedFigure"/>
      </w:pPr>
      <w:r>
        <w:drawing>
          <wp:inline>
            <wp:extent cx="2879999" cy="3067012"/>
            <wp:effectExtent b="0" l="0" r="0" t="0"/>
            <wp:docPr descr="" title="" id="25" name="Picture"/>
            <a:graphic>
              <a:graphicData uri="http://schemas.openxmlformats.org/drawingml/2006/picture">
                <pic:pic>
                  <pic:nvPicPr>
                    <pic:cNvPr descr="png/desplazamiento.png" id="26" name="Picture"/>
                    <pic:cNvPicPr>
                      <a:picLocks noChangeArrowheads="1" noChangeAspect="1"/>
                    </pic:cNvPicPr>
                  </pic:nvPicPr>
                  <pic:blipFill>
                    <a:blip r:embed="rId24"/>
                    <a:stretch>
                      <a:fillRect/>
                    </a:stretch>
                  </pic:blipFill>
                  <pic:spPr bwMode="auto">
                    <a:xfrm>
                      <a:off x="0" y="0"/>
                      <a:ext cx="2879999" cy="3067012"/>
                    </a:xfrm>
                    <a:prstGeom prst="rect">
                      <a:avLst/>
                    </a:prstGeom>
                    <a:noFill/>
                    <a:ln w="9525">
                      <a:noFill/>
                      <a:headEnd/>
                      <a:tailEnd/>
                    </a:ln>
                  </pic:spPr>
                </pic:pic>
              </a:graphicData>
            </a:graphic>
          </wp:inline>
        </w:drawing>
      </w:r>
    </w:p>
    <w:p>
      <w:pPr>
        <w:pStyle w:val="ImageCaption"/>
      </w:pPr>
      <w:r>
        <w:t xml:space="preserve">Figura 1.2: Desplazamiento de la superficie del líquido en rotación.</w:t>
      </w:r>
    </w:p>
    <w:p>
      <w:pPr>
        <w:pStyle w:val="BodyText"/>
      </w:pPr>
      <w:r>
        <w:t xml:space="preserve">Para determinar la constante de integración</w:t>
      </w:r>
      <w:r>
        <w:t xml:space="preserve"> </w:t>
      </w:r>
      <m:oMath>
        <m:r>
          <m:t>c</m:t>
        </m:r>
      </m:oMath>
      <w:r>
        <w:t xml:space="preserve"> </w:t>
      </w:r>
      <w:r>
        <w:t xml:space="preserve">(punto más bajo de la parábola), supondremos que el líquido es incompresible y compararemos la situación inicial, cuando la superficie del fluido es horizontal, con la situación final, cuando la velocidad angular de rotación es</w:t>
      </w:r>
      <w:r>
        <w:t xml:space="preserve"> </w:t>
      </w:r>
      <m:oMath>
        <m:r>
          <m:t>ω</m:t>
        </m:r>
      </m:oMath>
      <w:r>
        <w:t xml:space="preserve">. Si suponemos un recipiente de anchura</w:t>
      </w:r>
      <w:r>
        <w:t xml:space="preserve"> </w:t>
      </w:r>
      <m:oMath>
        <m:r>
          <m:t>2</m:t>
        </m:r>
        <m:r>
          <m:t>a</m:t>
        </m:r>
      </m:oMath>
      <w:r>
        <w:t xml:space="preserve">, la forma de la superficie en la situación incial es el segmento de la recta</w:t>
      </w:r>
      <w:r>
        <w:t xml:space="preserve"> </w:t>
      </w:r>
      <m:oMath>
        <m:r>
          <m:t>y</m:t>
        </m:r>
        <m:r>
          <m:rPr>
            <m:sty m:val="p"/>
          </m:rPr>
          <m:t>=</m:t>
        </m:r>
        <m:r>
          <m:t>0</m:t>
        </m:r>
      </m:oMath>
      <w:r>
        <w:t xml:space="preserve"> </w:t>
      </w:r>
      <w:r>
        <w:t xml:space="preserve">comprendido entre</w:t>
      </w:r>
      <w:r>
        <w:t xml:space="preserve"> </w:t>
      </w:r>
      <m:oMath>
        <m:r>
          <m:rPr>
            <m:sty m:val="p"/>
          </m:rPr>
          <m:t>−</m:t>
        </m:r>
        <m:r>
          <m:t>a</m:t>
        </m:r>
      </m:oMath>
      <w:r>
        <w:t xml:space="preserve"> </w:t>
      </w:r>
      <w:r>
        <w:t xml:space="preserve">y</w:t>
      </w:r>
      <w:r>
        <w:t xml:space="preserve"> </w:t>
      </w:r>
      <m:oMath>
        <m:r>
          <m:t>a</m:t>
        </m:r>
      </m:oMath>
      <w:r>
        <w:t xml:space="preserve">. El líquido al rotar se hunde por la parte cercana al eje de rotación y se eleva en la parte colindante con las paredes del recipiente. Si llamamos</w:t>
      </w:r>
      <w:r>
        <w:t xml:space="preserve"> </w:t>
      </w:r>
      <m:oMath>
        <m:r>
          <m:t>y</m:t>
        </m:r>
      </m:oMath>
      <w:r>
        <w:t xml:space="preserve"> </w:t>
      </w:r>
      <w:r>
        <w:t xml:space="preserve">al desplazamiento vertical de la superficie del fluido asociado a un determinado valor de</w:t>
      </w:r>
      <w:r>
        <w:t xml:space="preserve"> </w:t>
      </w:r>
      <m:oMath>
        <m:r>
          <m:t>x</m:t>
        </m:r>
      </m:oMath>
      <w:r>
        <w:t xml:space="preserve">, se debe cumplir el principio de conservación de la masa, con lo cual:</w:t>
      </w:r>
    </w:p>
    <w:p>
      <w:pPr>
        <w:pStyle w:val="BodyText"/>
      </w:pPr>
      <m:oMathPara>
        <m:oMathParaPr>
          <m:jc m:val="center"/>
        </m:oMathParaPr>
        <m:oMath>
          <m:nary>
            <m:naryPr>
              <m:chr m:val="∫"/>
              <m:limLoc m:val="subSup"/>
              <m:subHide m:val="off"/>
              <m:supHide m:val="off"/>
            </m:naryPr>
            <m:sub>
              <m:r>
                <m:t>0</m:t>
              </m:r>
            </m:sub>
            <m:sup>
              <m:r>
                <m:t>a</m:t>
              </m:r>
            </m:sup>
            <m:e>
              <m:r>
                <m:t>y</m:t>
              </m:r>
            </m:e>
          </m:nary>
          <m:r>
            <m:t>d</m:t>
          </m:r>
          <m:r>
            <m:t>x</m:t>
          </m:r>
          <m:r>
            <m:rPr>
              <m:sty m:val="p"/>
            </m:rPr>
            <m:t>=</m:t>
          </m:r>
          <m:r>
            <m:t>0</m:t>
          </m:r>
          <m:r>
            <m:rPr>
              <m:sty m:val="p"/>
            </m:rPr>
            <m:t>.</m:t>
          </m:r>
          <m:r>
            <m:t> </m:t>
          </m:r>
          <m:r>
            <m:rPr>
              <m:nor/>
              <m:sty m:val="p"/>
            </m:rPr>
            <m:t>(1.4)</m:t>
          </m:r>
        </m:oMath>
      </m:oMathPara>
    </w:p>
    <w:p>
      <w:pPr>
        <w:pStyle w:val="FirstParagraph"/>
      </w:pPr>
      <w:r>
        <w:t xml:space="preserve">La ordenada</w:t>
      </w:r>
      <w:r>
        <w:t xml:space="preserve"> </w:t>
      </w:r>
      <m:oMath>
        <m:r>
          <m:t>c</m:t>
        </m:r>
      </m:oMath>
      <w:r>
        <w:t xml:space="preserve"> </w:t>
      </w:r>
      <w:r>
        <w:t xml:space="preserve">del punto más bajo de la parábola valdrá entonces</w:t>
      </w:r>
    </w:p>
    <w:p>
      <w:pPr>
        <w:pStyle w:val="BodyText"/>
      </w:pPr>
      <m:oMathPara>
        <m:oMathParaPr>
          <m:jc m:val="center"/>
        </m:oMathParaPr>
        <m:oMath>
          <m:r>
            <m:t>c</m:t>
          </m:r>
          <m:r>
            <m:rPr>
              <m:sty m:val="p"/>
            </m:rPr>
            <m:t>=</m:t>
          </m:r>
          <m:r>
            <m:rPr>
              <m:sty m:val="p"/>
            </m:rPr>
            <m:t>−</m:t>
          </m:r>
          <m:f>
            <m:fPr>
              <m:type m:val="bar"/>
            </m:fPr>
            <m:num>
              <m:r>
                <m:t>1</m:t>
              </m:r>
            </m:num>
            <m:den>
              <m:r>
                <m:t>6</m:t>
              </m:r>
            </m:den>
          </m:f>
          <m:f>
            <m:fPr>
              <m:type m:val="bar"/>
            </m:fPr>
            <m:num>
              <m:sSup>
                <m:e>
                  <m:r>
                    <m:t>ω</m:t>
                  </m:r>
                </m:e>
                <m:sup>
                  <m:r>
                    <m:t>2</m:t>
                  </m:r>
                </m:sup>
              </m:sSup>
              <m:sSup>
                <m:e>
                  <m:r>
                    <m:t>a</m:t>
                  </m:r>
                </m:e>
                <m:sup>
                  <m:r>
                    <m:t>2</m:t>
                  </m:r>
                </m:sup>
              </m:sSup>
            </m:num>
            <m:den>
              <m:r>
                <m:t>g</m:t>
              </m:r>
            </m:den>
          </m:f>
          <m:r>
            <m:rPr>
              <m:sty m:val="p"/>
            </m:rPr>
            <m:t>,</m:t>
          </m:r>
          <m:r>
            <m:t> </m:t>
          </m:r>
          <m:r>
            <m:rPr>
              <m:nor/>
              <m:sty m:val="p"/>
            </m:rPr>
            <m:t>(1.5)</m:t>
          </m:r>
        </m:oMath>
      </m:oMathPara>
    </w:p>
    <w:p>
      <w:pPr>
        <w:pStyle w:val="FirstParagraph"/>
      </w:pPr>
      <w:r>
        <w:t xml:space="preserve">siendo la ecuación de la parábola</w:t>
      </w:r>
    </w:p>
    <w:p>
      <w:pPr>
        <w:pStyle w:val="BodyText"/>
      </w:pPr>
      <m:oMathPara>
        <m:oMathParaPr>
          <m:jc m:val="center"/>
        </m:oMathParaPr>
        <m:oMath>
          <m:r>
            <m:t>y</m:t>
          </m:r>
          <m:r>
            <m:rPr>
              <m:sty m:val="p"/>
            </m:rPr>
            <m:t>=</m:t>
          </m:r>
          <m:f>
            <m:fPr>
              <m:type m:val="bar"/>
            </m:fPr>
            <m:num>
              <m:sSup>
                <m:e>
                  <m:r>
                    <m:t>ω</m:t>
                  </m:r>
                </m:e>
                <m:sup>
                  <m:r>
                    <m:t>2</m:t>
                  </m:r>
                </m:sup>
              </m:sSup>
            </m:num>
            <m:den>
              <m:r>
                <m:t>2</m:t>
              </m:r>
              <m:r>
                <m:t>g</m:t>
              </m:r>
            </m:den>
          </m:f>
          <m:d>
            <m:dPr>
              <m:begChr m:val="("/>
              <m:endChr m:val=")"/>
              <m:sepChr m:val=""/>
              <m:grow/>
            </m:dPr>
            <m:e>
              <m:sSup>
                <m:e>
                  <m:r>
                    <m:t>x</m:t>
                  </m:r>
                </m:e>
                <m:sup>
                  <m:r>
                    <m:t>2</m:t>
                  </m:r>
                </m:sup>
              </m:sSup>
              <m:r>
                <m:rPr>
                  <m:sty m:val="p"/>
                </m:rPr>
                <m:t>−</m:t>
              </m:r>
              <m:f>
                <m:fPr>
                  <m:type m:val="bar"/>
                </m:fPr>
                <m:num>
                  <m:sSup>
                    <m:e>
                      <m:r>
                        <m:t>a</m:t>
                      </m:r>
                    </m:e>
                    <m:sup>
                      <m:r>
                        <m:t>2</m:t>
                      </m:r>
                    </m:sup>
                  </m:sSup>
                </m:num>
                <m:den>
                  <m:r>
                    <m:t>3</m:t>
                  </m:r>
                </m:den>
              </m:f>
            </m:e>
          </m:d>
          <m:r>
            <m:rPr>
              <m:sty m:val="p"/>
            </m:rPr>
            <m:t>.</m:t>
          </m:r>
          <m:r>
            <m:t> </m:t>
          </m:r>
          <m:r>
            <m:rPr>
              <m:nor/>
              <m:sty m:val="p"/>
            </m:rPr>
            <m:t>(1.6)</m:t>
          </m:r>
        </m:oMath>
      </m:oMathPara>
    </w:p>
    <w:bookmarkEnd w:id="27"/>
    <w:bookmarkStart w:id="31" w:name="montaje-experimental"/>
    <w:p>
      <w:pPr>
        <w:pStyle w:val="Heading2"/>
      </w:pPr>
      <w:r>
        <w:t xml:space="preserve">Montaje Experimental</w:t>
      </w:r>
    </w:p>
    <w:p>
      <w:pPr>
        <w:pStyle w:val="FirstParagraph"/>
      </w:pPr>
      <w:r>
        <w:t xml:space="preserve">El montaje experimental es el de la figura 1.3. La altura de la superficie del líquido en la celda se selecciona de modo que coincida con la línea horizontal en la plancha de plexiglás, sobre la que se encuentran también dibujadas tres parábolas.</w:t>
      </w:r>
    </w:p>
    <w:p>
      <w:pPr>
        <w:pStyle w:val="CaptionedFigure"/>
      </w:pPr>
      <w:r>
        <w:drawing>
          <wp:inline>
            <wp:extent cx="3733800" cy="2726773"/>
            <wp:effectExtent b="0" l="0" r="0" t="0"/>
            <wp:docPr descr="" title="" id="29" name="Picture"/>
            <a:graphic>
              <a:graphicData uri="http://schemas.openxmlformats.org/drawingml/2006/picture">
                <pic:pic>
                  <pic:nvPicPr>
                    <pic:cNvPr descr="montaje.png" id="30" name="Picture"/>
                    <pic:cNvPicPr>
                      <a:picLocks noChangeArrowheads="1" noChangeAspect="1"/>
                    </pic:cNvPicPr>
                  </pic:nvPicPr>
                  <pic:blipFill>
                    <a:blip r:embed="rId28"/>
                    <a:stretch>
                      <a:fillRect/>
                    </a:stretch>
                  </pic:blipFill>
                  <pic:spPr bwMode="auto">
                    <a:xfrm>
                      <a:off x="0" y="0"/>
                      <a:ext cx="3733800" cy="2726773"/>
                    </a:xfrm>
                    <a:prstGeom prst="rect">
                      <a:avLst/>
                    </a:prstGeom>
                    <a:noFill/>
                    <a:ln w="9525">
                      <a:noFill/>
                      <a:headEnd/>
                      <a:tailEnd/>
                    </a:ln>
                  </pic:spPr>
                </pic:pic>
              </a:graphicData>
            </a:graphic>
          </wp:inline>
        </w:drawing>
      </w:r>
    </w:p>
    <w:p>
      <w:pPr>
        <w:pStyle w:val="ImageCaption"/>
      </w:pPr>
      <w:r>
        <w:t xml:space="preserve">Figura 1.3: Montaje experimental.</w:t>
      </w:r>
    </w:p>
    <w:p>
      <w:pPr>
        <w:pStyle w:val="BodyText"/>
      </w:pPr>
      <w:r>
        <w:t xml:space="preserve">Para asegurar una velocidad constante, es importante que la correa de transmisión entre el motor y la unidad de cojinetes se encuentre tensa y que la celda esté atornillada firmemente a la unidad de rodamiento.</w:t>
      </w:r>
    </w:p>
    <w:p>
      <w:pPr>
        <w:pStyle w:val="BodyText"/>
      </w:pPr>
      <w:r>
        <w:t xml:space="preserve">Para la medición del período se pega una pantalla de cartón rígido a un borde de la celda. En rotación, la pantalla interrumpe el trayecto de la luz de la barrera de luz tipo horquilla.</w:t>
      </w:r>
    </w:p>
    <w:bookmarkEnd w:id="31"/>
    <w:bookmarkStart w:id="32" w:name="resultados"/>
    <w:p>
      <w:pPr>
        <w:pStyle w:val="Heading2"/>
      </w:pPr>
      <w:r>
        <w:t xml:space="preserve">Resultados</w:t>
      </w:r>
    </w:p>
    <w:p>
      <w:pPr>
        <w:numPr>
          <w:ilvl w:val="0"/>
          <w:numId w:val="1002"/>
        </w:numPr>
      </w:pPr>
      <w:r>
        <w:t xml:space="preserve">Medir la anchura de la celda de líquido,</w:t>
      </w:r>
      <w:r>
        <w:t xml:space="preserve"> </w:t>
      </w:r>
      <m:oMath>
        <m:r>
          <m:t>2</m:t>
        </m:r>
        <m:r>
          <m:t>a</m:t>
        </m:r>
      </m:oMath>
      <w:r>
        <w:t xml:space="preserve">.</w:t>
      </w:r>
    </w:p>
    <w:p>
      <w:pPr>
        <w:numPr>
          <w:ilvl w:val="0"/>
          <w:numId w:val="1002"/>
        </w:numPr>
      </w:pPr>
      <w:r>
        <w:t xml:space="preserve">Regular el voltaje de la fuente de tensión hasta conseguir que el punto más bajo de la parábola</w:t>
      </w:r>
      <w:r>
        <w:t xml:space="preserve"> </w:t>
      </w:r>
      <m:oMath>
        <m:r>
          <m:t>c</m:t>
        </m:r>
      </m:oMath>
      <w:r>
        <w:t xml:space="preserve"> </w:t>
      </w:r>
      <w:r>
        <w:t xml:space="preserve">coincida con uno de los puntos señalados en la lámina graduada. A continuación, medir con un cronómetro el tiempo</w:t>
      </w:r>
      <w:r>
        <w:t xml:space="preserve"> </w:t>
      </w:r>
      <m:oMath>
        <m:sSub>
          <m:e>
            <m:r>
              <m:t>t</m:t>
            </m:r>
          </m:e>
          <m:sub>
            <m:r>
              <m:t>N</m:t>
            </m:r>
          </m:sub>
        </m:sSub>
      </m:oMath>
      <w:r>
        <w:t xml:space="preserve"> </w:t>
      </w:r>
      <w:r>
        <w:t xml:space="preserve">que tarda el sistema en describir</w:t>
      </w:r>
      <w:r>
        <w:t xml:space="preserve"> </w:t>
      </w:r>
      <m:oMath>
        <m:r>
          <m:t>N</m:t>
        </m:r>
        <m:r>
          <m:rPr>
            <m:sty m:val="p"/>
          </m:rPr>
          <m:t>=</m:t>
        </m:r>
        <m:r>
          <m:t>200</m:t>
        </m:r>
      </m:oMath>
      <w:r>
        <w:t xml:space="preserve"> </w:t>
      </w:r>
      <w:r>
        <w:t xml:space="preserve">vueltas. Utilizar para ello la puerta fotoeléctrica. Repetir el procedimiento</w:t>
      </w:r>
      <w:r>
        <w:t xml:space="preserve"> </w:t>
      </w:r>
      <m:oMath>
        <m:r>
          <m:t>3</m:t>
        </m:r>
      </m:oMath>
      <w:r>
        <w:t xml:space="preserve"> </w:t>
      </w:r>
      <w:r>
        <w:t xml:space="preserve">veces para</w:t>
      </w:r>
      <w:r>
        <w:t xml:space="preserve"> </w:t>
      </w:r>
      <m:oMath>
        <m:r>
          <m:t>9</m:t>
        </m:r>
      </m:oMath>
      <w:r>
        <w:t xml:space="preserve"> </w:t>
      </w:r>
      <w:r>
        <w:t xml:space="preserve">valores distintos de</w:t>
      </w:r>
      <w:r>
        <w:t xml:space="preserve"> </w:t>
      </w:r>
      <m:oMath>
        <m:r>
          <m:t>c</m:t>
        </m:r>
      </m:oMath>
      <w:r>
        <w:t xml:space="preserve">. Para cada serie de medidas, calcular la velocidad angular</w:t>
      </w:r>
      <w:r>
        <w:t xml:space="preserve"> </w:t>
      </w:r>
      <m:oMath>
        <m:r>
          <m:t>ω</m:t>
        </m:r>
      </m:oMath>
      <w:r>
        <w:t xml:space="preserve"> </w:t>
      </w:r>
      <w:r>
        <w:t xml:space="preserve">y su cuadrado.</w:t>
      </w:r>
    </w:p>
    <w:tbl>
      <w:tblPr>
        <w:tblStyle w:val="Table"/>
        <w:tblW w:type="auto" w:w="0"/>
        <w:tblLook w:firstRow="1" w:lastRow="0" w:firstColumn="0" w:lastColumn="0" w:noHBand="0" w:noVBand="0" w:val="0020"/>
        <w:jc w:val="start"/>
        <w:tblInd w:w="720" w:type="dxa"/>
        <w:tblLayout w:type="fixed"/>
      </w:tblPr>
      <w:tblGrid>
        <w:gridCol w:w="836"/>
        <w:gridCol w:w="1171"/>
        <w:gridCol w:w="1171"/>
        <w:gridCol w:w="1171"/>
        <w:gridCol w:w="1171"/>
        <w:gridCol w:w="1171"/>
        <w:gridCol w:w="1171"/>
        <w:gridCol w:w="745"/>
        <w:gridCol w:w="743"/>
      </w:tblGrid>
      <w:tr>
        <w:trPr>
          <w:tblHeader w:val="true"/>
        </w:trPr>
        <w:tc>
          <w:tcPr/>
          <w:p>
            <w:pPr>
              <w:pStyle w:val="Compact"/>
              <w:jc w:val="center"/>
            </w:pPr>
            <m:oMath>
              <m:r>
                <m:t>c</m:t>
              </m:r>
              <m:r>
                <m:rPr>
                  <m:sty m:val="p"/>
                </m:rPr>
                <m:t>±</m:t>
              </m:r>
              <m:sSub>
                <m:e>
                  <m:r>
                    <m:t>ε</m:t>
                  </m:r>
                </m:e>
                <m:sub>
                  <m:r>
                    <m:t>c</m:t>
                  </m:r>
                </m:sub>
              </m:sSub>
            </m:oMath>
          </w:p>
        </w:tc>
        <w:tc>
          <w:tcPr>
            <w:gridSpan w:val="3"/>
          </w:tcPr>
          <w:p>
            <w:pPr>
              <w:pStyle w:val="Compact"/>
              <w:jc w:val="center"/>
            </w:pPr>
            <m:oMath>
              <m:sSub>
                <m:e>
                  <m:r>
                    <m:t>t</m:t>
                  </m:r>
                </m:e>
                <m:sub>
                  <m:r>
                    <m:t>N</m:t>
                  </m:r>
                </m:sub>
              </m:sSub>
              <m:r>
                <m:rPr>
                  <m:sty m:val="p"/>
                </m:rPr>
                <m:t>±</m:t>
              </m:r>
              <m:sSub>
                <m:e>
                  <m:r>
                    <m:t>ε</m:t>
                  </m:r>
                </m:e>
                <m:sub>
                  <m:sSub>
                    <m:e>
                      <m:r>
                        <m:t>t</m:t>
                      </m:r>
                    </m:e>
                    <m:sub>
                      <m:r>
                        <m:t>N</m:t>
                      </m:r>
                    </m:sub>
                  </m:sSub>
                </m:sub>
              </m:sSub>
            </m:oMath>
          </w:p>
        </w:tc>
        <w:tc>
          <w:tcPr/>
          <w:p>
            <w:pPr>
              <w:pStyle w:val="Compact"/>
              <w:jc w:val="center"/>
            </w:pPr>
            <m:oMath>
              <m:bar>
                <m:barPr>
                  <m:pos m:val="top"/>
                </m:barPr>
                <m:e>
                  <m:sSub>
                    <m:e>
                      <m:r>
                        <m:t>t</m:t>
                      </m:r>
                    </m:e>
                    <m:sub>
                      <m:r>
                        <m:t>N</m:t>
                      </m:r>
                    </m:sub>
                  </m:sSub>
                </m:e>
              </m:bar>
              <m:r>
                <m:rPr>
                  <m:sty m:val="p"/>
                </m:rPr>
                <m:t>±</m:t>
              </m:r>
              <m:sSub>
                <m:e>
                  <m:r>
                    <m:t>ε</m:t>
                  </m:r>
                </m:e>
                <m:sub>
                  <m:bar>
                    <m:barPr>
                      <m:pos m:val="top"/>
                    </m:barPr>
                    <m:e>
                      <m:sSub>
                        <m:e>
                          <m:r>
                            <m:t>t</m:t>
                          </m:r>
                        </m:e>
                        <m:sub>
                          <m:r>
                            <m:t>N</m:t>
                          </m:r>
                        </m:sub>
                      </m:sSub>
                    </m:e>
                  </m:bar>
                </m:sub>
              </m:sSub>
            </m:oMath>
          </w:p>
        </w:tc>
        <w:tc>
          <w:tcPr/>
          <w:p>
            <w:pPr>
              <w:pStyle w:val="Compact"/>
              <w:jc w:val="center"/>
            </w:pPr>
            <m:oMath>
              <m:r>
                <m:t>ω</m:t>
              </m:r>
              <m:r>
                <m:rPr>
                  <m:sty m:val="p"/>
                </m:rPr>
                <m:t>±</m:t>
              </m:r>
              <m:sSub>
                <m:e>
                  <m:r>
                    <m:t>ε</m:t>
                  </m:r>
                </m:e>
                <m:sub>
                  <m:r>
                    <m:t>ω</m:t>
                  </m:r>
                </m:sub>
              </m:sSub>
            </m:oMath>
          </w:p>
        </w:tc>
        <w:tc>
          <w:tcPr/>
          <w:p>
            <w:pPr>
              <w:pStyle w:val="Compact"/>
              <w:jc w:val="center"/>
            </w:pPr>
            <m:oMath>
              <m:sSup>
                <m:e>
                  <m:r>
                    <m:t>ω</m:t>
                  </m:r>
                </m:e>
                <m:sup>
                  <m:r>
                    <m:t>2</m:t>
                  </m:r>
                </m:sup>
              </m:sSup>
              <m:r>
                <m:rPr>
                  <m:sty m:val="p"/>
                </m:rPr>
                <m:t>±</m:t>
              </m:r>
              <m:sSub>
                <m:e>
                  <m:r>
                    <m:t>ε</m:t>
                  </m:r>
                </m:e>
                <m:sub>
                  <m:sSup>
                    <m:e>
                      <m:r>
                        <m:t>ω</m:t>
                      </m:r>
                    </m:e>
                    <m:sup>
                      <m:r>
                        <m:t>2</m:t>
                      </m:r>
                    </m:sup>
                  </m:sSup>
                </m:sub>
              </m:sSub>
            </m:oMath>
          </w:p>
        </w:tc>
        <w:tc>
          <w:tcPr/>
          <w:p>
            <w:pPr>
              <w:pStyle w:val="Compact"/>
            </w:pPr>
          </w:p>
        </w:tc>
        <w:tc>
          <w:tcPr/>
          <w:p>
            <w:pPr>
              <w:pStyle w:val="Compact"/>
            </w:pPr>
          </w:p>
        </w:tc>
      </w:tr>
      <w:tr>
        <w:tc>
          <w:tcPr/>
          <w:p>
            <w:pPr>
              <w:pStyle w:val="Compact"/>
              <w:jc w:val="center"/>
            </w:pPr>
            <w:r>
              <w:t xml:space="preserve">-0.01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pPr>
          </w:p>
        </w:tc>
        <w:tc>
          <w:tcPr/>
          <w:p>
            <w:pPr>
              <w:pStyle w:val="Compact"/>
            </w:pPr>
          </w:p>
        </w:tc>
        <w:tc>
          <w:tcPr/>
          <w:p>
            <w:pPr>
              <w:pStyle w:val="Compact"/>
            </w:pPr>
          </w:p>
        </w:tc>
      </w:tr>
      <w:tr>
        <w:tc>
          <w:tcPr/>
          <w:p>
            <w:pPr>
              <w:pStyle w:val="Compact"/>
              <w:jc w:val="center"/>
            </w:pPr>
            <w:r>
              <w:t xml:space="preserve">-0.09</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2"/>
        </w:numPr>
      </w:pPr>
      <w:r>
        <w:t xml:space="preserve">Representar gráficamente la ordenada</w:t>
      </w:r>
      <w:r>
        <w:t xml:space="preserve"> </w:t>
      </w:r>
      <m:oMath>
        <m:r>
          <m:t>c</m:t>
        </m:r>
      </m:oMath>
      <w:r>
        <w:t xml:space="preserve"> </w:t>
      </w:r>
      <w:r>
        <w:t xml:space="preserve">del punto más bajo de la parábola del líquido en rotación en función del cuadrado de la velocidad angular,</w:t>
      </w:r>
      <w:r>
        <w:t xml:space="preserve"> </w:t>
      </w:r>
      <m:oMath>
        <m:sSup>
          <m:e>
            <m:r>
              <m:t>ω</m:t>
            </m:r>
          </m:e>
          <m:sup>
            <m:r>
              <m:t>2</m:t>
            </m:r>
          </m:sup>
        </m:sSup>
      </m:oMath>
      <w:r>
        <w:t xml:space="preserve">. Calcular el coeficiente de correlación lineal</w:t>
      </w:r>
      <w:r>
        <w:t xml:space="preserve"> </w:t>
      </w:r>
      <m:oMath>
        <m:r>
          <m:t>r</m:t>
        </m:r>
      </m:oMath>
      <w:r>
        <w:t xml:space="preserve">, la</w:t>
      </w:r>
      <w:r>
        <w:t xml:space="preserve"> </w:t>
      </w:r>
      <w:r>
        <w:t xml:space="preserve">pendiente</w:t>
      </w:r>
      <w:r>
        <w:t xml:space="preserve"> </w:t>
      </w:r>
      <m:oMath>
        <m:r>
          <m:t>m</m:t>
        </m:r>
      </m:oMath>
      <w:r>
        <w:t xml:space="preserve">, la ordenada en el origen</w:t>
      </w:r>
      <w:r>
        <w:t xml:space="preserve"> </w:t>
      </w:r>
      <m:oMath>
        <m:r>
          <m:t>n</m:t>
        </m:r>
      </m:oMath>
      <w:r>
        <w:t xml:space="preserve">, y trazar la recta de mínimos cuadrados</w:t>
      </w:r>
      <w:r>
        <w:t xml:space="preserve"> </w:t>
      </w:r>
      <m:oMath>
        <m:r>
          <m:t>c</m:t>
        </m:r>
        <m:r>
          <m:rPr>
            <m:sty m:val="p"/>
          </m:rPr>
          <m:t>=</m:t>
        </m:r>
        <m:r>
          <m:t>m</m:t>
        </m:r>
        <m:sSup>
          <m:e>
            <m:r>
              <m:t>ω</m:t>
            </m:r>
          </m:e>
          <m:sup>
            <m:r>
              <m:t>2</m:t>
            </m:r>
          </m:sup>
        </m:sSup>
        <m:r>
          <m:rPr>
            <m:sty m:val="p"/>
          </m:rPr>
          <m:t>+</m:t>
        </m:r>
        <m:r>
          <m:t>n</m:t>
        </m:r>
      </m:oMath>
      <w:r>
        <w:t xml:space="preserve"> </w:t>
      </w:r>
      <w:r>
        <w:t xml:space="preserve">sobre la representación anterior.</w:t>
      </w:r>
    </w:p>
    <w:p>
      <w:pPr>
        <w:pStyle w:val="BodyText"/>
      </w:pPr>
      <m:oMathPara>
        <m:oMathParaPr>
          <m:jc m:val="center"/>
        </m:oMathParaPr>
        <m:oMath>
          <m:r>
            <m:t>r</m:t>
          </m:r>
          <m:r>
            <m:rPr>
              <m:sty m:val="p"/>
            </m:rPr>
            <m:t>=</m:t>
          </m:r>
          <m:r>
            <m:rPr>
              <m:nor/>
              <m:sty m:val="p"/>
            </m:rPr>
            <m:t>                  </m:t>
          </m:r>
          <m:r>
            <m:t>m</m:t>
          </m:r>
          <m:r>
            <m:rPr>
              <m:sty m:val="p"/>
            </m:rPr>
            <m:t>±</m:t>
          </m:r>
          <m:sSub>
            <m:e>
              <m:r>
                <m:t>ε</m:t>
              </m:r>
            </m:e>
            <m:sub>
              <m:r>
                <m:t>m</m:t>
              </m:r>
            </m:sub>
          </m:sSub>
          <m:r>
            <m:rPr>
              <m:sty m:val="p"/>
            </m:rPr>
            <m:t>=</m:t>
          </m:r>
          <m:r>
            <m:rPr>
              <m:nor/>
              <m:sty m:val="p"/>
            </m:rPr>
            <m:t>                    </m:t>
          </m:r>
          <m:r>
            <m:t>n</m:t>
          </m:r>
          <m:r>
            <m:rPr>
              <m:sty m:val="p"/>
            </m:rPr>
            <m:t>±</m:t>
          </m:r>
          <m:sSub>
            <m:e>
              <m:r>
                <m:t>ε</m:t>
              </m:r>
            </m:e>
            <m:sub>
              <m:r>
                <m:t>n</m:t>
              </m:r>
            </m:sub>
          </m:sSub>
          <m:r>
            <m:rPr>
              <m:sty m:val="p"/>
            </m:rPr>
            <m:t>=</m:t>
          </m:r>
          <m:r>
            <m:rPr>
              <m:nor/>
              <m:sty m:val="p"/>
            </m:rPr>
            <m:t>                   </m:t>
          </m:r>
        </m:oMath>
      </m:oMathPara>
    </w:p>
    <w:p>
      <w:pPr>
        <w:numPr>
          <w:ilvl w:val="0"/>
          <w:numId w:val="1000"/>
        </w:numPr>
      </w:pPr>
      <w:r>
        <w:t xml:space="preserve">Por medio de estos valores, y usando la ecuación 1.5, calcular la aceleración de la gravedad,</w:t>
      </w:r>
      <w:r>
        <w:t xml:space="preserve"> </w:t>
      </w:r>
      <m:oMath>
        <m:r>
          <m:t>g</m:t>
        </m:r>
      </m:oMath>
      <w:r>
        <w:t xml:space="preserve">, y su correspondiente error.</w:t>
      </w:r>
    </w:p>
    <w:bookmarkEnd w:id="32"/>
    <w:bookmarkStart w:id="33" w:name="discusión"/>
    <w:p>
      <w:pPr>
        <w:pStyle w:val="Heading2"/>
      </w:pPr>
      <w:r>
        <w:t xml:space="preserve">Discusión</w:t>
      </w:r>
    </w:p>
    <w:p>
      <w:pPr>
        <w:pStyle w:val="FirstParagraph"/>
      </w:pPr>
      <w:r>
        <w:t xml:space="preserve">La discusión del experimento es libre, si bien es necesario aclarar al menos los siguientes aspectos:</w:t>
      </w:r>
    </w:p>
    <w:p>
      <w:pPr>
        <w:numPr>
          <w:ilvl w:val="0"/>
          <w:numId w:val="1003"/>
        </w:numPr>
      </w:pPr>
      <w:r>
        <w:t xml:space="preserve">Discutir de forma cuantitativa la precisión y la exactitud del valor obtenido para</w:t>
      </w:r>
      <w:r>
        <w:t xml:space="preserve"> </w:t>
      </w:r>
      <m:oMath>
        <m:r>
          <m:t>g</m:t>
        </m:r>
      </m:oMath>
      <w:r>
        <w:t xml:space="preserve">.</w:t>
      </w:r>
    </w:p>
    <w:p>
      <w:pPr>
        <w:numPr>
          <w:ilvl w:val="0"/>
          <w:numId w:val="1003"/>
        </w:numPr>
      </w:pPr>
      <w:r>
        <w:t xml:space="preserve">Discutir de forma cuantitativa las principales fuentes de error que afectan al cálculo de la aceleración de la gravedad. Si es viable experimentalmente, indicar de qué manera se podría reducir el error.</w:t>
      </w:r>
    </w:p>
    <w:bookmarkEnd w:id="33"/>
    <w:bookmarkStart w:id="34" w:name="cuestiones"/>
    <w:p>
      <w:pPr>
        <w:pStyle w:val="Heading2"/>
      </w:pPr>
      <w:r>
        <w:t xml:space="preserve">Cuestiones</w:t>
      </w:r>
    </w:p>
    <w:p>
      <w:pPr>
        <w:numPr>
          <w:ilvl w:val="0"/>
          <w:numId w:val="1004"/>
        </w:numPr>
      </w:pPr>
      <w:r>
        <w:t xml:space="preserve">Comentar si al hacer girar el recipiente, existe o no alguna molécula sobre la superficie que no se vea influenciada por dicho movimiento. De ser así, calcule las coordenadas de dicha molécula.</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2026-09-10T15:22:39Z</dcterms:created>
  <dcterms:modified xsi:type="dcterms:W3CDTF">2026-09-10T15:22:39Z</dcterms:modified>
</cp:coreProperties>
</file>

<file path=docProps/custom.xml><?xml version="1.0" encoding="utf-8"?>
<Properties xmlns="http://schemas.openxmlformats.org/officeDocument/2006/custom-properties" xmlns:vt="http://schemas.openxmlformats.org/officeDocument/2006/docPropsVTypes"/>
</file>