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odos-normales-de-vibración"/>
    <w:p>
      <w:pPr>
        <w:pStyle w:val="Heading1"/>
      </w:pPr>
      <w:r>
        <w:t xml:space="preserve">Modos normales de vibración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Una cuerda elástica cuyos extremos están fijos, y que está</w:t>
      </w:r>
      <w:r>
        <w:t xml:space="preserve"> </w:t>
      </w:r>
      <w:r>
        <w:t xml:space="preserve">sometida a una tensión determinada, se somete a vibraciones. Se comprobará si la relación entre la frecuencia del armónico fundamental y los armónicos superiores se ajusta a la ley teórica. También se determinará la densidad lineal de masa de la cuerda utilizando dos métodos distintos.</w:t>
      </w:r>
    </w:p>
    <w:bookmarkEnd w:id="20"/>
    <w:bookmarkStart w:id="24" w:name="fundamento-teórico"/>
    <w:p>
      <w:pPr>
        <w:pStyle w:val="Heading2"/>
      </w:pPr>
      <w:r>
        <w:t xml:space="preserve">Fundamento teórico</w:t>
      </w:r>
    </w:p>
    <w:p>
      <w:pPr>
        <w:pStyle w:val="FirstParagraph"/>
      </w:pPr>
      <w:r>
        <w:t xml:space="preserve">Vamos a estudiar las vibraciones transversales de una cuerda</w:t>
      </w:r>
      <w:r>
        <w:t xml:space="preserve"> </w:t>
      </w:r>
      <w:r>
        <w:t xml:space="preserve">homogénea de longitud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cuyos extremos están fijos. Bajo estas condiciones, la frecuencia del</w:t>
      </w:r>
      <w:r>
        <w:t xml:space="preserve"> </w:t>
      </w:r>
      <m:oMath>
        <m:r>
          <m:t>n</m:t>
        </m:r>
      </m:oMath>
      <w:r>
        <w:t xml:space="preserve">-ésimo armónico viene dada por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  <m:r>
                <m:t>l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μ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(3.1)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 la tensión de la cuerda y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su densidad lineal de masa.</w:t>
      </w:r>
    </w:p>
    <w:p>
      <w:pPr>
        <w:pStyle w:val="CaptionedFigure"/>
      </w:pPr>
      <w:r>
        <w:drawing>
          <wp:inline>
            <wp:extent cx="1959887" cy="23759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ng/modos_vib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887" cy="23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3.1: Armónico fundamental y armónicos</w:t>
      </w:r>
      <w:r>
        <w:t xml:space="preserve"> </w:t>
      </w:r>
      <w:r>
        <w:t xml:space="preserve">superiores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4"/>
    <w:bookmarkStart w:id="31" w:name="montaje-experimental"/>
    <w:p>
      <w:pPr>
        <w:pStyle w:val="Heading2"/>
      </w:pPr>
      <w:r>
        <w:t xml:space="preserve">Montaje experimental</w:t>
      </w:r>
    </w:p>
    <w:p>
      <w:pPr>
        <w:pStyle w:val="FirstParagraph"/>
      </w:pPr>
      <w:r>
        <w:t xml:space="preserve">Un extremo de la cuerda está conectado a un vibrador mecánico, mientras que del otro extremo cuelga un portapesas que permite regular la tensión. La cuerda pasa por una polea. La frecuencia de vibración puede ajustarse con precisión de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Hz utilizando el generador de funciones.</w:t>
      </w:r>
      <w:r>
        <w:br/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2053333" cy="1439999"/>
                  <wp:effectExtent b="0" l="0" r="0" t="0"/>
                  <wp:docPr descr="image" title="" id="26" name="Picture"/>
                  <a:graphic>
                    <a:graphicData uri="http://schemas.openxmlformats.org/drawingml/2006/picture">
                      <pic:pic>
                        <pic:nvPicPr>
                          <pic:cNvPr descr="vibrad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3333" cy="143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2152145" cy="1439999"/>
                  <wp:effectExtent b="0" l="0" r="0" t="0"/>
                  <wp:docPr descr="image" title="" id="29" name="Picture"/>
                  <a:graphic>
                    <a:graphicData uri="http://schemas.openxmlformats.org/drawingml/2006/picture">
                      <pic:pic>
                        <pic:nvPicPr>
                          <pic:cNvPr descr="generador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145" cy="143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Figura 3.2: Vibrador mecánico y generador de funciones.</w:t>
      </w:r>
    </w:p>
    <w:bookmarkEnd w:id="31"/>
    <w:bookmarkStart w:id="32" w:name="resultados"/>
    <w:p>
      <w:pPr>
        <w:pStyle w:val="Heading2"/>
      </w:pPr>
      <w:r>
        <w:t xml:space="preserve">Resultados</w:t>
      </w:r>
    </w:p>
    <w:p>
      <w:pPr>
        <w:pStyle w:val="FirstParagraph"/>
      </w:pPr>
      <w:r>
        <w:t xml:space="preserve">Ya que la cuerda es elástica, la densidad lineal de masa dependerá de la tensión a la que esté sometida. Las siguientes medidas nos permitirán estimar las características de la cuerda en las condiciones de experimentación.</w:t>
      </w:r>
    </w:p>
    <w:p>
      <w:pPr>
        <w:numPr>
          <w:ilvl w:val="0"/>
          <w:numId w:val="1001"/>
        </w:numPr>
      </w:pPr>
      <w:r>
        <w:t xml:space="preserve">Utilizando una báscula de precisión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g, medir la masa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de la cuerda que se utilizará en el experimento.</w:t>
      </w:r>
    </w:p>
    <w:p>
      <w:pPr>
        <w:numPr>
          <w:ilvl w:val="0"/>
          <w:numId w:val="1001"/>
        </w:numPr>
      </w:pPr>
      <w:r>
        <w:t xml:space="preserve">Atar un extremo de la cuerda a un dinamómetro de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N. Tras pasar la cuerda por la polea, colgar del extremo libre una masa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g. Desplazar el dinamómetro hasta que la distancia entre la cuerda y la polea sea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m. Esta será la longitud de cuerda que vibre durante el experimento. En estas condiciones, medir la tensión de la cuerda. Observar que no se cumple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m</m:t>
        </m:r>
        <m:r>
          <m:t>g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</m:oMath>
      </m:oMathPara>
    </w:p>
    <w:p>
      <w:pPr>
        <w:numPr>
          <w:ilvl w:val="0"/>
          <w:numId w:val="1001"/>
        </w:numPr>
      </w:pPr>
      <w:r>
        <w:t xml:space="preserve">No podemos medir la longitud total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de la cuerda de forma precisa mientras ésta pasa por la polea. Por lo tanto, retirar la cuerda y medir su longitud cuando su tensión es la medida en el apartado anterior.</w:t>
      </w:r>
    </w:p>
    <w:p>
      <w:pPr>
        <w:numPr>
          <w:ilvl w:val="0"/>
          <w:numId w:val="1001"/>
        </w:numPr>
      </w:pPr>
      <w:r>
        <w:t xml:space="preserve">Calcular la densidad lineal de masa,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L</m:t>
        </m:r>
      </m:oMath>
      <w:r>
        <w:t xml:space="preserve">, en las condiciones de experimentación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</m:oMath>
      </m:oMathPara>
    </w:p>
    <w:p>
      <w:pPr>
        <w:numPr>
          <w:ilvl w:val="0"/>
          <w:numId w:val="1001"/>
        </w:numPr>
      </w:pPr>
      <w:r>
        <w:t xml:space="preserve">Volver a la situación descrita en el punto</w:t>
      </w:r>
      <w:r>
        <w:t xml:space="preserve"> </w:t>
      </w:r>
      <m:oMath>
        <m:r>
          <m:t>2</m:t>
        </m:r>
      </m:oMath>
      <w:r>
        <w:t xml:space="preserve">, pero esta vez retirar el dinamómetro y en su lugar atar la cuerda al vibrador mecánico.</w:t>
      </w:r>
    </w:p>
    <w:p>
      <w:pPr>
        <w:numPr>
          <w:ilvl w:val="0"/>
          <w:numId w:val="1001"/>
        </w:numPr>
      </w:pPr>
      <w:r>
        <w:t xml:space="preserve">Comenzando 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Hz, incrementar la frecuencia de vibración en pasos de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Hz hasta observar los primeros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armónicos. En cada caso anotar la frecuencia armónica. Repetir el procedimiento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  <w:tblLayout w:type="fixed"/>
      </w:tblPr>
      <w:tblGrid>
        <w:gridCol w:w="705"/>
        <w:gridCol w:w="1206"/>
        <w:gridCol w:w="1206"/>
        <w:gridCol w:w="1206"/>
        <w:gridCol w:w="1206"/>
        <w:gridCol w:w="1206"/>
        <w:gridCol w:w="1206"/>
        <w:gridCol w:w="705"/>
        <w:gridCol w:w="70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>
            <w:gridSpan w:val="3"/>
          </w:tcPr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±</m:t>
              </m:r>
              <m:sSub>
                <m:e>
                  <m:r>
                    <m:t>ε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r>
                    <m:t>f</m:t>
                  </m:r>
                </m:e>
              </m:bar>
              <m:r>
                <m:rPr>
                  <m:sty m:val="p"/>
                </m:rPr>
                <m:t>±</m:t>
              </m:r>
              <m:sSub>
                <m:e>
                  <m:r>
                    <m:t>ε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f</m:t>
                      </m:r>
                    </m:e>
                  </m:ba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bar>
                <m:barPr>
                  <m:pos m:val="top"/>
                </m:barPr>
                <m:e>
                  <m:r>
                    <m:t>f</m:t>
                  </m:r>
                </m:e>
              </m:bar>
              <m:r>
                <m:rPr>
                  <m:sty m:val="p"/>
                </m:rPr>
                <m:t>±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ln</m:t>
                  </m:r>
                  <m:bar>
                    <m:barPr>
                      <m:pos m:val="top"/>
                    </m:barPr>
                    <m:e>
                      <m:r>
                        <m:t>f</m:t>
                      </m:r>
                    </m:e>
                  </m:ba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Representar gráficamente</w:t>
      </w:r>
      <w:r>
        <w:t xml:space="preserve"> </w:t>
      </w:r>
      <m:oMath>
        <m:r>
          <m:rPr>
            <m:sty m:val="p"/>
          </m:rPr>
          <m:t>ln</m:t>
        </m:r>
        <m:bar>
          <m:barPr>
            <m:pos m:val="top"/>
          </m:barPr>
          <m:e>
            <m:r>
              <m:t>f</m:t>
            </m:r>
          </m:e>
        </m:bar>
      </m:oMath>
      <w:r>
        <w:t xml:space="preserve"> </w:t>
      </w:r>
      <w:r>
        <w:t xml:space="preserve">en función de</w:t>
      </w:r>
      <w:r>
        <w:t xml:space="preserve"> </w:t>
      </w:r>
      <m:oMath>
        <m:r>
          <m:rPr>
            <m:sty m:val="p"/>
          </m:rPr>
          <m:t>ln</m:t>
        </m:r>
        <m:r>
          <m:t>n</m:t>
        </m:r>
      </m:oMath>
      <w:r>
        <w:t xml:space="preserve">.</w:t>
      </w:r>
      <w:r>
        <w:t xml:space="preserve"> </w:t>
      </w:r>
      <w:r>
        <w:t xml:space="preserve">Calcular el coeficiente de correlación lineal</w:t>
      </w:r>
      <w:r>
        <w:t xml:space="preserve"> </w:t>
      </w:r>
      <m:oMath>
        <m:r>
          <m:t>r</m:t>
        </m:r>
      </m:oMath>
      <w:r>
        <w:t xml:space="preserve">, la pendiente</w:t>
      </w:r>
      <w:r>
        <w:t xml:space="preserve"> </w:t>
      </w:r>
      <m:oMath>
        <m:r>
          <m:t>a</m:t>
        </m:r>
      </m:oMath>
      <w:r>
        <w:t xml:space="preserve">, y</w:t>
      </w:r>
      <w:r>
        <w:t xml:space="preserve"> </w:t>
      </w:r>
      <w:r>
        <w:t xml:space="preserve">la ordenada en el origen</w:t>
      </w:r>
      <w:r>
        <w:t xml:space="preserve"> </w:t>
      </w:r>
      <m:oMath>
        <m:r>
          <m:t>b</m:t>
        </m:r>
      </m:oMath>
      <w:r>
        <w:t xml:space="preserve">, y trazar sobre la representación anterior</w:t>
      </w:r>
      <w:r>
        <w:t xml:space="preserve"> </w:t>
      </w:r>
      <w:r>
        <w:t xml:space="preserve">la recta de mínimos cuadrados</w:t>
      </w:r>
      <w:r>
        <w:t xml:space="preserve"> </w:t>
      </w:r>
      <m:oMath>
        <m:r>
          <m:rPr>
            <m:sty m:val="p"/>
          </m:rPr>
          <m:t>ln</m:t>
        </m:r>
        <m:bar>
          <m:barPr>
            <m:pos m:val="top"/>
          </m:barPr>
          <m:e>
            <m:r>
              <m:t>f</m:t>
            </m:r>
          </m:e>
        </m:bar>
        <m:r>
          <m:rPr>
            <m:sty m:val="p"/>
          </m:rPr>
          <m:t>=</m:t>
        </m:r>
        <m:r>
          <m:t>a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  </m:t>
          </m:r>
          <m:r>
            <m:t> </m:t>
          </m:r>
          <m:r>
            <m:t> </m:t>
          </m:r>
          <m:r>
            <m:t>a</m:t>
          </m:r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  </m:t>
          </m:r>
          <m:r>
            <m:t> </m:t>
          </m:r>
          <m:r>
            <m:t>b</m:t>
          </m:r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 </m:t>
          </m:r>
          <m:r>
            <m:t> </m:t>
          </m:r>
          <m:r>
            <m:t> </m:t>
          </m:r>
          <m:r>
            <m:t> </m:t>
          </m:r>
          <m:r>
            <m:t> </m:t>
          </m:r>
          <m:r>
            <m:t> </m:t>
          </m:r>
          <m:r>
            <m:t> </m:t>
          </m:r>
          <m:r>
            <m:t> </m:t>
          </m:r>
          <m:r>
            <m:t> </m:t>
          </m:r>
          <m:r>
            <m:t> </m:t>
          </m:r>
        </m:oMath>
      </m:oMathPara>
    </w:p>
    <w:p>
      <w:pPr>
        <w:numPr>
          <w:ilvl w:val="0"/>
          <w:numId w:val="1001"/>
        </w:numPr>
      </w:pPr>
      <w:r>
        <w:t xml:space="preserve">A partir de la ordenada en el origen</w:t>
      </w:r>
      <w:r>
        <w:t xml:space="preserve"> </w:t>
      </w:r>
      <m:oMath>
        <m:r>
          <m:t>b</m:t>
        </m:r>
      </m:oMath>
      <w:r>
        <w:t xml:space="preserve">, calcular la densidad lineal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de la cuerda.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</m:oMath>
      </m:oMathPara>
    </w:p>
    <w:bookmarkEnd w:id="32"/>
    <w:bookmarkStart w:id="33" w:name="discusión"/>
    <w:p>
      <w:pPr>
        <w:pStyle w:val="Heading2"/>
      </w:pPr>
      <w:r>
        <w:t xml:space="preserve">Discusión</w:t>
      </w:r>
    </w:p>
    <w:p>
      <w:pPr>
        <w:pStyle w:val="FirstParagraph"/>
      </w:pPr>
      <w:r>
        <w:t xml:space="preserve">La discusión del experimento es libre, si bien es necesario aclarar al menos los siguientes aspectos:</w:t>
      </w:r>
    </w:p>
    <w:p>
      <w:pPr>
        <w:numPr>
          <w:ilvl w:val="0"/>
          <w:numId w:val="1002"/>
        </w:numPr>
      </w:pPr>
      <w:r>
        <w:t xml:space="preserve">Comparar, en términos de precisión y exactitud, el valor obtenido para la pendiente de la recta de mínimos cuadrados con el valor teórico esperado.</w:t>
      </w:r>
    </w:p>
    <w:p>
      <w:pPr>
        <w:numPr>
          <w:ilvl w:val="0"/>
          <w:numId w:val="1002"/>
        </w:numPr>
      </w:pPr>
      <w:r>
        <w:t xml:space="preserve">Comparar los dos valores obtenidos para la densidad lineal de la cuerda. ¿Son compatibles entre sí? ¿Cuál de ellos es más preciso?</w:t>
      </w:r>
    </w:p>
    <w:p>
      <w:pPr>
        <w:numPr>
          <w:ilvl w:val="0"/>
          <w:numId w:val="1002"/>
        </w:numPr>
      </w:pPr>
      <w:r>
        <w:t xml:space="preserve">Discutir de forma cuantitativa las principales fuentes de error que afectan al cálculo de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 Si es viable experimentalmente, indicar de qué manera se podría reducir el error.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" w:type="paragraph">
    <w:name w:val="Recuadro"/>
    <w:basedOn w:val="BodyText"/>
    <w:qFormat/>
    <w:pPr>
      <w:pBdr>
        <w:top w:color="000000" w:space="6" w:sz="8" w:val="single"/>
        <w:left w:color="000000" w:space="6" w:sz="8" w:val="single"/>
        <w:bottom w:color="000000" w:space="6" w:sz="8" w:val="single"/>
        <w:right w:color="000000" w:space="6" w:sz="8" w:val="single"/>
      </w:pBdr>
      <w:ind w:left="284" w:right="284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2026-09-10T15:22:39Z</dcterms:created>
  <dcterms:modified xsi:type="dcterms:W3CDTF">2026-09-10T15:22:39Z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