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ondas-sonoras-acopladas"/>
    <w:p>
      <w:pPr>
        <w:pStyle w:val="Heading1"/>
      </w:pPr>
      <w:r>
        <w:t xml:space="preserve">Ondas sonoras acopladas</w:t>
      </w:r>
    </w:p>
    <w:bookmarkStart w:id="20" w:name="objetivo"/>
    <w:p>
      <w:pPr>
        <w:pStyle w:val="Heading2"/>
      </w:pPr>
      <w:r>
        <w:t xml:space="preserve">Objetivo</w:t>
      </w:r>
    </w:p>
    <w:p>
      <w:pPr>
        <w:pStyle w:val="FirstParagraph"/>
      </w:pPr>
      <w:r>
        <w:t xml:space="preserve">El objetivo de la práctica es obtener el módulo de Young de una barra de aluminio que forma parte de un diapasón, así como observar el fenómeno de los batidos debido a la interferencia de ondas con frecuencia similar.</w:t>
      </w:r>
    </w:p>
    <w:bookmarkEnd w:id="20"/>
    <w:bookmarkStart w:id="27" w:name="fundamento-teórico"/>
    <w:p>
      <w:pPr>
        <w:pStyle w:val="Heading2"/>
      </w:pPr>
      <w:r>
        <w:t xml:space="preserve">Fundamento teórico</w:t>
      </w:r>
    </w:p>
    <w:p>
      <w:pPr>
        <w:pStyle w:val="FirstParagraph"/>
      </w:pPr>
      <w:r>
        <w:t xml:space="preserve">El módulo de Young,</w:t>
      </w:r>
      <w:r>
        <w:t xml:space="preserve"> </w:t>
      </w:r>
      <m:oMath>
        <m:r>
          <m:t>E</m:t>
        </m:r>
      </m:oMath>
      <w:r>
        <w:t xml:space="preserve">, es una propiedad mecánica que cuantifica la rigidez de un sólido a través de la relación entre la tensión mecánica aplicada y la deformación longitudinal resultante. Por ello es indispensable en muchos problemas de ingeniería civil y está directamente relacionado con la frecuencia de vibración de un sólido.</w:t>
      </w:r>
    </w:p>
    <w:p>
      <w:pPr>
        <w:pStyle w:val="BodyText"/>
      </w:pPr>
      <w:r>
        <w:t xml:space="preserve">Los diapasones están formados por dos barras de aluminio (u otro metal) fijadas por un extremo que vibran en torno a sus posiciones de equilibrio. Se utilizan fundamentalmente para estudios acústicos y en pruebas de audición. Las dimensiones físicas del diapasón, así como su módulo de Young, determinarán exactamente la frecuencia de vibración del primer armónico, la cual viene dada por</w:t>
      </w:r>
    </w:p>
    <w:p>
      <w:pPr>
        <w:pStyle w:val="BodyText"/>
      </w:pPr>
      <m:oMathPara>
        <m:oMathParaPr>
          <m:jc m:val="center"/>
        </m:oMathParaPr>
        <m:oMath>
          <m:r>
            <m:t>f</m:t>
          </m:r>
          <m:r>
            <m:rPr>
              <m:sty m:val="p"/>
            </m:rPr>
            <m:t>=</m:t>
          </m:r>
          <m:f>
            <m:fPr>
              <m:type m:val="bar"/>
            </m:fPr>
            <m:num>
              <m:sSup>
                <m:e>
                  <m:r>
                    <m:t>1.85</m:t>
                  </m:r>
                </m:e>
                <m:sup>
                  <m:r>
                    <m:t>2</m:t>
                  </m:r>
                </m:sup>
              </m:sSup>
            </m:num>
            <m:den>
              <m:r>
                <m:t>2</m:t>
              </m:r>
              <m:r>
                <m:t>π</m:t>
              </m:r>
              <m:sSup>
                <m:e>
                  <m:r>
                    <m:t>L</m:t>
                  </m:r>
                </m:e>
                <m:sup>
                  <m:r>
                    <m:t>2</m:t>
                  </m:r>
                </m:sup>
              </m:sSup>
            </m:den>
          </m:f>
          <m:rad>
            <m:radPr>
              <m:degHide m:val="on"/>
            </m:radPr>
            <m:deg/>
            <m:e>
              <m:f>
                <m:fPr>
                  <m:type m:val="bar"/>
                </m:fPr>
                <m:num>
                  <m:r>
                    <m:t>E</m:t>
                  </m:r>
                  <m:r>
                    <m:t>I</m:t>
                  </m:r>
                </m:num>
                <m:den>
                  <m:r>
                    <m:t>q</m:t>
                  </m:r>
                  <m:r>
                    <m:t>ρ</m:t>
                  </m:r>
                </m:den>
              </m:f>
            </m:e>
          </m:rad>
          <m:r>
            <m:rPr>
              <m:sty m:val="p"/>
            </m:rPr>
            <m:t>=</m:t>
          </m:r>
          <m:f>
            <m:fPr>
              <m:type m:val="bar"/>
            </m:fPr>
            <m:num>
              <m:sSup>
                <m:e>
                  <m:r>
                    <m:t>1.85</m:t>
                  </m:r>
                </m:e>
                <m:sup>
                  <m:r>
                    <m:t>2</m:t>
                  </m:r>
                </m:sup>
              </m:sSup>
              <m:r>
                <m:t>b</m:t>
              </m:r>
            </m:num>
            <m:den>
              <m:r>
                <m:t>π</m:t>
              </m:r>
              <m:sSup>
                <m:e>
                  <m:r>
                    <m:t>L</m:t>
                  </m:r>
                </m:e>
                <m:sup>
                  <m:r>
                    <m:t>2</m:t>
                  </m:r>
                </m:sup>
              </m:sSup>
            </m:den>
          </m:f>
          <m:rad>
            <m:radPr>
              <m:degHide m:val="on"/>
            </m:radPr>
            <m:deg/>
            <m:e>
              <m:f>
                <m:fPr>
                  <m:type m:val="bar"/>
                </m:fPr>
                <m:num>
                  <m:r>
                    <m:t>E</m:t>
                  </m:r>
                </m:num>
                <m:den>
                  <m:r>
                    <m:t>48</m:t>
                  </m:r>
                  <m:r>
                    <m:t>ρ</m:t>
                  </m:r>
                </m:den>
              </m:f>
            </m:e>
          </m:rad>
          <m:r>
            <m:rPr>
              <m:sty m:val="p"/>
            </m:rPr>
            <m:t>,</m:t>
          </m:r>
          <m:r>
            <m:t> </m:t>
          </m:r>
          <m:r>
            <m:rPr>
              <m:nor/>
              <m:sty m:val="p"/>
            </m:rPr>
            <m:t>(5.1)</m:t>
          </m:r>
        </m:oMath>
      </m:oMathPara>
    </w:p>
    <w:p>
      <w:pPr>
        <w:pStyle w:val="FirstParagraph"/>
      </w:pPr>
      <w:r>
        <w:t xml:space="preserve">donde</w:t>
      </w:r>
      <w:r>
        <w:t xml:space="preserve"> </w:t>
      </w:r>
      <m:oMath>
        <m:r>
          <m:t>L</m:t>
        </m:r>
      </m:oMath>
      <w:r>
        <w:t xml:space="preserve"> </w:t>
      </w:r>
      <w:r>
        <w:t xml:space="preserve">es la longitud de la barra,</w:t>
      </w:r>
      <w:r>
        <w:t xml:space="preserve"> </w:t>
      </w:r>
      <m:oMath>
        <m:r>
          <m:t>I</m:t>
        </m:r>
        <m:r>
          <m:rPr>
            <m:sty m:val="p"/>
          </m:rPr>
          <m:t>=</m:t>
        </m:r>
        <m:r>
          <m:t>a</m:t>
        </m:r>
        <m:sSup>
          <m:e>
            <m:r>
              <m:t>b</m:t>
            </m:r>
          </m:e>
          <m:sup>
            <m:r>
              <m:t>3</m:t>
            </m:r>
          </m:sup>
        </m:sSup>
        <m:r>
          <m:rPr>
            <m:sty m:val="p"/>
          </m:rPr>
          <m:t>/</m:t>
        </m:r>
        <m:r>
          <m:t>12</m:t>
        </m:r>
      </m:oMath>
      <w:r>
        <w:t xml:space="preserve"> </w:t>
      </w:r>
      <w:r>
        <w:t xml:space="preserve">es el segundo momento de área,</w:t>
      </w:r>
      <w:r>
        <w:t xml:space="preserve"> </w:t>
      </w:r>
      <m:oMath>
        <m:r>
          <m:t>q</m:t>
        </m:r>
        <m:r>
          <m:rPr>
            <m:sty m:val="p"/>
          </m:rPr>
          <m:t>=</m:t>
        </m:r>
        <m:r>
          <m:t>a</m:t>
        </m:r>
        <m:r>
          <m:t>b</m:t>
        </m:r>
      </m:oMath>
      <w:r>
        <w:t xml:space="preserve"> </w:t>
      </w:r>
      <w:r>
        <w:t xml:space="preserve">es la sección transversal de la barra (ver figura 5.1) y</w:t>
      </w:r>
      <w:r>
        <w:t xml:space="preserve"> </w:t>
      </w:r>
      <m:oMath>
        <m:r>
          <m:t>ρ</m:t>
        </m:r>
      </m:oMath>
      <w:r>
        <w:t xml:space="preserve"> </w:t>
      </w:r>
      <w:r>
        <w:t xml:space="preserve">es la densidad del material (en este caso una aleación de aluminio).</w:t>
      </w:r>
    </w:p>
    <w:p>
      <w:pPr>
        <w:pStyle w:val="CaptionedFigure"/>
      </w:pPr>
      <w:r>
        <w:drawing>
          <wp:inline>
            <wp:extent cx="2137499" cy="899999"/>
            <wp:effectExtent b="0" l="0" r="0" t="0"/>
            <wp:docPr descr="" title="" id="22" name="Picture"/>
            <a:graphic>
              <a:graphicData uri="http://schemas.openxmlformats.org/drawingml/2006/picture">
                <pic:pic>
                  <pic:nvPicPr>
                    <pic:cNvPr descr="png/barra_diapason.png" id="23" name="Picture"/>
                    <pic:cNvPicPr>
                      <a:picLocks noChangeArrowheads="1" noChangeAspect="1"/>
                    </pic:cNvPicPr>
                  </pic:nvPicPr>
                  <pic:blipFill>
                    <a:blip r:embed="rId21"/>
                    <a:stretch>
                      <a:fillRect/>
                    </a:stretch>
                  </pic:blipFill>
                  <pic:spPr bwMode="auto">
                    <a:xfrm>
                      <a:off x="0" y="0"/>
                      <a:ext cx="2137499" cy="899999"/>
                    </a:xfrm>
                    <a:prstGeom prst="rect">
                      <a:avLst/>
                    </a:prstGeom>
                    <a:noFill/>
                    <a:ln w="9525">
                      <a:noFill/>
                      <a:headEnd/>
                      <a:tailEnd/>
                    </a:ln>
                  </pic:spPr>
                </pic:pic>
              </a:graphicData>
            </a:graphic>
          </wp:inline>
        </w:drawing>
      </w:r>
    </w:p>
    <w:p>
      <w:pPr>
        <w:pStyle w:val="ImageCaption"/>
      </w:pPr>
      <w:r>
        <w:t xml:space="preserve">Figura 5.1: Barra del diapasón.</w:t>
      </w:r>
    </w:p>
    <w:p>
      <w:pPr>
        <w:pStyle w:val="BodyText"/>
      </w:pPr>
      <w:r>
        <w:t xml:space="preserve">Las ondas estacionarias producidas por el diapasón son transmitidas al aire de la caja de resonancia donde se convierten en ondas sonoras que, tras ser amplificadas por ésta, se propagan por el entorno. Si consideramos ahora dos diapasones y situamos una pesa en uno de ellos, de tal manera que la densidad y el módulo de Young sean distintos, podemos conseguir dos sonidos de distintas frecuencias. Las dos ondas interferirán entre sí dando lugar a batidos (ver figura 5.2), siendo la velocidad de fase y la velocidad de grupo iguales a la velocidad del sonido,</w:t>
      </w:r>
      <w:r>
        <w:t xml:space="preserve"> </w:t>
      </w:r>
      <m:oMath>
        <m:r>
          <m:t>c</m:t>
        </m:r>
      </m:oMath>
      <w:r>
        <w:t xml:space="preserve">. Asumiendo que la amplitud de ambas ondas es aproximadamente la misma, el principio de superposición permite escribir</w:t>
      </w:r>
    </w:p>
    <w:p>
      <w:pPr>
        <w:pStyle w:val="BodyText"/>
      </w:pPr>
      <m:oMathPara>
        <m:oMathParaPr>
          <m:jc m:val="center"/>
        </m:oMathParaPr>
        <m:oMath>
          <m:r>
            <m:t>y</m:t>
          </m:r>
          <m:d>
            <m:dPr>
              <m:begChr m:val="("/>
              <m:endChr m:val=")"/>
              <m:sepChr m:val=""/>
              <m:grow/>
            </m:dPr>
            <m:e>
              <m:r>
                <m:t>x</m:t>
              </m:r>
              <m:r>
                <m:rPr>
                  <m:sty m:val="p"/>
                </m:rPr>
                <m:t>,</m:t>
              </m:r>
              <m:r>
                <m:t>t</m:t>
              </m:r>
            </m:e>
          </m:d>
          <m:r>
            <m:rPr>
              <m:sty m:val="p"/>
            </m:rPr>
            <m:t>=</m:t>
          </m:r>
          <m:r>
            <m:t>A</m:t>
          </m:r>
          <m:r>
            <m:rPr>
              <m:sty m:val="p"/>
            </m:rPr>
            <m:t>sin</m:t>
          </m:r>
          <m:d>
            <m:dPr>
              <m:begChr m:val="("/>
              <m:endChr m:val=")"/>
              <m:sepChr m:val=""/>
              <m:grow/>
            </m:dPr>
            <m:e>
              <m:sSub>
                <m:e>
                  <m:r>
                    <m:t>k</m:t>
                  </m:r>
                </m:e>
                <m:sub>
                  <m:r>
                    <m:t>1</m:t>
                  </m:r>
                </m:sub>
              </m:sSub>
              <m:r>
                <m:t>x</m:t>
              </m:r>
              <m:r>
                <m:rPr>
                  <m:sty m:val="p"/>
                </m:rPr>
                <m:t>−</m:t>
              </m:r>
              <m:sSub>
                <m:e>
                  <m:r>
                    <m:t>ω</m:t>
                  </m:r>
                </m:e>
                <m:sub>
                  <m:r>
                    <m:t>1</m:t>
                  </m:r>
                </m:sub>
              </m:sSub>
              <m:r>
                <m:t>t</m:t>
              </m:r>
              <m:r>
                <m:rPr>
                  <m:sty m:val="p"/>
                </m:rPr>
                <m:t>+</m:t>
              </m:r>
              <m:sSub>
                <m:e>
                  <m:r>
                    <m:t>ϕ</m:t>
                  </m:r>
                </m:e>
                <m:sub>
                  <m:r>
                    <m:t>1</m:t>
                  </m:r>
                </m:sub>
              </m:sSub>
            </m:e>
          </m:d>
          <m:r>
            <m:rPr>
              <m:sty m:val="p"/>
            </m:rPr>
            <m:t>+</m:t>
          </m:r>
          <m:r>
            <m:t>A</m:t>
          </m:r>
          <m:r>
            <m:rPr>
              <m:sty m:val="p"/>
            </m:rPr>
            <m:t>sin</m:t>
          </m:r>
          <m:d>
            <m:dPr>
              <m:begChr m:val="("/>
              <m:endChr m:val=")"/>
              <m:sepChr m:val=""/>
              <m:grow/>
            </m:dPr>
            <m:e>
              <m:sSub>
                <m:e>
                  <m:r>
                    <m:t>k</m:t>
                  </m:r>
                </m:e>
                <m:sub>
                  <m:r>
                    <m:t>2</m:t>
                  </m:r>
                </m:sub>
              </m:sSub>
              <m:r>
                <m:t>x</m:t>
              </m:r>
              <m:r>
                <m:rPr>
                  <m:sty m:val="p"/>
                </m:rPr>
                <m:t>−</m:t>
              </m:r>
              <m:sSub>
                <m:e>
                  <m:r>
                    <m:t>ω</m:t>
                  </m:r>
                </m:e>
                <m:sub>
                  <m:r>
                    <m:t>2</m:t>
                  </m:r>
                </m:sub>
              </m:sSub>
              <m:r>
                <m:t>t</m:t>
              </m:r>
              <m:r>
                <m:rPr>
                  <m:sty m:val="p"/>
                </m:rPr>
                <m:t>+</m:t>
              </m:r>
              <m:sSub>
                <m:e>
                  <m:r>
                    <m:t>ϕ</m:t>
                  </m:r>
                </m:e>
                <m:sub>
                  <m:r>
                    <m:t>2</m:t>
                  </m:r>
                </m:sub>
              </m:sSub>
            </m:e>
          </m:d>
          <m:r>
            <m:rPr>
              <m:sty m:val="p"/>
            </m:rPr>
            <m:t>.</m:t>
          </m:r>
          <m:r>
            <m:t> </m:t>
          </m:r>
          <m:r>
            <m:rPr>
              <m:nor/>
              <m:sty m:val="p"/>
            </m:rPr>
            <m:t>(5.2)</m:t>
          </m:r>
        </m:oMath>
      </m:oMathPara>
    </w:p>
    <w:p>
      <w:pPr>
        <w:pStyle w:val="FirstParagraph"/>
      </w:pPr>
      <w:r>
        <w:t xml:space="preserve">Valiéndonos de la identidad de la suma de senos obtenemos</w:t>
      </w:r>
    </w:p>
    <w:p>
      <w:pPr>
        <w:pStyle w:val="BodyText"/>
      </w:pPr>
      <m:oMathPara>
        <m:oMathParaPr>
          <m:jc m:val="center"/>
        </m:oMathParaPr>
        <m:oMath>
          <m:r>
            <m:t>y</m:t>
          </m:r>
          <m:d>
            <m:dPr>
              <m:begChr m:val="("/>
              <m:endChr m:val=")"/>
              <m:sepChr m:val=""/>
              <m:grow/>
            </m:dPr>
            <m:e>
              <m:r>
                <m:t>x</m:t>
              </m:r>
              <m:r>
                <m:rPr>
                  <m:sty m:val="p"/>
                </m:rPr>
                <m:t>,</m:t>
              </m:r>
              <m:r>
                <m:t>t</m:t>
              </m:r>
            </m:e>
          </m:d>
          <m:r>
            <m:rPr>
              <m:sty m:val="p"/>
            </m:rPr>
            <m:t>=</m:t>
          </m:r>
          <m:r>
            <m:t>2</m:t>
          </m:r>
          <m:r>
            <m:t>A</m:t>
          </m:r>
          <m:r>
            <m:rPr>
              <m:sty m:val="p"/>
            </m:rPr>
            <m:t>cos</m:t>
          </m:r>
          <m:d>
            <m:dPr>
              <m:begChr m:val="("/>
              <m:endChr m:val=")"/>
              <m:sepChr m:val=""/>
              <m:grow/>
            </m:dPr>
            <m:e>
              <m:r>
                <m:t>Δ</m:t>
              </m:r>
              <m:r>
                <m:t>k</m:t>
              </m:r>
              <m:r>
                <m:t>x</m:t>
              </m:r>
              <m:r>
                <m:rPr>
                  <m:sty m:val="p"/>
                </m:rPr>
                <m:t>−</m:t>
              </m:r>
              <m:r>
                <m:t>Δ</m:t>
              </m:r>
              <m:r>
                <m:t>ω</m:t>
              </m:r>
              <m:r>
                <m:t>t</m:t>
              </m:r>
              <m:r>
                <m:rPr>
                  <m:sty m:val="p"/>
                </m:rPr>
                <m:t>+</m:t>
              </m:r>
              <m:r>
                <m:t>Δ</m:t>
              </m:r>
              <m:r>
                <m:t>ϕ</m:t>
              </m:r>
            </m:e>
          </m:d>
          <m:r>
            <m:rPr>
              <m:sty m:val="p"/>
            </m:rPr>
            <m:t>sin</m:t>
          </m:r>
          <m:d>
            <m:dPr>
              <m:begChr m:val="("/>
              <m:endChr m:val=")"/>
              <m:sepChr m:val=""/>
              <m:grow/>
            </m:dPr>
            <m:e>
              <m:r>
                <m:t>K</m:t>
              </m:r>
              <m:r>
                <m:t>x</m:t>
              </m:r>
              <m:r>
                <m:rPr>
                  <m:sty m:val="p"/>
                </m:rPr>
                <m:t>−</m:t>
              </m:r>
              <m:r>
                <m:t>Ω</m:t>
              </m:r>
              <m:r>
                <m:t>t</m:t>
              </m:r>
              <m:r>
                <m:rPr>
                  <m:sty m:val="p"/>
                </m:rPr>
                <m:t>+</m:t>
              </m:r>
              <m:r>
                <m:t>Φ</m:t>
              </m:r>
            </m:e>
          </m:d>
          <m:r>
            <m:rPr>
              <m:sty m:val="p"/>
            </m:rPr>
            <m:t>,</m:t>
          </m:r>
          <m:r>
            <m:t> </m:t>
          </m:r>
          <m:r>
            <m:rPr>
              <m:nor/>
              <m:sty m:val="p"/>
            </m:rPr>
            <m:t>(5.3)</m:t>
          </m:r>
        </m:oMath>
      </m:oMathPara>
    </w:p>
    <w:p>
      <w:pPr>
        <w:pStyle w:val="FirstParagraph"/>
      </w:pPr>
      <w:r>
        <w:t xml:space="preserve">donde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t>K</m:t>
                </m:r>
              </m:e>
              <m:e>
                <m:r>
                  <m:rPr>
                    <m:sty m:val="p"/>
                  </m:rPr>
                  <m:t>=</m:t>
                </m:r>
              </m:e>
              <m:e>
                <m:f>
                  <m:fPr>
                    <m:type m:val="bar"/>
                  </m:fPr>
                  <m:num>
                    <m:sSub>
                      <m:e>
                        <m:r>
                          <m:t>k</m:t>
                        </m:r>
                      </m:e>
                      <m:sub>
                        <m:r>
                          <m:t>1</m:t>
                        </m:r>
                      </m:sub>
                    </m:sSub>
                    <m:r>
                      <m:rPr>
                        <m:sty m:val="p"/>
                      </m:rPr>
                      <m:t>+</m:t>
                    </m:r>
                    <m:sSub>
                      <m:e>
                        <m:r>
                          <m:t>k</m:t>
                        </m:r>
                      </m:e>
                      <m:sub>
                        <m:r>
                          <m:t>2</m:t>
                        </m:r>
                      </m:sub>
                    </m:sSub>
                  </m:num>
                  <m:den>
                    <m:r>
                      <m:t>2</m:t>
                    </m:r>
                  </m:den>
                </m:f>
                <m:r>
                  <m:rPr>
                    <m:sty m:val="p"/>
                  </m:rPr>
                  <m:t>,</m:t>
                </m:r>
                <m:r>
                  <m:t> </m:t>
                </m:r>
                <m:r>
                  <m:rPr>
                    <m:nor/>
                    <m:sty m:val="p"/>
                  </m:rPr>
                  <m:t>(5.4)</m:t>
                </m:r>
              </m:e>
            </m:mr>
            <m:mr>
              <m:e>
                <m:r>
                  <m:t>Ω</m:t>
                </m:r>
              </m:e>
              <m:e>
                <m:r>
                  <m:rPr>
                    <m:sty m:val="p"/>
                  </m:rPr>
                  <m:t>=</m:t>
                </m:r>
              </m:e>
              <m:e>
                <m:f>
                  <m:fPr>
                    <m:type m:val="bar"/>
                  </m:fPr>
                  <m:num>
                    <m:sSub>
                      <m:e>
                        <m:r>
                          <m:t>ω</m:t>
                        </m:r>
                      </m:e>
                      <m:sub>
                        <m:r>
                          <m:t>1</m:t>
                        </m:r>
                      </m:sub>
                    </m:sSub>
                    <m:r>
                      <m:rPr>
                        <m:sty m:val="p"/>
                      </m:rPr>
                      <m:t>+</m:t>
                    </m:r>
                    <m:sSub>
                      <m:e>
                        <m:r>
                          <m:t>ω</m:t>
                        </m:r>
                      </m:e>
                      <m:sub>
                        <m:r>
                          <m:t>2</m:t>
                        </m:r>
                      </m:sub>
                    </m:sSub>
                  </m:num>
                  <m:den>
                    <m:r>
                      <m:t>2</m:t>
                    </m:r>
                  </m:den>
                </m:f>
                <m:r>
                  <m:rPr>
                    <m:sty m:val="p"/>
                  </m:rPr>
                  <m:t>,</m:t>
                </m:r>
                <m:r>
                  <m:t> </m:t>
                </m:r>
                <m:r>
                  <m:rPr>
                    <m:nor/>
                    <m:sty m:val="p"/>
                  </m:rPr>
                  <m:t>(5.5)</m:t>
                </m:r>
              </m:e>
            </m:mr>
            <m:mr>
              <m:e>
                <m:r>
                  <m:t>Δ</m:t>
                </m:r>
                <m:r>
                  <m:t>k</m:t>
                </m:r>
              </m:e>
              <m:e>
                <m:r>
                  <m:rPr>
                    <m:sty m:val="p"/>
                  </m:rPr>
                  <m:t>=</m:t>
                </m:r>
              </m:e>
              <m:e>
                <m:f>
                  <m:fPr>
                    <m:type m:val="bar"/>
                  </m:fPr>
                  <m:num>
                    <m:sSub>
                      <m:e>
                        <m:r>
                          <m:t>k</m:t>
                        </m:r>
                      </m:e>
                      <m:sub>
                        <m:r>
                          <m:t>1</m:t>
                        </m:r>
                      </m:sub>
                    </m:sSub>
                    <m:r>
                      <m:rPr>
                        <m:sty m:val="p"/>
                      </m:rPr>
                      <m:t>−</m:t>
                    </m:r>
                    <m:sSub>
                      <m:e>
                        <m:r>
                          <m:t>k</m:t>
                        </m:r>
                      </m:e>
                      <m:sub>
                        <m:r>
                          <m:t>2</m:t>
                        </m:r>
                      </m:sub>
                    </m:sSub>
                  </m:num>
                  <m:den>
                    <m:r>
                      <m:t>2</m:t>
                    </m:r>
                  </m:den>
                </m:f>
                <m:r>
                  <m:rPr>
                    <m:sty m:val="p"/>
                  </m:rPr>
                  <m:t>,</m:t>
                </m:r>
                <m:r>
                  <m:t> </m:t>
                </m:r>
                <m:r>
                  <m:rPr>
                    <m:nor/>
                    <m:sty m:val="p"/>
                  </m:rPr>
                  <m:t>(5.6)</m:t>
                </m:r>
              </m:e>
            </m:mr>
            <m:mr>
              <m:e>
                <m:r>
                  <m:t>Δ</m:t>
                </m:r>
                <m:r>
                  <m:t>ω</m:t>
                </m:r>
              </m:e>
              <m:e>
                <m:r>
                  <m:rPr>
                    <m:sty m:val="p"/>
                  </m:rPr>
                  <m:t>=</m:t>
                </m:r>
              </m:e>
              <m:e>
                <m:f>
                  <m:fPr>
                    <m:type m:val="bar"/>
                  </m:fPr>
                  <m:num>
                    <m:sSub>
                      <m:e>
                        <m:r>
                          <m:t>ω</m:t>
                        </m:r>
                      </m:e>
                      <m:sub>
                        <m:r>
                          <m:t>1</m:t>
                        </m:r>
                      </m:sub>
                    </m:sSub>
                    <m:r>
                      <m:rPr>
                        <m:sty m:val="p"/>
                      </m:rPr>
                      <m:t>−</m:t>
                    </m:r>
                    <m:sSub>
                      <m:e>
                        <m:r>
                          <m:t>ω</m:t>
                        </m:r>
                      </m:e>
                      <m:sub>
                        <m:r>
                          <m:t>2</m:t>
                        </m:r>
                      </m:sub>
                    </m:sSub>
                  </m:num>
                  <m:den>
                    <m:r>
                      <m:t>2</m:t>
                    </m:r>
                  </m:den>
                </m:f>
                <m:r>
                  <m:rPr>
                    <m:sty m:val="p"/>
                  </m:rPr>
                  <m:t>.</m:t>
                </m:r>
                <m:r>
                  <m:t> </m:t>
                </m:r>
                <m:r>
                  <m:rPr>
                    <m:nor/>
                    <m:sty m:val="p"/>
                  </m:rPr>
                  <m:t>(5.7)</m:t>
                </m:r>
              </m:e>
            </m:mr>
          </m:m>
        </m:oMath>
      </m:oMathPara>
    </w:p>
    <w:p>
      <w:pPr>
        <w:pStyle w:val="FirstParagraph"/>
      </w:pPr>
      <w:r>
        <w:t xml:space="preserve">La resultante puede interpretararse como una onda viajando con</w:t>
      </w:r>
      <w:r>
        <w:t xml:space="preserve"> </w:t>
      </w:r>
      <w:r>
        <w:rPr>
          <w:iCs/>
          <w:i/>
        </w:rPr>
        <w:t xml:space="preserve">velocidad de fase</w:t>
      </w:r>
      <w:r>
        <w:t xml:space="preserve"> </w:t>
      </w:r>
      <m:oMath>
        <m:sSub>
          <m:e>
            <m:r>
              <m:t>v</m:t>
            </m:r>
          </m:e>
          <m:sub>
            <m:r>
              <m:t>f</m:t>
            </m:r>
          </m:sub>
        </m:sSub>
        <m:r>
          <m:rPr>
            <m:sty m:val="p"/>
          </m:rPr>
          <m:t>=</m:t>
        </m:r>
        <m:r>
          <m:t>Ω</m:t>
        </m:r>
        <m:r>
          <m:rPr>
            <m:sty m:val="p"/>
          </m:rPr>
          <m:t>/</m:t>
        </m:r>
        <m:r>
          <m:t>K</m:t>
        </m:r>
        <m:r>
          <m:rPr>
            <m:sty m:val="p"/>
          </m:rPr>
          <m:t>=</m:t>
        </m:r>
        <m:r>
          <m:t>c</m:t>
        </m:r>
      </m:oMath>
      <w:r>
        <w:t xml:space="preserve"> </w:t>
      </w:r>
      <w:r>
        <w:t xml:space="preserve">y amplitud modulada por una función periódica</w:t>
      </w:r>
    </w:p>
    <w:p>
      <w:pPr>
        <w:pStyle w:val="BodyText"/>
      </w:pPr>
      <m:oMathPara>
        <m:oMathParaPr>
          <m:jc m:val="center"/>
        </m:oMathParaPr>
        <m:oMath>
          <m:r>
            <m:t>y</m:t>
          </m:r>
          <m:d>
            <m:dPr>
              <m:begChr m:val="("/>
              <m:endChr m:val=")"/>
              <m:sepChr m:val=""/>
              <m:grow/>
            </m:dPr>
            <m:e>
              <m:r>
                <m:t>x</m:t>
              </m:r>
              <m:r>
                <m:rPr>
                  <m:sty m:val="p"/>
                </m:rPr>
                <m:t>,</m:t>
              </m:r>
              <m:r>
                <m:t>t</m:t>
              </m:r>
            </m:e>
          </m:d>
          <m:r>
            <m:rPr>
              <m:sty m:val="p"/>
            </m:rPr>
            <m:t>=</m:t>
          </m:r>
          <m:r>
            <m:t>A</m:t>
          </m:r>
          <m:d>
            <m:dPr>
              <m:begChr m:val="("/>
              <m:endChr m:val=")"/>
              <m:sepChr m:val=""/>
              <m:grow/>
            </m:dPr>
            <m:e>
              <m:r>
                <m:t>x</m:t>
              </m:r>
              <m:r>
                <m:rPr>
                  <m:sty m:val="p"/>
                </m:rPr>
                <m:t>,</m:t>
              </m:r>
              <m:r>
                <m:t>t</m:t>
              </m:r>
            </m:e>
          </m:d>
          <m:r>
            <m:rPr>
              <m:sty m:val="p"/>
            </m:rPr>
            <m:t>sin</m:t>
          </m:r>
          <m:d>
            <m:dPr>
              <m:begChr m:val="("/>
              <m:endChr m:val=")"/>
              <m:sepChr m:val=""/>
              <m:grow/>
            </m:dPr>
            <m:e>
              <m:r>
                <m:t>K</m:t>
              </m:r>
              <m:r>
                <m:t>x</m:t>
              </m:r>
              <m:r>
                <m:rPr>
                  <m:sty m:val="p"/>
                </m:rPr>
                <m:t>−</m:t>
              </m:r>
              <m:r>
                <m:t>Ω</m:t>
              </m:r>
              <m:r>
                <m:t>t</m:t>
              </m:r>
              <m:r>
                <m:rPr>
                  <m:sty m:val="p"/>
                </m:rPr>
                <m:t>+</m:t>
              </m:r>
              <m:r>
                <m:t>Φ</m:t>
              </m:r>
            </m:e>
          </m:d>
          <m:r>
            <m:rPr>
              <m:sty m:val="p"/>
            </m:rPr>
            <m:t>.</m:t>
          </m:r>
          <m:r>
            <m:t> </m:t>
          </m:r>
          <m:r>
            <m:rPr>
              <m:nor/>
              <m:sty m:val="p"/>
            </m:rPr>
            <m:t>(5.8)</m:t>
          </m:r>
        </m:oMath>
      </m:oMathPara>
    </w:p>
    <w:p>
      <w:pPr>
        <w:pStyle w:val="FirstParagraph"/>
      </w:pPr>
      <w:r>
        <w:t xml:space="preserve">Esta amplitud suele denominarse envolvente de la onda y la velocidad con la que viaja se denomina</w:t>
      </w:r>
      <w:r>
        <w:t xml:space="preserve"> </w:t>
      </w:r>
      <w:r>
        <w:rPr>
          <w:iCs/>
          <w:i/>
        </w:rPr>
        <w:t xml:space="preserve">velocidad de grupo</w:t>
      </w:r>
      <w:r>
        <w:t xml:space="preserve"> </w:t>
      </w:r>
      <m:oMath>
        <m:sSub>
          <m:e>
            <m:r>
              <m:t>v</m:t>
            </m:r>
          </m:e>
          <m:sub>
            <m:r>
              <m:t>g</m:t>
            </m:r>
          </m:sub>
        </m:sSub>
        <m:r>
          <m:rPr>
            <m:sty m:val="p"/>
          </m:rPr>
          <m:t>=</m:t>
        </m:r>
        <m:r>
          <m:t>Δ</m:t>
        </m:r>
        <m:r>
          <m:t>ω</m:t>
        </m:r>
        <m:r>
          <m:rPr>
            <m:sty m:val="p"/>
          </m:rPr>
          <m:t>/</m:t>
        </m:r>
        <m:r>
          <m:t>Δ</m:t>
        </m:r>
        <m:r>
          <m:t>k</m:t>
        </m:r>
        <m:r>
          <m:rPr>
            <m:sty m:val="p"/>
          </m:rPr>
          <m:t>=</m:t>
        </m:r>
        <m:r>
          <m:t>c</m:t>
        </m:r>
      </m:oMath>
      <w:r>
        <w:t xml:space="preserve">.</w:t>
      </w:r>
    </w:p>
    <w:p>
      <w:pPr>
        <w:pStyle w:val="CaptionedFigure"/>
      </w:pPr>
      <w:r>
        <w:drawing>
          <wp:inline>
            <wp:extent cx="4345955" cy="1903962"/>
            <wp:effectExtent b="0" l="0" r="0" t="0"/>
            <wp:docPr descr="" title="" id="25" name="Picture"/>
            <a:graphic>
              <a:graphicData uri="http://schemas.openxmlformats.org/drawingml/2006/picture">
                <pic:pic>
                  <pic:nvPicPr>
                    <pic:cNvPr descr="png/beats.png" id="26" name="Picture"/>
                    <pic:cNvPicPr>
                      <a:picLocks noChangeArrowheads="1" noChangeAspect="1"/>
                    </pic:cNvPicPr>
                  </pic:nvPicPr>
                  <pic:blipFill>
                    <a:blip r:embed="rId24"/>
                    <a:stretch>
                      <a:fillRect/>
                    </a:stretch>
                  </pic:blipFill>
                  <pic:spPr bwMode="auto">
                    <a:xfrm>
                      <a:off x="0" y="0"/>
                      <a:ext cx="4345955" cy="1903962"/>
                    </a:xfrm>
                    <a:prstGeom prst="rect">
                      <a:avLst/>
                    </a:prstGeom>
                    <a:noFill/>
                    <a:ln w="9525">
                      <a:noFill/>
                      <a:headEnd/>
                      <a:tailEnd/>
                    </a:ln>
                  </pic:spPr>
                </pic:pic>
              </a:graphicData>
            </a:graphic>
          </wp:inline>
        </w:drawing>
      </w:r>
    </w:p>
    <w:p>
      <w:pPr>
        <w:pStyle w:val="ImageCaption"/>
      </w:pPr>
      <w:r>
        <w:t xml:space="preserve">Figura 5.2: Propagación de batidos (azul) resultantes de la superposición de dos ondas armónicas (rojo y verde). La envolvente en línea discontinua.</w:t>
      </w:r>
    </w:p>
    <w:bookmarkEnd w:id="27"/>
    <w:bookmarkStart w:id="31" w:name="montaje-experimental"/>
    <w:p>
      <w:pPr>
        <w:pStyle w:val="Heading2"/>
      </w:pPr>
      <w:r>
        <w:t xml:space="preserve">Montaje experimental</w:t>
      </w:r>
    </w:p>
    <w:p>
      <w:pPr>
        <w:pStyle w:val="FirstParagraph"/>
      </w:pPr>
      <w:r>
        <w:t xml:space="preserve">El montaje experimental consiste de dos diapasones montados sobre con una caja de resonancia. Se dispone de un micrófono conectado a un ordenador para el análisis de las señales acústicas. En un primer tiempo se estudiará la frecuencia de vibración de un diapasón para determinar el modulo de Young del objeto. Para ello se analiza el espectro de Fourier de la onda acústica captada por el micrófono. En la segunda parte se estudia la aparición de batidos en la amplitud de la onda acústica cuando se superponen dos sonidos con frecuencias muy parecidas.</w:t>
      </w:r>
      <w:r>
        <w:br/>
      </w:r>
    </w:p>
    <w:p>
      <w:pPr>
        <w:pStyle w:val="CaptionedFigure"/>
      </w:pPr>
      <w:r>
        <w:drawing>
          <wp:inline>
            <wp:extent cx="5334000" cy="2565721"/>
            <wp:effectExtent b="0" l="0" r="0" t="0"/>
            <wp:docPr descr="" title="" id="29" name="Picture"/>
            <a:graphic>
              <a:graphicData uri="http://schemas.openxmlformats.org/drawingml/2006/picture">
                <pic:pic>
                  <pic:nvPicPr>
                    <pic:cNvPr descr="met_mat.jpg" id="30" name="Picture"/>
                    <pic:cNvPicPr>
                      <a:picLocks noChangeArrowheads="1" noChangeAspect="1"/>
                    </pic:cNvPicPr>
                  </pic:nvPicPr>
                  <pic:blipFill>
                    <a:blip r:embed="rId28"/>
                    <a:stretch>
                      <a:fillRect/>
                    </a:stretch>
                  </pic:blipFill>
                  <pic:spPr bwMode="auto">
                    <a:xfrm>
                      <a:off x="0" y="0"/>
                      <a:ext cx="5334000" cy="2565721"/>
                    </a:xfrm>
                    <a:prstGeom prst="rect">
                      <a:avLst/>
                    </a:prstGeom>
                    <a:noFill/>
                    <a:ln w="9525">
                      <a:noFill/>
                      <a:headEnd/>
                      <a:tailEnd/>
                    </a:ln>
                  </pic:spPr>
                </pic:pic>
              </a:graphicData>
            </a:graphic>
          </wp:inline>
        </w:drawing>
      </w:r>
    </w:p>
    <w:p>
      <w:pPr>
        <w:pStyle w:val="ImageCaption"/>
      </w:pPr>
      <w:r>
        <w:t xml:space="preserve">Figura 5.3: Montaje experimental.</w:t>
      </w:r>
    </w:p>
    <w:p>
      <w:pPr>
        <w:pStyle w:val="BodyText"/>
      </w:pPr>
      <w:r>
        <w:t xml:space="preserve">Se ha preparado un programa de análisis de la señal para facilitar estas tareas. El micrófono debe situarse cerca de la fuente de sonido y el programa se debe ejecutar rápidamente después de un golpe seco sobre el diapasón.</w:t>
      </w:r>
    </w:p>
    <w:bookmarkEnd w:id="31"/>
    <w:bookmarkStart w:id="32" w:name="resultados"/>
    <w:p>
      <w:pPr>
        <w:pStyle w:val="Heading2"/>
      </w:pPr>
      <w:r>
        <w:t xml:space="preserve">Resultados</w:t>
      </w:r>
    </w:p>
    <w:p>
      <w:pPr>
        <w:numPr>
          <w:ilvl w:val="0"/>
          <w:numId w:val="1001"/>
        </w:numPr>
      </w:pPr>
      <w:r>
        <w:t xml:space="preserve">Medir con un calibre la longitud</w:t>
      </w:r>
      <w:r>
        <w:t xml:space="preserve"> </w:t>
      </w:r>
      <m:oMath>
        <m:r>
          <m:t>L</m:t>
        </m:r>
      </m:oMath>
      <w:r>
        <w:t xml:space="preserve"> </w:t>
      </w:r>
      <w:r>
        <w:t xml:space="preserve">y el lado</w:t>
      </w:r>
      <w:r>
        <w:t xml:space="preserve"> </w:t>
      </w:r>
      <m:oMath>
        <m:r>
          <m:t>b</m:t>
        </m:r>
      </m:oMath>
      <w:r>
        <w:t xml:space="preserve"> </w:t>
      </w:r>
      <w:r>
        <w:t xml:space="preserve">de la barra de vibración.</w:t>
      </w:r>
    </w:p>
    <w:p>
      <w:pPr>
        <w:numPr>
          <w:ilvl w:val="0"/>
          <w:numId w:val="1000"/>
        </w:numPr>
      </w:pPr>
      <m:oMath>
        <m:r>
          <m:t>L</m:t>
        </m:r>
        <m:r>
          <m:rPr>
            <m:sty m:val="p"/>
          </m:rPr>
          <m:t>±</m:t>
        </m:r>
        <m:sSub>
          <m:e>
            <m:r>
              <m:t>ε</m:t>
            </m:r>
          </m:e>
          <m:sub>
            <m:r>
              <m:t>L</m:t>
            </m:r>
          </m:sub>
        </m:sSub>
        <m:r>
          <m:rPr>
            <m:sty m:val="p"/>
          </m:rPr>
          <m:t>=</m:t>
        </m:r>
      </m:oMath>
      <w:r>
        <w:br/>
      </w:r>
      <m:oMath>
        <m:r>
          <m:t>b</m:t>
        </m:r>
        <m:r>
          <m:rPr>
            <m:sty m:val="p"/>
          </m:rPr>
          <m:t>±</m:t>
        </m:r>
        <m:sSub>
          <m:e>
            <m:r>
              <m:t>ε</m:t>
            </m:r>
          </m:e>
          <m:sub>
            <m:r>
              <m:t>b</m:t>
            </m:r>
          </m:sub>
        </m:sSub>
        <m:r>
          <m:rPr>
            <m:sty m:val="p"/>
          </m:rPr>
          <m:t>=</m:t>
        </m:r>
      </m:oMath>
    </w:p>
    <w:p>
      <w:pPr>
        <w:numPr>
          <w:ilvl w:val="0"/>
          <w:numId w:val="1001"/>
        </w:numPr>
      </w:pPr>
      <w:r>
        <w:t xml:space="preserve">Usando el analizador de espectro de Fourier en el ordenador, medir la frecuencia de vibración 5 veces:</w:t>
      </w:r>
    </w:p>
    <w:tbl>
      <w:tblPr>
        <w:tblStyle w:val="Table"/>
        <w:tblW w:type="auto" w:w="0"/>
        <w:tblLook w:firstRow="1" w:lastRow="0" w:firstColumn="0" w:lastColumn="0" w:noHBand="0" w:noVBand="0" w:val="0020"/>
        <w:jc w:val="start"/>
        <w:tblInd w:w="720" w:type="dxa"/>
        <w:tblLayout w:type="fixed"/>
      </w:tblPr>
      <w:tblGrid>
        <w:gridCol w:w="3785"/>
        <w:gridCol w:w="1113"/>
        <w:gridCol w:w="1113"/>
        <w:gridCol w:w="1113"/>
        <w:gridCol w:w="1113"/>
        <w:gridCol w:w="1113"/>
      </w:tblGrid>
      <w:tr>
        <w:trPr>
          <w:tblHeader w:val="true"/>
        </w:trPr>
        <w:tc>
          <w:tcPr/>
          <w:p>
            <w:pPr>
              <w:pStyle w:val="Compact"/>
              <w:jc w:val="center"/>
            </w:pPr>
            <m:oMath>
              <m:r>
                <m:t>f</m:t>
              </m:r>
              <m:r>
                <m:rPr>
                  <m:sty m:val="p"/>
                </m:rPr>
                <m:t>±</m:t>
              </m:r>
              <m:sSub>
                <m:e>
                  <m:r>
                    <m:t>ε</m:t>
                  </m:r>
                </m:e>
                <m:sub>
                  <m:r>
                    <m:t>f</m:t>
                  </m:r>
                </m:sub>
              </m:sSub>
            </m:oMath>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0"/>
        </w:numPr>
      </w:pPr>
      <w:r>
        <w:t xml:space="preserve">Calcular la frecuencia media.</w:t>
      </w:r>
    </w:p>
    <w:p>
      <w:pPr>
        <w:numPr>
          <w:ilvl w:val="0"/>
          <w:numId w:val="1000"/>
        </w:numPr>
      </w:pPr>
      <m:oMath>
        <m:bar>
          <m:barPr>
            <m:pos m:val="top"/>
          </m:barPr>
          <m:e>
            <m:r>
              <m:t>f</m:t>
            </m:r>
          </m:e>
        </m:bar>
        <m:r>
          <m:rPr>
            <m:sty m:val="p"/>
          </m:rPr>
          <m:t>±</m:t>
        </m:r>
        <m:sSub>
          <m:e>
            <m:r>
              <m:t>ε</m:t>
            </m:r>
          </m:e>
          <m:sub>
            <m:bar>
              <m:barPr>
                <m:pos m:val="top"/>
              </m:barPr>
              <m:e>
                <m:r>
                  <m:t>f</m:t>
                </m:r>
              </m:e>
            </m:bar>
          </m:sub>
        </m:sSub>
        <m:r>
          <m:rPr>
            <m:sty m:val="p"/>
          </m:rPr>
          <m:t>=</m:t>
        </m:r>
      </m:oMath>
    </w:p>
    <w:p>
      <w:pPr>
        <w:numPr>
          <w:ilvl w:val="0"/>
          <w:numId w:val="1000"/>
        </w:numPr>
      </w:pPr>
      <w:r>
        <w:t xml:space="preserve">A partir de los fundamentos teóricos y de la fórmula 5.1 calcular el módulo de Young</w:t>
      </w:r>
      <w:r>
        <w:t xml:space="preserve"> </w:t>
      </w:r>
      <m:oMath>
        <m:r>
          <m:t>E</m:t>
        </m:r>
      </m:oMath>
      <w:r>
        <w:t xml:space="preserve"> </w:t>
      </w:r>
      <w:r>
        <w:t xml:space="preserve">de la barra, suponiendo que las barras podrían estar hechas de alguna las aleaciones que se muestran en la tabla. Asimismo calcule el error relativo de cada una de las estimaciones.</w:t>
      </w:r>
    </w:p>
    <w:tbl>
      <w:tblPr>
        <w:tblStyle w:val="Table"/>
        <w:tblW w:type="auto" w:w="0"/>
        <w:tblLook w:firstRow="1" w:lastRow="0" w:firstColumn="0" w:lastColumn="0" w:noHBand="0" w:noVBand="0" w:val="0020"/>
        <w:jc w:val="start"/>
        <w:tblInd w:w="720" w:type="dxa"/>
        <w:tblLayout w:type="fixed"/>
      </w:tblPr>
      <w:tblGrid>
        <w:gridCol w:w="1247"/>
        <w:gridCol w:w="1714"/>
        <w:gridCol w:w="1714"/>
        <w:gridCol w:w="2338"/>
        <w:gridCol w:w="2337"/>
      </w:tblGrid>
      <w:tr>
        <w:trPr>
          <w:tblHeader w:val="true"/>
        </w:trPr>
        <w:tc>
          <w:tcPr/>
          <w:p>
            <w:pPr>
              <w:pStyle w:val="Compact"/>
              <w:jc w:val="left"/>
            </w:pPr>
            <w:r>
              <w:t xml:space="preserve">Aleación</w:t>
            </w:r>
          </w:p>
        </w:tc>
        <w:tc>
          <w:tcPr/>
          <w:p>
            <w:pPr>
              <w:pStyle w:val="Compact"/>
              <w:jc w:val="left"/>
            </w:pPr>
            <m:oMath>
              <m:r>
                <m:t>ρ</m:t>
              </m:r>
            </m:oMath>
            <w:r>
              <w:t xml:space="preserve"> </w:t>
            </w:r>
            <m:oMath>
              <m:d>
                <m:dPr>
                  <m:begChr m:val="("/>
                  <m:endChr m:val=")"/>
                  <m:sepChr m:val=""/>
                  <m:grow/>
                </m:dPr>
                <m:e>
                  <m:r>
                    <m:t>k</m:t>
                  </m:r>
                  <m:r>
                    <m:t>g</m:t>
                  </m:r>
                  <m:r>
                    <m:rPr>
                      <m:sty m:val="p"/>
                    </m:rPr>
                    <m:t>/</m:t>
                  </m:r>
                  <m:sSup>
                    <m:e>
                      <m:r>
                        <m:t>m</m:t>
                      </m:r>
                    </m:e>
                    <m:sup>
                      <m:r>
                        <m:t>3</m:t>
                      </m:r>
                    </m:sup>
                  </m:sSup>
                </m:e>
              </m:d>
            </m:oMath>
          </w:p>
        </w:tc>
        <w:tc>
          <w:tcPr/>
          <w:p>
            <w:pPr>
              <w:pStyle w:val="Compact"/>
              <w:jc w:val="left"/>
            </w:pPr>
            <m:oMath>
              <m:sSub>
                <m:e>
                  <m:r>
                    <m:t>E</m:t>
                  </m:r>
                </m:e>
                <m:sub>
                  <m:r>
                    <m:t>t</m:t>
                  </m:r>
                  <m:r>
                    <m:t>e</m:t>
                  </m:r>
                  <m:r>
                    <m:t>o</m:t>
                  </m:r>
                </m:sub>
              </m:sSub>
            </m:oMath>
            <w:r>
              <w:t xml:space="preserve"> </w:t>
            </w:r>
            <m:oMath>
              <m:d>
                <m:dPr>
                  <m:begChr m:val="("/>
                  <m:endChr m:val=")"/>
                  <m:sepChr m:val=""/>
                  <m:grow/>
                </m:dPr>
                <m:e>
                  <m:r>
                    <m:t>G</m:t>
                  </m:r>
                  <m:r>
                    <m:t>P</m:t>
                  </m:r>
                  <m:r>
                    <m:t>a</m:t>
                  </m:r>
                </m:e>
              </m:d>
            </m:oMath>
          </w:p>
        </w:tc>
        <w:tc>
          <w:tcPr/>
          <w:p>
            <w:pPr>
              <w:pStyle w:val="Compact"/>
              <w:jc w:val="left"/>
            </w:pPr>
            <m:oMath>
              <m:r>
                <m:t>E</m:t>
              </m:r>
            </m:oMath>
            <w:r>
              <w:t xml:space="preserve"> </w:t>
            </w:r>
            <m:oMath>
              <m:d>
                <m:dPr>
                  <m:begChr m:val="("/>
                  <m:endChr m:val=")"/>
                  <m:sepChr m:val=""/>
                  <m:grow/>
                </m:dPr>
                <m:e>
                  <m:r>
                    <m:t>G</m:t>
                  </m:r>
                  <m:r>
                    <m:t>P</m:t>
                  </m:r>
                  <m:r>
                    <m:t>a</m:t>
                  </m:r>
                </m:e>
              </m:d>
              <m:r>
                <m:rPr>
                  <m:sty m:val="p"/>
                </m:rPr>
                <m:t>±</m:t>
              </m:r>
              <m:sSub>
                <m:e>
                  <m:r>
                    <m:t>ε</m:t>
                  </m:r>
                </m:e>
                <m:sub>
                  <m:r>
                    <m:t>E</m:t>
                  </m:r>
                </m:sub>
              </m:sSub>
            </m:oMath>
          </w:p>
        </w:tc>
        <w:tc>
          <w:tcPr/>
          <w:p>
            <w:pPr>
              <w:pStyle w:val="Compact"/>
              <w:jc w:val="left"/>
            </w:pPr>
            <m:oMath>
              <m:d>
                <m:dPr>
                  <m:begChr m:val="|"/>
                  <m:endChr m:val="|"/>
                  <m:sepChr m:val=""/>
                  <m:grow/>
                </m:dPr>
                <m:e>
                  <m:sSub>
                    <m:e>
                      <m:r>
                        <m:t>E</m:t>
                      </m:r>
                    </m:e>
                    <m:sub>
                      <m:r>
                        <m:t>t</m:t>
                      </m:r>
                      <m:r>
                        <m:t>e</m:t>
                      </m:r>
                      <m:r>
                        <m:t>o</m:t>
                      </m:r>
                    </m:sub>
                  </m:sSub>
                  <m:r>
                    <m:rPr>
                      <m:sty m:val="p"/>
                    </m:rPr>
                    <m:t>−</m:t>
                  </m:r>
                  <m:r>
                    <m:t>E</m:t>
                  </m:r>
                </m:e>
              </m:d>
              <m:r>
                <m:rPr>
                  <m:sty m:val="p"/>
                </m:rPr>
                <m:t>/</m:t>
              </m:r>
              <m:sSub>
                <m:e>
                  <m:r>
                    <m:t>E</m:t>
                  </m:r>
                </m:e>
                <m:sub>
                  <m:r>
                    <m:t>t</m:t>
                  </m:r>
                  <m:r>
                    <m:t>e</m:t>
                  </m:r>
                  <m:r>
                    <m:t>o</m:t>
                  </m:r>
                </m:sub>
              </m:sSub>
            </m:oMath>
          </w:p>
        </w:tc>
      </w:tr>
      <w:tr>
        <w:tc>
          <w:tcPr/>
          <w:p>
            <w:pPr>
              <w:pStyle w:val="Compact"/>
              <w:jc w:val="left"/>
            </w:pPr>
            <m:oMath>
              <m:r>
                <m:t>1100</m:t>
              </m:r>
            </m:oMath>
          </w:p>
        </w:tc>
        <w:tc>
          <w:tcPr/>
          <w:p>
            <w:pPr>
              <w:pStyle w:val="Compact"/>
              <w:jc w:val="left"/>
            </w:pPr>
            <m:oMath>
              <m:r>
                <m:t>2710</m:t>
              </m:r>
            </m:oMath>
          </w:p>
        </w:tc>
        <w:tc>
          <w:tcPr/>
          <w:p>
            <w:pPr>
              <w:pStyle w:val="Compact"/>
              <w:jc w:val="left"/>
            </w:pPr>
            <m:oMath>
              <m:r>
                <m:t>69</m:t>
              </m:r>
            </m:oMath>
          </w:p>
        </w:tc>
        <w:tc>
          <w:tcPr/>
          <w:p>
            <w:pPr>
              <w:pStyle w:val="Compact"/>
            </w:pPr>
          </w:p>
        </w:tc>
        <w:tc>
          <w:tcPr/>
          <w:p>
            <w:pPr>
              <w:pStyle w:val="Compact"/>
            </w:pPr>
          </w:p>
        </w:tc>
      </w:tr>
      <w:tr>
        <w:tc>
          <w:tcPr/>
          <w:p>
            <w:pPr>
              <w:pStyle w:val="Compact"/>
              <w:jc w:val="left"/>
            </w:pPr>
            <m:oMath>
              <m:r>
                <m:t>2011</m:t>
              </m:r>
            </m:oMath>
          </w:p>
        </w:tc>
        <w:tc>
          <w:tcPr/>
          <w:p>
            <w:pPr>
              <w:pStyle w:val="Compact"/>
              <w:jc w:val="left"/>
            </w:pPr>
            <m:oMath>
              <m:r>
                <m:t>2830</m:t>
              </m:r>
            </m:oMath>
          </w:p>
        </w:tc>
        <w:tc>
          <w:tcPr/>
          <w:p>
            <w:pPr>
              <w:pStyle w:val="Compact"/>
              <w:jc w:val="left"/>
            </w:pPr>
            <m:oMath>
              <m:r>
                <m:t>69</m:t>
              </m:r>
            </m:oMath>
          </w:p>
        </w:tc>
        <w:tc>
          <w:tcPr/>
          <w:p>
            <w:pPr>
              <w:pStyle w:val="Compact"/>
            </w:pPr>
          </w:p>
        </w:tc>
        <w:tc>
          <w:tcPr/>
          <w:p>
            <w:pPr>
              <w:pStyle w:val="Compact"/>
            </w:pPr>
          </w:p>
        </w:tc>
      </w:tr>
      <w:tr>
        <w:tc>
          <w:tcPr/>
          <w:p>
            <w:pPr>
              <w:pStyle w:val="Compact"/>
              <w:jc w:val="left"/>
            </w:pPr>
            <m:oMath>
              <m:r>
                <m:t>2024</m:t>
              </m:r>
            </m:oMath>
          </w:p>
        </w:tc>
        <w:tc>
          <w:tcPr/>
          <w:p>
            <w:pPr>
              <w:pStyle w:val="Compact"/>
              <w:jc w:val="left"/>
            </w:pPr>
            <m:oMath>
              <m:r>
                <m:t>2780</m:t>
              </m:r>
            </m:oMath>
          </w:p>
        </w:tc>
        <w:tc>
          <w:tcPr/>
          <w:p>
            <w:pPr>
              <w:pStyle w:val="Compact"/>
              <w:jc w:val="left"/>
            </w:pPr>
            <m:oMath>
              <m:r>
                <m:t>73</m:t>
              </m:r>
            </m:oMath>
          </w:p>
        </w:tc>
        <w:tc>
          <w:tcPr/>
          <w:p>
            <w:pPr>
              <w:pStyle w:val="Compact"/>
            </w:pPr>
          </w:p>
        </w:tc>
        <w:tc>
          <w:tcPr/>
          <w:p>
            <w:pPr>
              <w:pStyle w:val="Compact"/>
            </w:pPr>
          </w:p>
        </w:tc>
      </w:tr>
      <w:tr>
        <w:tc>
          <w:tcPr/>
          <w:p>
            <w:pPr>
              <w:pStyle w:val="Compact"/>
              <w:jc w:val="left"/>
            </w:pPr>
            <m:oMath>
              <m:r>
                <m:t>2219</m:t>
              </m:r>
            </m:oMath>
          </w:p>
        </w:tc>
        <w:tc>
          <w:tcPr/>
          <w:p>
            <w:pPr>
              <w:pStyle w:val="Compact"/>
              <w:jc w:val="left"/>
            </w:pPr>
            <m:oMath>
              <m:r>
                <m:t>2840</m:t>
              </m:r>
            </m:oMath>
          </w:p>
        </w:tc>
        <w:tc>
          <w:tcPr/>
          <w:p>
            <w:pPr>
              <w:pStyle w:val="Compact"/>
              <w:jc w:val="left"/>
            </w:pPr>
            <m:oMath>
              <m:r>
                <m:t>73</m:t>
              </m:r>
            </m:oMath>
          </w:p>
        </w:tc>
        <w:tc>
          <w:tcPr/>
          <w:p>
            <w:pPr>
              <w:pStyle w:val="Compact"/>
            </w:pPr>
          </w:p>
        </w:tc>
        <w:tc>
          <w:tcPr/>
          <w:p>
            <w:pPr>
              <w:pStyle w:val="Compact"/>
            </w:pPr>
          </w:p>
        </w:tc>
      </w:tr>
      <w:tr>
        <w:tc>
          <w:tcPr/>
          <w:p>
            <w:pPr>
              <w:pStyle w:val="Compact"/>
              <w:jc w:val="left"/>
            </w:pPr>
            <m:oMath>
              <m:r>
                <m:t>5154</m:t>
              </m:r>
            </m:oMath>
          </w:p>
        </w:tc>
        <w:tc>
          <w:tcPr/>
          <w:p>
            <w:pPr>
              <w:pStyle w:val="Compact"/>
              <w:jc w:val="left"/>
            </w:pPr>
            <m:oMath>
              <m:r>
                <m:t>2660</m:t>
              </m:r>
            </m:oMath>
          </w:p>
        </w:tc>
        <w:tc>
          <w:tcPr/>
          <w:p>
            <w:pPr>
              <w:pStyle w:val="Compact"/>
              <w:jc w:val="left"/>
            </w:pPr>
            <m:oMath>
              <m:r>
                <m:t>70</m:t>
              </m:r>
            </m:oMath>
          </w:p>
        </w:tc>
        <w:tc>
          <w:tcPr/>
          <w:p>
            <w:pPr>
              <w:pStyle w:val="Compact"/>
            </w:pPr>
          </w:p>
        </w:tc>
        <w:tc>
          <w:tcPr/>
          <w:p>
            <w:pPr>
              <w:pStyle w:val="Compact"/>
            </w:pPr>
          </w:p>
        </w:tc>
      </w:tr>
      <w:tr>
        <w:tc>
          <w:tcPr/>
          <w:p>
            <w:pPr>
              <w:pStyle w:val="Compact"/>
              <w:jc w:val="left"/>
            </w:pPr>
            <m:oMath>
              <m:r>
                <m:t>7050</m:t>
              </m:r>
            </m:oMath>
          </w:p>
        </w:tc>
        <w:tc>
          <w:tcPr/>
          <w:p>
            <w:pPr>
              <w:pStyle w:val="Compact"/>
              <w:jc w:val="left"/>
            </w:pPr>
            <m:oMath>
              <m:r>
                <m:t>2830</m:t>
              </m:r>
            </m:oMath>
          </w:p>
        </w:tc>
        <w:tc>
          <w:tcPr/>
          <w:p>
            <w:pPr>
              <w:pStyle w:val="Compact"/>
              <w:jc w:val="left"/>
            </w:pPr>
            <m:oMath>
              <m:r>
                <m:t>72</m:t>
              </m:r>
            </m:oMath>
          </w:p>
        </w:tc>
        <w:tc>
          <w:tcPr/>
          <w:p>
            <w:pPr>
              <w:pStyle w:val="Compact"/>
            </w:pPr>
          </w:p>
        </w:tc>
        <w:tc>
          <w:tcPr/>
          <w:p>
            <w:pPr>
              <w:pStyle w:val="Compact"/>
            </w:pPr>
          </w:p>
        </w:tc>
      </w:tr>
    </w:tbl>
    <w:p>
      <w:pPr>
        <w:numPr>
          <w:ilvl w:val="0"/>
          <w:numId w:val="1001"/>
        </w:numPr>
      </w:pPr>
      <w:r>
        <w:t xml:space="preserve">Colocar ahora una pesa en una de las barras del diapasón. Situando las dos cajas de resonancia cerca una de la otra, golpear sucesivamente los dos diapasones y grabar la onda sonora con el programa informático. Obtener una gráfica en la cual se aprecie con claridad el fenómeno de los batidos.</w:t>
      </w:r>
    </w:p>
    <w:bookmarkEnd w:id="32"/>
    <w:bookmarkStart w:id="33" w:name="discusión"/>
    <w:p>
      <w:pPr>
        <w:pStyle w:val="Heading2"/>
      </w:pPr>
      <w:r>
        <w:t xml:space="preserve">Discusión</w:t>
      </w:r>
    </w:p>
    <w:p>
      <w:pPr>
        <w:pStyle w:val="FirstParagraph"/>
      </w:pPr>
      <w:r>
        <w:t xml:space="preserve">La discusión del experimento es libre, si bien es necesario aclarar al menos los siguientes aspectos:</w:t>
      </w:r>
    </w:p>
    <w:p>
      <w:pPr>
        <w:numPr>
          <w:ilvl w:val="0"/>
          <w:numId w:val="1002"/>
        </w:numPr>
      </w:pPr>
      <w:r>
        <w:t xml:space="preserve">Discuta de qué aleación de aluminio es más probable que estén hechas las barras de los diapasones.</w:t>
      </w:r>
    </w:p>
    <w:p>
      <w:pPr>
        <w:numPr>
          <w:ilvl w:val="0"/>
          <w:numId w:val="1002"/>
        </w:numPr>
      </w:pPr>
      <w:r>
        <w:t xml:space="preserve">Discuta de forma cuantitativa las principales fuentes de error que afectan al cálculo del módulo de Young. Si es viable experimentalmente, indique de qué manera se podría reducir el error.</w:t>
      </w:r>
    </w:p>
    <w:bookmarkEnd w:id="33"/>
    <w:bookmarkStart w:id="34" w:name="cuestiones"/>
    <w:p>
      <w:pPr>
        <w:pStyle w:val="Heading2"/>
      </w:pPr>
      <w:r>
        <w:t xml:space="preserve">Cuestiones</w:t>
      </w:r>
    </w:p>
    <w:p>
      <w:pPr>
        <w:numPr>
          <w:ilvl w:val="0"/>
          <w:numId w:val="1003"/>
        </w:numPr>
      </w:pPr>
      <w:r>
        <w:t xml:space="preserve">Calcular la longitud de onda de la onda sonora del diapasón y compararla con la longitud del lado mayor de la caja de resonancia. ¿Cual es la relación entre ambas medidas? ¿Es una coincidencia?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2026-09-10T15:22:39Z</dcterms:created>
  <dcterms:modified xsi:type="dcterms:W3CDTF">2026-09-10T15:22:39Z</dcterms:modified>
</cp:coreProperties>
</file>

<file path=docProps/custom.xml><?xml version="1.0" encoding="utf-8"?>
<Properties xmlns="http://schemas.openxmlformats.org/officeDocument/2006/custom-properties" xmlns:vt="http://schemas.openxmlformats.org/officeDocument/2006/docPropsVTypes"/>
</file>