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29.jpg" ContentType="image/jpeg"/>
  <Override PartName="/word/media/rId33.jpg" ContentType="image/jpeg"/>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ey-de-stefan-boltzmann"/>
    <w:p>
      <w:pPr>
        <w:pStyle w:val="Heading1"/>
      </w:pPr>
      <w:r>
        <w:t xml:space="preserve">Ley de Stefan-Boltzmann</w:t>
      </w:r>
    </w:p>
    <w:bookmarkStart w:id="20" w:name="objetivo"/>
    <w:p>
      <w:pPr>
        <w:pStyle w:val="Heading2"/>
      </w:pPr>
      <w:r>
        <w:t xml:space="preserve">Objetivo</w:t>
      </w:r>
    </w:p>
    <w:p>
      <w:pPr>
        <w:pStyle w:val="FirstParagraph"/>
      </w:pPr>
      <w:r>
        <w:t xml:space="preserve">En este experimento se estudia la ley de Stefan-Boltzmann que relaciona la emitancia radiante</w:t>
      </w:r>
      <w:r>
        <w:t xml:space="preserve"> </w:t>
      </w:r>
      <m:oMath>
        <m:sSub>
          <m:e>
            <m:r>
              <m:t>M</m:t>
            </m:r>
          </m:e>
          <m:sub>
            <m:r>
              <m:t>e</m:t>
            </m:r>
          </m:sub>
        </m:sSub>
      </m:oMath>
      <w:r>
        <w:t xml:space="preserve"> </w:t>
      </w:r>
      <w:r>
        <w:t xml:space="preserve">de un cuerpo negro con la temperatura</w:t>
      </w:r>
      <w:r>
        <w:t xml:space="preserve"> </w:t>
      </w:r>
      <m:oMath>
        <m:r>
          <m:t>T</m:t>
        </m:r>
      </m:oMath>
      <w:r>
        <w:t xml:space="preserve"> </w:t>
      </w:r>
      <w:r>
        <w:t xml:space="preserve">del mismo tal que</w:t>
      </w:r>
      <w:r>
        <w:t xml:space="preserve"> </w:t>
      </w:r>
      <m:oMath>
        <m:sSub>
          <m:e>
            <m:r>
              <m:t>M</m:t>
            </m:r>
          </m:e>
          <m:sub>
            <m:r>
              <m:t>e</m:t>
            </m:r>
          </m:sub>
        </m:sSub>
        <m:r>
          <m:rPr>
            <m:sty m:val="p"/>
          </m:rPr>
          <m:t>=</m:t>
        </m:r>
        <m:r>
          <m:t>σ</m:t>
        </m:r>
        <m:sSup>
          <m:e>
            <m:r>
              <m:t>T</m:t>
            </m:r>
          </m:e>
          <m:sup>
            <m:r>
              <m:t>4</m:t>
            </m:r>
          </m:sup>
        </m:sSup>
      </m:oMath>
      <w:r>
        <w:t xml:space="preserve">. Adicionalmente se obtendrá el valor experimental de la constante de Stefan-Boltzmann</w:t>
      </w:r>
      <w:r>
        <w:t xml:space="preserve"> </w:t>
      </w:r>
      <m:oMath>
        <m:r>
          <m:t>σ</m:t>
        </m:r>
      </m:oMath>
      <w:r>
        <w:t xml:space="preserve">.</w:t>
      </w:r>
    </w:p>
    <w:bookmarkEnd w:id="20"/>
    <w:bookmarkStart w:id="24" w:name="introducción"/>
    <w:p>
      <w:pPr>
        <w:pStyle w:val="Heading2"/>
      </w:pPr>
      <w:r>
        <w:t xml:space="preserve">Introducción</w:t>
      </w:r>
    </w:p>
    <w:p>
      <w:pPr>
        <w:pStyle w:val="CaptionedFigure"/>
      </w:pPr>
      <w:r>
        <w:drawing>
          <wp:inline>
            <wp:extent cx="3200400" cy="2560320"/>
            <wp:effectExtent b="0" l="0" r="0" t="0"/>
            <wp:docPr descr="" title="" id="22" name="Picture"/>
            <a:graphic>
              <a:graphicData uri="http://schemas.openxmlformats.org/drawingml/2006/picture">
                <pic:pic>
                  <pic:nvPicPr>
                    <pic:cNvPr descr="img/planck.jpg" id="23" name="Picture"/>
                    <pic:cNvPicPr>
                      <a:picLocks noChangeArrowheads="1" noChangeAspect="1"/>
                    </pic:cNvPicPr>
                  </pic:nvPicPr>
                  <pic:blipFill>
                    <a:blip r:embed="rId21"/>
                    <a:stretch>
                      <a:fillRect/>
                    </a:stretch>
                  </pic:blipFill>
                  <pic:spPr bwMode="auto">
                    <a:xfrm>
                      <a:off x="0" y="0"/>
                      <a:ext cx="3200400" cy="2560320"/>
                    </a:xfrm>
                    <a:prstGeom prst="rect">
                      <a:avLst/>
                    </a:prstGeom>
                    <a:noFill/>
                    <a:ln w="9525">
                      <a:noFill/>
                      <a:headEnd/>
                      <a:tailEnd/>
                    </a:ln>
                  </pic:spPr>
                </pic:pic>
              </a:graphicData>
            </a:graphic>
          </wp:inline>
        </w:drawing>
      </w:r>
    </w:p>
    <w:p>
      <w:pPr>
        <w:pStyle w:val="ImageCaption"/>
      </w:pPr>
      <w:r>
        <w:t xml:space="preserve">Figura 2.1: Aquí se puede observar la ley de Planck para diferentes temperaturas.</w:t>
      </w:r>
    </w:p>
    <w:p>
      <w:pPr>
        <w:pStyle w:val="BodyText"/>
      </w:pPr>
      <w:r>
        <w:t xml:space="preserve">Un cuerpo negro es un objeto teórico o ideal que absorbe toda la luz y toda la energía electromagnética que incide sobre él. Nada de la radiación incidente se refleja o pasa a través del cuerpo negro. A pesar de su nombre, el cuerpo negro emite luz y constituye un sistema físico idealizado para el estudio de la emisión de radiación electromagnética. La luz emitida por un cuerpo negro se denomina radiación de cuerpo negro. El nombre</w:t>
      </w:r>
      <w:r>
        <w:t xml:space="preserve"> </w:t>
      </w:r>
      <w:r>
        <w:t xml:space="preserve">“</w:t>
      </w:r>
      <w:r>
        <w:t xml:space="preserve">cuerpo negro</w:t>
      </w:r>
      <w:r>
        <w:t xml:space="preserve">”</w:t>
      </w:r>
      <w:r>
        <w:t xml:space="preserve"> </w:t>
      </w:r>
      <w:r>
        <w:t xml:space="preserve">fue introducido por Gustav Kirchhoff en 1862.</w:t>
      </w:r>
    </w:p>
    <w:p>
      <w:pPr>
        <w:pStyle w:val="BodyText"/>
      </w:pPr>
      <w:r>
        <w:t xml:space="preserve">Todo cuerpo emite energía en forma de ondas electromagnéticas, siendo esta radiación, que se emite incluso en el vacío, tanto más intensa cuando más elevada es la temperatura del emisor. La magnitud que se emplea para cuantificar la radiación emitida por un cuerpo negro es la emitancia radiante</w:t>
      </w:r>
      <w:r>
        <w:t xml:space="preserve"> </w:t>
      </w:r>
      <m:oMath>
        <m:sSub>
          <m:e>
            <m:r>
              <m:t>M</m:t>
            </m:r>
          </m:e>
          <m:sub>
            <m:r>
              <m:t>e</m:t>
            </m:r>
          </m:sub>
        </m:sSub>
      </m:oMath>
      <w:r>
        <w:t xml:space="preserve"> </w:t>
      </w:r>
      <w:r>
        <w:t xml:space="preserve">(</w:t>
      </w:r>
      <m:oMath>
        <m:r>
          <m:t>W</m:t>
        </m:r>
        <m:r>
          <m:rPr>
            <m:sty m:val="p"/>
          </m:rPr>
          <m:t>/</m:t>
        </m:r>
        <m:sSup>
          <m:e>
            <m:r>
              <m:t>m</m:t>
            </m:r>
          </m:e>
          <m:sup>
            <m:r>
              <m:t>2</m:t>
            </m:r>
          </m:sup>
        </m:sSup>
      </m:oMath>
      <w:r>
        <w:t xml:space="preserve">), que es igual a la potencia emitida</w:t>
      </w:r>
      <w:r>
        <w:t xml:space="preserve"> </w:t>
      </w:r>
      <w:r>
        <w:t xml:space="preserve">por unidad de superficie del cuerpo negro. La emitancia radiante de un cuerpo a temperatura ambiente es escasa y corresponde a longitudes de onda superiores a las de la luz visible (es decir, de menor frecuencia). Al elevar la temperatura no sólo aumenta la emitancia radiante sino que lo hace a longitudes de onda más cortas; a esto se debe el cambio de color de un cuerpo cuando se calienta. Los cuerpos no emiten con igual intensidad a todas las frecuencias o longitudes de onda, sino que lo hacen siguiendo la ley de Planck, que relaciona la emitancia espectral radiante con la logitud de onda a través de la siguiente función de densidad de probabilidad:</w:t>
      </w:r>
    </w:p>
    <w:p>
      <w:pPr>
        <w:pStyle w:val="BodyText"/>
      </w:pPr>
      <m:oMathPara>
        <m:oMathParaPr>
          <m:jc m:val="center"/>
        </m:oMathParaPr>
        <m:oMath>
          <m:sSub>
            <m:e>
              <m:r>
                <m:t>M</m:t>
              </m:r>
            </m:e>
            <m:sub>
              <m:r>
                <m:t>e</m:t>
              </m:r>
              <m:r>
                <m:t>λ</m:t>
              </m:r>
            </m:sub>
          </m:sSub>
          <m:r>
            <m:rPr>
              <m:sty m:val="p"/>
            </m:rPr>
            <m:t>=</m:t>
          </m:r>
          <m:f>
            <m:fPr>
              <m:type m:val="bar"/>
            </m:fPr>
            <m:num>
              <m:r>
                <m:t>8</m:t>
              </m:r>
              <m:r>
                <m:t>π</m:t>
              </m:r>
              <m:r>
                <m:t>h</m:t>
              </m:r>
              <m:sSup>
                <m:e>
                  <m:r>
                    <m:t>c</m:t>
                  </m:r>
                </m:e>
                <m:sup>
                  <m:r>
                    <m:t>2</m:t>
                  </m:r>
                </m:sup>
              </m:sSup>
            </m:num>
            <m:den>
              <m:sSup>
                <m:e>
                  <m:r>
                    <m:t>λ</m:t>
                  </m:r>
                </m:e>
                <m:sup>
                  <m:r>
                    <m:t>5</m:t>
                  </m:r>
                </m:sup>
              </m:sSup>
            </m:den>
          </m:f>
          <m:f>
            <m:fPr>
              <m:type m:val="bar"/>
            </m:fPr>
            <m:num>
              <m:r>
                <m:t>1</m:t>
              </m:r>
            </m:num>
            <m:den>
              <m:sSup>
                <m:e>
                  <m:r>
                    <m:t>e</m:t>
                  </m:r>
                </m:e>
                <m:sup>
                  <m:r>
                    <m:t>h</m:t>
                  </m:r>
                  <m:r>
                    <m:t>c</m:t>
                  </m:r>
                  <m:r>
                    <m:rPr>
                      <m:sty m:val="p"/>
                    </m:rPr>
                    <m:t>/</m:t>
                  </m:r>
                  <m:r>
                    <m:t>λ</m:t>
                  </m:r>
                  <m:sSub>
                    <m:e>
                      <m:r>
                        <m:t>k</m:t>
                      </m:r>
                    </m:e>
                    <m:sub>
                      <m:r>
                        <m:t>B</m:t>
                      </m:r>
                    </m:sub>
                  </m:sSub>
                  <m:r>
                    <m:t>T</m:t>
                  </m:r>
                </m:sup>
              </m:sSup>
              <m:r>
                <m:rPr>
                  <m:sty m:val="p"/>
                </m:rPr>
                <m:t>−</m:t>
              </m:r>
              <m:r>
                <m:t>1</m:t>
              </m:r>
            </m:den>
          </m:f>
          <m:r>
            <m:t> </m:t>
          </m:r>
          <m:r>
            <m:rPr>
              <m:nor/>
              <m:sty m:val="p"/>
            </m:rPr>
            <m:t>(2.1)</m:t>
          </m:r>
        </m:oMath>
      </m:oMathPara>
    </w:p>
    <w:p>
      <w:pPr>
        <w:pStyle w:val="FirstParagraph"/>
      </w:pPr>
      <w:r>
        <w:t xml:space="preserve">Donde</w:t>
      </w:r>
      <w:r>
        <w:t xml:space="preserve"> </w:t>
      </w:r>
      <m:oMath>
        <m:sSub>
          <m:e>
            <m:r>
              <m:t>M</m:t>
            </m:r>
          </m:e>
          <m:sub>
            <m:r>
              <m:t>e</m:t>
            </m:r>
            <m:r>
              <m:t>λ</m:t>
            </m:r>
          </m:sub>
        </m:sSub>
      </m:oMath>
      <w:r>
        <w:t xml:space="preserve"> </w:t>
      </w:r>
      <w:r>
        <w:t xml:space="preserve">es la emitancia espectral radiante,</w:t>
      </w:r>
      <w:r>
        <w:t xml:space="preserve"> </w:t>
      </w:r>
      <m:oMath>
        <m:r>
          <m:t>T</m:t>
        </m:r>
      </m:oMath>
      <w:r>
        <w:t xml:space="preserve"> </w:t>
      </w:r>
      <w:r>
        <w:t xml:space="preserve">es la temperatura absoluta,</w:t>
      </w:r>
      <w:r>
        <w:t xml:space="preserve"> </w:t>
      </w:r>
      <m:oMath>
        <m:r>
          <m:t>h</m:t>
        </m:r>
      </m:oMath>
      <w:r>
        <w:t xml:space="preserve"> </w:t>
      </w:r>
      <w:r>
        <w:t xml:space="preserve">es la constante de Planck,</w:t>
      </w:r>
      <w:r>
        <w:t xml:space="preserve"> </w:t>
      </w:r>
      <m:oMath>
        <m:sSub>
          <m:e>
            <m:r>
              <m:t>k</m:t>
            </m:r>
          </m:e>
          <m:sub>
            <m:r>
              <m:t>B</m:t>
            </m:r>
          </m:sub>
        </m:sSub>
      </m:oMath>
      <w:r>
        <w:t xml:space="preserve"> </w:t>
      </w:r>
      <w:r>
        <w:t xml:space="preserve">es la constante de Boltzmann y</w:t>
      </w:r>
      <w:r>
        <w:t xml:space="preserve"> </w:t>
      </w:r>
      <m:oMath>
        <m:r>
          <m:t>c</m:t>
        </m:r>
      </m:oMath>
      <w:r>
        <w:t xml:space="preserve"> </w:t>
      </w:r>
      <w:r>
        <w:t xml:space="preserve">es la velocidad de la luz en el medio. En la figura 2.1 se muestra la apariencia de la distribución de Planck para diferentes temperaturas.</w:t>
      </w:r>
    </w:p>
    <w:p>
      <w:pPr>
        <w:pStyle w:val="BodyText"/>
      </w:pPr>
      <w:r>
        <w:t xml:space="preserve">Integrando la distribución de Planck (</w:t>
      </w:r>
      <m:oMath>
        <m:nary>
          <m:naryPr>
            <m:chr m:val="∫"/>
            <m:limLoc m:val="subSup"/>
            <m:subHide m:val="off"/>
            <m:supHide m:val="off"/>
          </m:naryPr>
          <m:sub>
            <m:r>
              <m:t>0</m:t>
            </m:r>
          </m:sub>
          <m:sup>
            <m:r>
              <m:rPr>
                <m:sty m:val="p"/>
              </m:rPr>
              <m:t>∞</m:t>
            </m:r>
          </m:sup>
          <m:e>
            <m:sSub>
              <m:e>
                <m:r>
                  <m:t>M</m:t>
                </m:r>
              </m:e>
              <m:sub>
                <m:r>
                  <m:t>e</m:t>
                </m:r>
                <m:r>
                  <m:t>λ</m:t>
                </m:r>
              </m:sub>
            </m:sSub>
          </m:e>
        </m:nary>
        <m:r>
          <m:t>d</m:t>
        </m:r>
        <m:r>
          <m:t>λ</m:t>
        </m:r>
        <m:r>
          <m:rPr>
            <m:sty m:val="p"/>
          </m:rPr>
          <m:t>=</m:t>
        </m:r>
        <m:sSub>
          <m:e>
            <m:r>
              <m:t>M</m:t>
            </m:r>
          </m:e>
          <m:sub>
            <m:r>
              <m:t>e</m:t>
            </m:r>
          </m:sub>
        </m:sSub>
      </m:oMath>
      <w:r>
        <w:t xml:space="preserve">) se obtiene la emitancia total:</w:t>
      </w:r>
    </w:p>
    <w:p>
      <w:pPr>
        <w:pStyle w:val="BodyText"/>
      </w:pPr>
      <m:oMathPara>
        <m:oMathParaPr>
          <m:jc m:val="center"/>
        </m:oMathParaPr>
        <m:oMath>
          <m:sSub>
            <m:e>
              <m:r>
                <m:t>M</m:t>
              </m:r>
            </m:e>
            <m:sub>
              <m:r>
                <m:t>e</m:t>
              </m:r>
            </m:sub>
          </m:sSub>
          <m:r>
            <m:rPr>
              <m:sty m:val="p"/>
            </m:rPr>
            <m:t>=</m:t>
          </m:r>
          <m:r>
            <m:t>σ</m:t>
          </m:r>
          <m:sSup>
            <m:e>
              <m:r>
                <m:t>T</m:t>
              </m:r>
            </m:e>
            <m:sup>
              <m:r>
                <m:t>4</m:t>
              </m:r>
            </m:sup>
          </m:sSup>
          <m:r>
            <m:t> </m:t>
          </m:r>
          <m:r>
            <m:rPr>
              <m:nor/>
              <m:sty m:val="p"/>
            </m:rPr>
            <m:t>(2.2)</m:t>
          </m:r>
        </m:oMath>
      </m:oMathPara>
    </w:p>
    <w:p>
      <w:pPr>
        <w:pStyle w:val="FirstParagraph"/>
      </w:pPr>
      <w:r>
        <w:t xml:space="preserve">Donde</w:t>
      </w:r>
      <w:r>
        <w:t xml:space="preserve"> </w:t>
      </w:r>
      <m:oMath>
        <m:r>
          <m:t>σ</m:t>
        </m:r>
        <m:r>
          <m:rPr>
            <m:sty m:val="p"/>
          </m:rPr>
          <m:t>=</m:t>
        </m:r>
        <m:r>
          <m:t>5.67</m:t>
        </m:r>
        <m:r>
          <m:rPr>
            <m:sty m:val="p"/>
          </m:rPr>
          <m:t>×</m:t>
        </m:r>
        <m:sSup>
          <m:e>
            <m:r>
              <m:t>10</m:t>
            </m:r>
          </m:e>
          <m:sup>
            <m:r>
              <m:rPr>
                <m:sty m:val="p"/>
              </m:rPr>
              <m:t>−</m:t>
            </m:r>
            <m:r>
              <m:t>8</m:t>
            </m:r>
          </m:sup>
        </m:sSup>
        <m:f>
          <m:fPr>
            <m:type m:val="bar"/>
          </m:fPr>
          <m:num>
            <m:r>
              <m:t>W</m:t>
            </m:r>
          </m:num>
          <m:den>
            <m:sSup>
              <m:e>
                <m:r>
                  <m:t>m</m:t>
                </m:r>
              </m:e>
              <m:sup>
                <m:r>
                  <m:t>2</m:t>
                </m:r>
              </m:sup>
            </m:sSup>
            <m:sSup>
              <m:e>
                <m:r>
                  <m:t>K</m:t>
                </m:r>
              </m:e>
              <m:sup>
                <m:r>
                  <m:t>4</m:t>
                </m:r>
              </m:sup>
            </m:sSup>
          </m:den>
        </m:f>
      </m:oMath>
      <w:r>
        <w:t xml:space="preserve"> </w:t>
      </w:r>
      <w:r>
        <w:t xml:space="preserve">es la constante de Stefan-Boltzmann.</w:t>
      </w:r>
    </w:p>
    <w:p>
      <w:pPr>
        <w:pStyle w:val="BodyText"/>
      </w:pPr>
      <w:r>
        <w:t xml:space="preserve">Esta relación también es válida para los llamados cuerpos</w:t>
      </w:r>
      <w:r>
        <w:t xml:space="preserve"> </w:t>
      </w:r>
      <w:r>
        <w:t xml:space="preserve">“</w:t>
      </w:r>
      <w:r>
        <w:t xml:space="preserve">grises</w:t>
      </w:r>
      <w:r>
        <w:t xml:space="preserve">”</w:t>
      </w:r>
      <w:r>
        <w:t xml:space="preserve">, que son aquellos para los cuáles no se absorbe toda la radiación que reciben, pero si una buena parte de ella.</w:t>
      </w:r>
    </w:p>
    <w:p>
      <w:pPr>
        <w:pStyle w:val="BodyText"/>
      </w:pPr>
      <w:r>
        <w:t xml:space="preserve">Para probar la validez de la ley de Stefan-Boltzmann, en esta práctica se va a medir la emitancia radiante de un filamento de una lámpara incandescente (una bombilla), que representa a un cuerpo gris de una forma bastante satisfactoria.</w:t>
      </w:r>
    </w:p>
    <w:bookmarkEnd w:id="24"/>
    <w:bookmarkStart w:id="28" w:name="experimento"/>
    <w:p>
      <w:pPr>
        <w:pStyle w:val="Heading2"/>
      </w:pPr>
      <w:r>
        <w:t xml:space="preserve">Experimento</w:t>
      </w:r>
    </w:p>
    <w:p>
      <w:pPr>
        <w:pStyle w:val="CaptionedFigure"/>
      </w:pPr>
      <w:r>
        <w:drawing>
          <wp:inline>
            <wp:extent cx="5334000" cy="3000375"/>
            <wp:effectExtent b="0" l="0" r="0" t="0"/>
            <wp:docPr descr="" title="" id="26" name="Picture"/>
            <a:graphic>
              <a:graphicData uri="http://schemas.openxmlformats.org/drawingml/2006/picture">
                <pic:pic>
                  <pic:nvPicPr>
                    <pic:cNvPr descr="img/Boltzman_montaje1.jpg" id="27" name="Picture"/>
                    <pic:cNvPicPr>
                      <a:picLocks noChangeArrowheads="1" noChangeAspect="1"/>
                    </pic:cNvPicPr>
                  </pic:nvPicPr>
                  <pic:blipFill>
                    <a:blip r:embed="rId2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Figura 2.2: Esquema general de la práctica. Este montaje se usará en la segunda parte.</w:t>
      </w:r>
      <w:r>
        <w:t xml:space="preserve"> </w:t>
      </w:r>
    </w:p>
    <w:p>
      <w:pPr>
        <w:pStyle w:val="BodyText"/>
      </w:pPr>
      <w:r>
        <w:t xml:space="preserve">El objetivo de esta práctica es comprobar experimentalmente la ley de Stefan-Boltzmann midiendo la radiación emitida por el filamento incandescente de una bombilla para diferentes temperaturas (ver figura 2.2). Para ello haremos pasar una corriente conocida por la bombilla, de tal forma que el filamento se calentará a una temperatura</w:t>
      </w:r>
      <w:r>
        <w:t xml:space="preserve"> </w:t>
      </w:r>
      <m:oMath>
        <m:r>
          <m:t>T</m:t>
        </m:r>
      </m:oMath>
      <w:r>
        <w:t xml:space="preserve"> </w:t>
      </w:r>
      <w:r>
        <w:t xml:space="preserve">y emitirá radiación. Esta radiación puede ser medida por una termopila que como resultado generará una pequeña diferencia de potencial. Por medio de un amplificado escalaremos esta diferencia de potencial que mediremos mediante un multímetro para obtener</w:t>
      </w:r>
      <w:r>
        <w:t xml:space="preserve"> </w:t>
      </w:r>
      <m:oMath>
        <m:sSub>
          <m:e>
            <m:r>
              <m:t>V</m:t>
            </m:r>
          </m:e>
          <m:sub>
            <m:r>
              <m:t>t</m:t>
            </m:r>
            <m:r>
              <m:t>e</m:t>
            </m:r>
            <m:r>
              <m:t>r</m:t>
            </m:r>
            <m:r>
              <m:t>m</m:t>
            </m:r>
          </m:sub>
        </m:sSub>
      </m:oMath>
      <w:r>
        <w:t xml:space="preserve">. Esta diferencia de potencial es proporcional a la emitancia radiante. Esto es</w:t>
      </w:r>
    </w:p>
    <w:p>
      <w:pPr>
        <w:pStyle w:val="BodyText"/>
      </w:pPr>
      <m:oMathPara>
        <m:oMathParaPr>
          <m:jc m:val="center"/>
        </m:oMathParaPr>
        <m:oMath>
          <m:sSub>
            <m:e>
              <m:r>
                <m:t>V</m:t>
              </m:r>
            </m:e>
            <m:sub>
              <m:r>
                <m:t>t</m:t>
              </m:r>
              <m:r>
                <m:t>e</m:t>
              </m:r>
              <m:r>
                <m:t>r</m:t>
              </m:r>
              <m:r>
                <m:t>m</m:t>
              </m:r>
            </m:sub>
          </m:sSub>
          <m:r>
            <m:rPr>
              <m:sty m:val="p"/>
            </m:rPr>
            <m:t>=</m:t>
          </m:r>
          <m:r>
            <m:t>γ</m:t>
          </m:r>
          <m:sSub>
            <m:e>
              <m:r>
                <m:t>M</m:t>
              </m:r>
            </m:e>
            <m:sub>
              <m:r>
                <m:t>e</m:t>
              </m:r>
            </m:sub>
          </m:sSub>
          <m:r>
            <m:rPr>
              <m:sty m:val="p"/>
            </m:rPr>
            <m:t>=</m:t>
          </m:r>
          <m:r>
            <m:t>γ</m:t>
          </m:r>
          <m:r>
            <m:t>σ</m:t>
          </m:r>
          <m:d>
            <m:dPr>
              <m:begChr m:val="("/>
              <m:endChr m:val=")"/>
              <m:sepChr m:val=""/>
              <m:grow/>
            </m:dPr>
            <m:e>
              <m:sSup>
                <m:e>
                  <m:r>
                    <m:t>T</m:t>
                  </m:r>
                </m:e>
                <m:sup>
                  <m:r>
                    <m:t>4</m:t>
                  </m:r>
                </m:sup>
              </m:sSup>
              <m:r>
                <m:rPr>
                  <m:sty m:val="p"/>
                </m:rPr>
                <m:t>−</m:t>
              </m:r>
              <m:sSubSup>
                <m:e>
                  <m:r>
                    <m:t>T</m:t>
                  </m:r>
                </m:e>
                <m:sub>
                  <m:r>
                    <m:t>a</m:t>
                  </m:r>
                  <m:r>
                    <m:t>m</m:t>
                  </m:r>
                  <m:r>
                    <m:t>b</m:t>
                  </m:r>
                </m:sub>
                <m:sup>
                  <m:r>
                    <m:t>4</m:t>
                  </m:r>
                </m:sup>
              </m:sSubSup>
            </m:e>
          </m:d>
          <m:r>
            <m:t> </m:t>
          </m:r>
          <m:r>
            <m:rPr>
              <m:nor/>
              <m:sty m:val="p"/>
            </m:rPr>
            <m:t>(2.3)</m:t>
          </m:r>
        </m:oMath>
      </m:oMathPara>
    </w:p>
    <w:p>
      <w:pPr>
        <w:pStyle w:val="FirstParagraph"/>
      </w:pPr>
      <w:r>
        <w:t xml:space="preserve">Donde hemos tenido en cuenta que la termopila también radia por estar a temperatura ambiente</w:t>
      </w:r>
      <w:r>
        <w:t xml:space="preserve"> </w:t>
      </w:r>
      <m:oMath>
        <m:sSub>
          <m:e>
            <m:r>
              <m:t>T</m:t>
            </m:r>
          </m:e>
          <m:sub>
            <m:r>
              <m:t>a</m:t>
            </m:r>
            <m:r>
              <m:t>m</m:t>
            </m:r>
            <m:r>
              <m:t>b</m:t>
            </m:r>
          </m:sub>
        </m:sSub>
      </m:oMath>
      <w:r>
        <w:t xml:space="preserve">. Bajo condiciones normales se puede despreciar</w:t>
      </w:r>
      <w:r>
        <w:t xml:space="preserve"> </w:t>
      </w:r>
      <m:oMath>
        <m:sSubSup>
          <m:e>
            <m:r>
              <m:t>T</m:t>
            </m:r>
          </m:e>
          <m:sub>
            <m:r>
              <m:t>a</m:t>
            </m:r>
            <m:r>
              <m:t>m</m:t>
            </m:r>
            <m:r>
              <m:t>b</m:t>
            </m:r>
          </m:sub>
          <m:sup>
            <m:r>
              <m:t>4</m:t>
            </m:r>
          </m:sup>
        </m:sSubSup>
      </m:oMath>
      <w:r>
        <w:t xml:space="preserve"> </w:t>
      </w:r>
      <w:r>
        <w:t xml:space="preserve">frente a</w:t>
      </w:r>
      <w:r>
        <w:t xml:space="preserve"> </w:t>
      </w:r>
      <m:oMath>
        <m:sSup>
          <m:e>
            <m:r>
              <m:t>T</m:t>
            </m:r>
          </m:e>
          <m:sup>
            <m:r>
              <m:t>4</m:t>
            </m:r>
          </m:sup>
        </m:sSup>
      </m:oMath>
      <w:r>
        <w:t xml:space="preserve">, debido al hecho de que</w:t>
      </w:r>
      <w:r>
        <w:t xml:space="preserve"> </w:t>
      </w:r>
      <m:oMath>
        <m:sSub>
          <m:e>
            <m:r>
              <m:t>T</m:t>
            </m:r>
          </m:e>
          <m:sub>
            <m:r>
              <m:t>a</m:t>
            </m:r>
            <m:r>
              <m:t>m</m:t>
            </m:r>
            <m:r>
              <m:t>b</m:t>
            </m:r>
          </m:sub>
        </m:sSub>
        <m:r>
          <m:rPr>
            <m:sty m:val="p"/>
          </m:rPr>
          <m:t>&lt;</m:t>
        </m:r>
        <m:r>
          <m:t>T</m:t>
        </m:r>
      </m:oMath>
      <w:r>
        <w:t xml:space="preserve"> </w:t>
      </w:r>
      <w:r>
        <w:t xml:space="preserve">y por tanto</w:t>
      </w:r>
      <w:r>
        <w:t xml:space="preserve"> </w:t>
      </w:r>
      <m:oMath>
        <m:sSubSup>
          <m:e>
            <m:r>
              <m:t>T</m:t>
            </m:r>
          </m:e>
          <m:sub>
            <m:r>
              <m:t>a</m:t>
            </m:r>
            <m:r>
              <m:t>m</m:t>
            </m:r>
            <m:r>
              <m:t>b</m:t>
            </m:r>
          </m:sub>
          <m:sup>
            <m:r>
              <m:t>4</m:t>
            </m:r>
          </m:sup>
        </m:sSubSup>
        <m:r>
          <m:rPr>
            <m:sty m:val="p"/>
          </m:rPr>
          <m:t>≪</m:t>
        </m:r>
        <m:sSup>
          <m:e>
            <m:r>
              <m:t>T</m:t>
            </m:r>
          </m:e>
          <m:sup>
            <m:r>
              <m:t>4</m:t>
            </m:r>
          </m:sup>
        </m:sSup>
      </m:oMath>
      <w:r>
        <w:t xml:space="preserve">. De esta forma obtenemos</w:t>
      </w:r>
    </w:p>
    <w:p>
      <w:pPr>
        <w:pStyle w:val="BodyText"/>
      </w:pPr>
      <m:oMathPara>
        <m:oMathParaPr>
          <m:jc m:val="center"/>
        </m:oMathParaPr>
        <m:oMath>
          <m:sSub>
            <m:e>
              <m:r>
                <m:t>V</m:t>
              </m:r>
            </m:e>
            <m:sub>
              <m:r>
                <m:t>t</m:t>
              </m:r>
              <m:r>
                <m:t>e</m:t>
              </m:r>
              <m:r>
                <m:t>r</m:t>
              </m:r>
              <m:r>
                <m:t>m</m:t>
              </m:r>
            </m:sub>
          </m:sSub>
          <m:r>
            <m:rPr>
              <m:sty m:val="p"/>
            </m:rPr>
            <m:t>=</m:t>
          </m:r>
          <m:r>
            <m:t>γ</m:t>
          </m:r>
          <m:r>
            <m:t>σ</m:t>
          </m:r>
          <m:sSup>
            <m:e>
              <m:r>
                <m:t>T</m:t>
              </m:r>
            </m:e>
            <m:sup>
              <m:r>
                <m:t>4</m:t>
              </m:r>
            </m:sup>
          </m:sSup>
          <m:r>
            <m:t> </m:t>
          </m:r>
          <m:r>
            <m:rPr>
              <m:nor/>
              <m:sty m:val="p"/>
            </m:rPr>
            <m:t>(2.4)</m:t>
          </m:r>
        </m:oMath>
      </m:oMathPara>
    </w:p>
    <w:p>
      <w:pPr>
        <w:pStyle w:val="FirstParagraph"/>
      </w:pPr>
      <w:r>
        <w:br/>
      </w:r>
      <w:r>
        <w:t xml:space="preserve">La práctica consta de dos partes:</w:t>
      </w:r>
    </w:p>
    <w:p>
      <w:pPr>
        <w:numPr>
          <w:ilvl w:val="0"/>
          <w:numId w:val="1001"/>
        </w:numPr>
      </w:pPr>
      <w:r>
        <w:t xml:space="preserve">En la primera parte se obtendrá una relación entre la temperatura</w:t>
      </w:r>
      <w:r>
        <w:t xml:space="preserve"> </w:t>
      </w:r>
      <m:oMath>
        <m:r>
          <m:t>T</m:t>
        </m:r>
      </m:oMath>
      <w:r>
        <w:t xml:space="preserve"> </w:t>
      </w:r>
      <w:r>
        <w:t xml:space="preserve">del filamento y su resistencia</w:t>
      </w:r>
      <w:r>
        <w:t xml:space="preserve"> </w:t>
      </w:r>
      <m:oMath>
        <m:r>
          <m:t>R</m:t>
        </m:r>
      </m:oMath>
      <w:r>
        <w:t xml:space="preserve">. Con esta relación podremos conocer la temperatura del filamento a partir de la medición de su resistencia. Para obtener esta relación, será necesario hacer un montaje específico. Este resultado se usará en la segunda parte.</w:t>
      </w:r>
    </w:p>
    <w:p>
      <w:pPr>
        <w:numPr>
          <w:ilvl w:val="0"/>
          <w:numId w:val="1001"/>
        </w:numPr>
      </w:pPr>
      <w:r>
        <w:t xml:space="preserve">En la segunda parte se medirá</w:t>
      </w:r>
      <w:r>
        <w:t xml:space="preserve"> </w:t>
      </w:r>
      <m:oMath>
        <m:sSub>
          <m:e>
            <m:r>
              <m:t>V</m:t>
            </m:r>
          </m:e>
          <m:sub>
            <m:r>
              <m:t>t</m:t>
            </m:r>
            <m:r>
              <m:t>e</m:t>
            </m:r>
            <m:r>
              <m:t>r</m:t>
            </m:r>
            <m:r>
              <m:t>m</m:t>
            </m:r>
          </m:sub>
        </m:sSub>
      </m:oMath>
      <w:r>
        <w:t xml:space="preserve"> </w:t>
      </w:r>
      <w:r>
        <w:t xml:space="preserve">para distintas temperaturas del filamento. Para ello será necesario cambiar el montaje tal como se indica en la parte 2.</w:t>
      </w:r>
    </w:p>
    <w:bookmarkEnd w:id="28"/>
    <w:bookmarkStart w:id="32" w:name="X08c017dca982cdc3ebdb583d505aa171bd76b6f"/>
    <w:p>
      <w:pPr>
        <w:pStyle w:val="Heading2"/>
      </w:pPr>
      <w:r>
        <w:t xml:space="preserve">Parte 1: Relación entre resistencia y temperatura del filamento</w:t>
      </w:r>
    </w:p>
    <w:p>
      <w:pPr>
        <w:pStyle w:val="FirstParagraph"/>
      </w:pPr>
      <w:r>
        <w:t xml:space="preserve">Como no es posible medir directamente la temperatura del filamento, vamos a hacer uso de la relación entre resistencia y temperatura (en</w:t>
      </w:r>
      <w:r>
        <w:t xml:space="preserve"> </w:t>
      </w:r>
      <m:oMath>
        <m:sSup>
          <m:e>
            <m:r>
              <m:t>​</m:t>
            </m:r>
          </m:e>
          <m:sup>
            <m:r>
              <m:t>o</m:t>
            </m:r>
          </m:sup>
        </m:sSup>
      </m:oMath>
      <w:r>
        <w:t xml:space="preserve">C) proporcionada por el fabricante:</w:t>
      </w:r>
    </w:p>
    <w:p>
      <w:pPr>
        <w:pStyle w:val="CaptionedFigure"/>
      </w:pPr>
      <w:r>
        <w:drawing>
          <wp:inline>
            <wp:extent cx="4800600" cy="4388548"/>
            <wp:effectExtent b="0" l="0" r="0" t="0"/>
            <wp:docPr descr="" title="" id="30" name="Picture"/>
            <a:graphic>
              <a:graphicData uri="http://schemas.openxmlformats.org/drawingml/2006/picture">
                <pic:pic>
                  <pic:nvPicPr>
                    <pic:cNvPr descr="img/Boltzman_montaje2.jpg" id="31" name="Picture"/>
                    <pic:cNvPicPr>
                      <a:picLocks noChangeArrowheads="1" noChangeAspect="1"/>
                    </pic:cNvPicPr>
                  </pic:nvPicPr>
                  <pic:blipFill>
                    <a:blip r:embed="rId29"/>
                    <a:stretch>
                      <a:fillRect/>
                    </a:stretch>
                  </pic:blipFill>
                  <pic:spPr bwMode="auto">
                    <a:xfrm>
                      <a:off x="0" y="0"/>
                      <a:ext cx="4800600" cy="4388548"/>
                    </a:xfrm>
                    <a:prstGeom prst="rect">
                      <a:avLst/>
                    </a:prstGeom>
                    <a:noFill/>
                    <a:ln w="9525">
                      <a:noFill/>
                      <a:headEnd/>
                      <a:tailEnd/>
                    </a:ln>
                  </pic:spPr>
                </pic:pic>
              </a:graphicData>
            </a:graphic>
          </wp:inline>
        </w:drawing>
      </w:r>
    </w:p>
    <w:p>
      <w:pPr>
        <w:pStyle w:val="ImageCaption"/>
      </w:pPr>
      <w:r>
        <w:t xml:space="preserve">Figura 2.3: Montaje parte 1.</w:t>
      </w:r>
      <w:r>
        <w:t xml:space="preserve"> </w:t>
      </w:r>
    </w:p>
    <w:p>
      <w:pPr>
        <w:pStyle w:val="BodyText"/>
      </w:pPr>
      <m:oMathPara>
        <m:oMathParaPr>
          <m:jc m:val="center"/>
        </m:oMathParaPr>
        <m:oMath>
          <m:r>
            <m:t>R</m:t>
          </m:r>
          <m:r>
            <m:rPr>
              <m:sty m:val="p"/>
            </m:rPr>
            <m:t>=</m:t>
          </m:r>
          <m:sSub>
            <m:e>
              <m:r>
                <m:t>R</m:t>
              </m:r>
            </m:e>
            <m:sub>
              <m:r>
                <m:t>0</m:t>
              </m:r>
            </m:sub>
          </m:sSub>
          <m:d>
            <m:dPr>
              <m:begChr m:val="("/>
              <m:endChr m:val=")"/>
              <m:sepChr m:val=""/>
              <m:grow/>
            </m:dPr>
            <m:e>
              <m:r>
                <m:t>1</m:t>
              </m:r>
              <m:r>
                <m:rPr>
                  <m:sty m:val="p"/>
                </m:rPr>
                <m:t>+</m:t>
              </m:r>
              <m:r>
                <m:t>α</m:t>
              </m:r>
              <m:r>
                <m:t>t</m:t>
              </m:r>
              <m:r>
                <m:rPr>
                  <m:sty m:val="p"/>
                </m:rPr>
                <m:t>+</m:t>
              </m:r>
              <m:r>
                <m:t>β</m:t>
              </m:r>
              <m:sSup>
                <m:e>
                  <m:r>
                    <m:t>t</m:t>
                  </m:r>
                </m:e>
                <m:sup>
                  <m:r>
                    <m:t>2</m:t>
                  </m:r>
                </m:sup>
              </m:sSup>
            </m:e>
          </m:d>
          <m:r>
            <m:rPr>
              <m:sty m:val="p"/>
            </m:rPr>
            <m:t>,</m:t>
          </m:r>
          <m:r>
            <m:t> </m:t>
          </m:r>
          <m:r>
            <m:rPr>
              <m:nor/>
              <m:sty m:val="p"/>
            </m:rPr>
            <m:t>(2.5)</m:t>
          </m:r>
        </m:oMath>
      </m:oMathPara>
    </w:p>
    <w:p>
      <w:pPr>
        <w:pStyle w:val="FirstParagraph"/>
      </w:pPr>
      <w:r>
        <w:t xml:space="preserve">donde</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r>
                  <m:t>t</m:t>
                </m:r>
              </m:e>
              <m:e>
                <m:r>
                  <m:rPr>
                    <m:sty m:val="p"/>
                  </m:rPr>
                  <m:t>=</m:t>
                </m:r>
              </m:e>
              <m:e>
                <m:r>
                  <m:rPr>
                    <m:nor/>
                    <m:sty m:val="p"/>
                  </m:rPr>
                  <m:t>temperatura en grados </m:t>
                </m:r>
                <m:sSup>
                  <m:e>
                    <m:r>
                      <m:t>​</m:t>
                    </m:r>
                  </m:e>
                  <m:sup>
                    <m:r>
                      <m:t>o</m:t>
                    </m:r>
                  </m:sup>
                </m:sSup>
                <m:r>
                  <m:rPr>
                    <m:nor/>
                    <m:sty m:val="p"/>
                  </m:rPr>
                  <m:t>C</m:t>
                </m:r>
              </m:e>
            </m:mr>
            <m:mr>
              <m:e>
                <m:sSub>
                  <m:e>
                    <m:r>
                      <m:t>R</m:t>
                    </m:r>
                  </m:e>
                  <m:sub>
                    <m:r>
                      <m:t>0</m:t>
                    </m:r>
                  </m:sub>
                </m:sSub>
              </m:e>
              <m:e>
                <m:r>
                  <m:rPr>
                    <m:sty m:val="p"/>
                  </m:rPr>
                  <m:t>=</m:t>
                </m:r>
              </m:e>
              <m:e>
                <m:r>
                  <m:rPr>
                    <m:nor/>
                    <m:sty m:val="p"/>
                  </m:rPr>
                  <m:t>resistencia a 0</m:t>
                </m:r>
                <m:sSup>
                  <m:e>
                    <m:r>
                      <m:t>​</m:t>
                    </m:r>
                  </m:e>
                  <m:sup>
                    <m:r>
                      <m:t>o</m:t>
                    </m:r>
                  </m:sup>
                </m:sSup>
                <m:r>
                  <m:rPr>
                    <m:nor/>
                    <m:sty m:val="p"/>
                  </m:rPr>
                  <m:t>C</m:t>
                </m:r>
              </m:e>
            </m:mr>
            <m:mr>
              <m:e>
                <m:r>
                  <m:t>α</m:t>
                </m:r>
              </m:e>
              <m:e>
                <m:r>
                  <m:rPr>
                    <m:sty m:val="p"/>
                  </m:rPr>
                  <m:t>=</m:t>
                </m:r>
              </m:e>
              <m:e>
                <m:r>
                  <m:t>4.82</m:t>
                </m:r>
                <m:r>
                  <m:rPr>
                    <m:sty m:val="p"/>
                  </m:rPr>
                  <m:t>⋅</m:t>
                </m:r>
                <m:sSup>
                  <m:e>
                    <m:r>
                      <m:t>10</m:t>
                    </m:r>
                  </m:e>
                  <m:sup>
                    <m:r>
                      <m:rPr>
                        <m:sty m:val="p"/>
                      </m:rPr>
                      <m:t>−</m:t>
                    </m:r>
                    <m:r>
                      <m:t>3</m:t>
                    </m:r>
                  </m:sup>
                </m:sSup>
                <m:sSup>
                  <m:e>
                    <m:r>
                      <m:rPr>
                        <m:nor/>
                        <m:sty m:val="p"/>
                      </m:rPr>
                      <m:t>K</m:t>
                    </m:r>
                  </m:e>
                  <m:sup>
                    <m:r>
                      <m:rPr>
                        <m:sty m:val="p"/>
                      </m:rPr>
                      <m:t>−</m:t>
                    </m:r>
                    <m:r>
                      <m:t>1</m:t>
                    </m:r>
                  </m:sup>
                </m:sSup>
              </m:e>
            </m:mr>
            <m:mr>
              <m:e>
                <m:r>
                  <m:t>β</m:t>
                </m:r>
              </m:e>
              <m:e>
                <m:r>
                  <m:rPr>
                    <m:sty m:val="p"/>
                  </m:rPr>
                  <m:t>=</m:t>
                </m:r>
              </m:e>
              <m:e>
                <m:r>
                  <m:t>6.76</m:t>
                </m:r>
                <m:r>
                  <m:rPr>
                    <m:sty m:val="p"/>
                  </m:rPr>
                  <m:t>⋅</m:t>
                </m:r>
                <m:sSup>
                  <m:e>
                    <m:r>
                      <m:t>10</m:t>
                    </m:r>
                  </m:e>
                  <m:sup>
                    <m:r>
                      <m:rPr>
                        <m:sty m:val="p"/>
                      </m:rPr>
                      <m:t>−</m:t>
                    </m:r>
                    <m:r>
                      <m:t>7</m:t>
                    </m:r>
                  </m:sup>
                </m:sSup>
                <m:sSup>
                  <m:e>
                    <m:r>
                      <m:rPr>
                        <m:nor/>
                        <m:sty m:val="p"/>
                      </m:rPr>
                      <m:t>K</m:t>
                    </m:r>
                  </m:e>
                  <m:sup>
                    <m:r>
                      <m:rPr>
                        <m:sty m:val="p"/>
                      </m:rPr>
                      <m:t>−</m:t>
                    </m:r>
                    <m:r>
                      <m:t>2</m:t>
                    </m:r>
                  </m:sup>
                </m:sSup>
                <m:r>
                  <m:rPr>
                    <m:sty m:val="p"/>
                  </m:rPr>
                  <m:t>.</m:t>
                </m:r>
              </m:e>
            </m:mr>
          </m:m>
        </m:oMath>
      </m:oMathPara>
    </w:p>
    <w:p>
      <w:pPr>
        <w:pStyle w:val="FirstParagraph"/>
      </w:pPr>
      <w:r>
        <w:t xml:space="preserve">Esta relación será usada en la segunda parte para, a través de la medición de la resistencia del filamento, obtener su temperatura.</w:t>
      </w:r>
    </w:p>
    <w:p>
      <w:pPr>
        <w:pStyle w:val="BodyText"/>
      </w:pPr>
      <w:r>
        <w:t xml:space="preserve">La relación 2.5 está totalmente determinada salvo la constante</w:t>
      </w:r>
      <w:r>
        <w:t xml:space="preserve"> </w:t>
      </w:r>
      <m:oMath>
        <m:sSub>
          <m:e>
            <m:r>
              <m:t>R</m:t>
            </m:r>
          </m:e>
          <m:sub>
            <m:r>
              <m:t>0</m:t>
            </m:r>
          </m:sub>
        </m:sSub>
      </m:oMath>
      <w:r>
        <w:t xml:space="preserve">. El objetivo de esta primera parte es determinar el valor de esta constante. Para ello, podemos despejarla como:</w:t>
      </w:r>
    </w:p>
    <w:p>
      <w:pPr>
        <w:pStyle w:val="BodyText"/>
      </w:pPr>
      <m:oMathPara>
        <m:oMathParaPr>
          <m:jc m:val="center"/>
        </m:oMathParaPr>
        <m:oMath>
          <m:sSub>
            <m:e>
              <m:r>
                <m:t>R</m:t>
              </m:r>
            </m:e>
            <m:sub>
              <m:r>
                <m:t>0</m:t>
              </m:r>
            </m:sub>
          </m:sSub>
          <m:r>
            <m:rPr>
              <m:sty m:val="p"/>
            </m:rPr>
            <m:t>=</m:t>
          </m:r>
          <m:f>
            <m:fPr>
              <m:type m:val="bar"/>
            </m:fPr>
            <m:num>
              <m:r>
                <m:t>R</m:t>
              </m:r>
              <m:d>
                <m:dPr>
                  <m:begChr m:val="("/>
                  <m:endChr m:val=")"/>
                  <m:sepChr m:val=""/>
                  <m:grow/>
                </m:dPr>
                <m:e>
                  <m:sSub>
                    <m:e>
                      <m:r>
                        <m:t>t</m:t>
                      </m:r>
                    </m:e>
                    <m:sub>
                      <m:r>
                        <m:t>a</m:t>
                      </m:r>
                      <m:r>
                        <m:t>m</m:t>
                      </m:r>
                      <m:r>
                        <m:t>b</m:t>
                      </m:r>
                    </m:sub>
                  </m:sSub>
                </m:e>
              </m:d>
            </m:num>
            <m:den>
              <m:r>
                <m:t>1</m:t>
              </m:r>
              <m:r>
                <m:rPr>
                  <m:sty m:val="p"/>
                </m:rPr>
                <m:t>+</m:t>
              </m:r>
              <m:r>
                <m:t>α</m:t>
              </m:r>
              <m:sSub>
                <m:e>
                  <m:r>
                    <m:t>t</m:t>
                  </m:r>
                </m:e>
                <m:sub>
                  <m:r>
                    <m:t>a</m:t>
                  </m:r>
                  <m:r>
                    <m:t>m</m:t>
                  </m:r>
                  <m:r>
                    <m:t>b</m:t>
                  </m:r>
                </m:sub>
              </m:sSub>
              <m:r>
                <m:rPr>
                  <m:sty m:val="p"/>
                </m:rPr>
                <m:t>+</m:t>
              </m:r>
              <m:r>
                <m:t>β</m:t>
              </m:r>
              <m:sSubSup>
                <m:e>
                  <m:r>
                    <m:t>t</m:t>
                  </m:r>
                </m:e>
                <m:sub>
                  <m:r>
                    <m:t>a</m:t>
                  </m:r>
                  <m:r>
                    <m:t>m</m:t>
                  </m:r>
                  <m:r>
                    <m:t>b</m:t>
                  </m:r>
                </m:sub>
                <m:sup>
                  <m:r>
                    <m:t>2</m:t>
                  </m:r>
                </m:sup>
              </m:sSubSup>
            </m:den>
          </m:f>
          <m:r>
            <m:rPr>
              <m:sty m:val="p"/>
            </m:rPr>
            <m:t>,</m:t>
          </m:r>
          <m:r>
            <m:t> </m:t>
          </m:r>
          <m:r>
            <m:rPr>
              <m:nor/>
              <m:sty m:val="p"/>
            </m:rPr>
            <m:t>(2.6)</m:t>
          </m:r>
        </m:oMath>
      </m:oMathPara>
    </w:p>
    <w:p>
      <w:pPr>
        <w:pStyle w:val="FirstParagraph"/>
      </w:pPr>
      <w:r>
        <w:t xml:space="preserve">siendo en este caso</w:t>
      </w:r>
      <w:r>
        <w:t xml:space="preserve"> </w:t>
      </w:r>
      <m:oMath>
        <m:sSub>
          <m:e>
            <m:r>
              <m:t>t</m:t>
            </m:r>
          </m:e>
          <m:sub>
            <m:r>
              <m:t>a</m:t>
            </m:r>
            <m:r>
              <m:t>m</m:t>
            </m:r>
            <m:r>
              <m:t>b</m:t>
            </m:r>
          </m:sub>
        </m:sSub>
      </m:oMath>
      <w:r>
        <w:t xml:space="preserve"> </w:t>
      </w:r>
      <w:r>
        <w:t xml:space="preserve">la temperatura ambiente (la del laboratorio) y</w:t>
      </w:r>
      <w:r>
        <w:t xml:space="preserve"> </w:t>
      </w:r>
      <m:oMath>
        <m:r>
          <m:t>R</m:t>
        </m:r>
        <m:d>
          <m:dPr>
            <m:begChr m:val="("/>
            <m:endChr m:val=")"/>
            <m:sepChr m:val=""/>
            <m:grow/>
          </m:dPr>
          <m:e>
            <m:sSub>
              <m:e>
                <m:r>
                  <m:t>t</m:t>
                </m:r>
              </m:e>
              <m:sub>
                <m:r>
                  <m:t>a</m:t>
                </m:r>
                <m:r>
                  <m:t>m</m:t>
                </m:r>
                <m:r>
                  <m:t>b</m:t>
                </m:r>
              </m:sub>
            </m:sSub>
          </m:e>
        </m:d>
      </m:oMath>
      <w:r>
        <w:t xml:space="preserve"> </w:t>
      </w:r>
      <w:r>
        <w:t xml:space="preserve">la resistencia a temperatura ambiente.</w:t>
      </w:r>
    </w:p>
    <w:p>
      <w:pPr>
        <w:pStyle w:val="BodyText"/>
      </w:pPr>
      <w:r>
        <w:t xml:space="preserve">Para medir</w:t>
      </w:r>
      <w:r>
        <w:t xml:space="preserve"> </w:t>
      </w:r>
      <m:oMath>
        <m:r>
          <m:t>R</m:t>
        </m:r>
        <m:d>
          <m:dPr>
            <m:begChr m:val="("/>
            <m:endChr m:val=")"/>
            <m:sepChr m:val=""/>
            <m:grow/>
          </m:dPr>
          <m:e>
            <m:sSub>
              <m:e>
                <m:r>
                  <m:t>t</m:t>
                </m:r>
              </m:e>
              <m:sub>
                <m:r>
                  <m:t>a</m:t>
                </m:r>
                <m:r>
                  <m:t>m</m:t>
                </m:r>
                <m:r>
                  <m:t>b</m:t>
                </m:r>
              </m:sub>
            </m:sSub>
          </m:e>
        </m:d>
      </m:oMath>
      <w:r>
        <w:t xml:space="preserve">, tendremos que</w:t>
      </w:r>
      <w:r>
        <w:t xml:space="preserve"> </w:t>
      </w:r>
      <w:r>
        <w:rPr>
          <w:bCs/>
          <w:b/>
        </w:rPr>
        <w:t xml:space="preserve">hacer el montaje de la figura 2.3</w:t>
      </w:r>
      <w:r>
        <w:t xml:space="preserve">.</w:t>
      </w:r>
      <w:r>
        <w:t xml:space="preserve"> </w:t>
      </w:r>
      <w:r>
        <w:rPr>
          <w:iCs/>
          <w:i/>
        </w:rPr>
        <w:t xml:space="preserve">Nota: la fuente se conectará de tal forma que suministre corriente DC a la bombilla.</w:t>
      </w:r>
      <w:r>
        <w:t xml:space="preserve"> </w:t>
      </w:r>
      <w:r>
        <w:t xml:space="preserve">A través de este montaje vamos a introducir una pequeña corriente en el filamento de la bombilla. Esta corriente es tan pequeña que podemos asumir que la variación de temperatura del filamento es despreciable. De esta forma la temperatura del filamento en esta parte de la práctica será</w:t>
      </w:r>
      <w:r>
        <w:t xml:space="preserve"> </w:t>
      </w:r>
      <m:oMath>
        <m:sSub>
          <m:e>
            <m:r>
              <m:t>t</m:t>
            </m:r>
          </m:e>
          <m:sub>
            <m:r>
              <m:t>a</m:t>
            </m:r>
            <m:r>
              <m:t>m</m:t>
            </m:r>
            <m:r>
              <m:t>b</m:t>
            </m:r>
          </m:sub>
        </m:sSub>
      </m:oMath>
      <w:r>
        <w:t xml:space="preserve">.</w:t>
      </w:r>
    </w:p>
    <w:p>
      <w:pPr>
        <w:pStyle w:val="BodyText"/>
      </w:pPr>
      <w:r>
        <w:t xml:space="preserve">Se hará pasar por el filamento las intensidades</w:t>
      </w:r>
      <w:r>
        <w:t xml:space="preserve"> </w:t>
      </w:r>
      <m:oMath>
        <m:r>
          <m:t>I</m:t>
        </m:r>
      </m:oMath>
      <w:r>
        <w:t xml:space="preserve"> </w:t>
      </w:r>
      <w:r>
        <w:t xml:space="preserve">indicadas en la tabla y a continuación se anotará la caída de voltaje</w:t>
      </w:r>
      <w:r>
        <w:t xml:space="preserve"> </w:t>
      </w:r>
      <m:oMath>
        <m:r>
          <m:t>V</m:t>
        </m:r>
      </m:oMath>
      <w:r>
        <w:t xml:space="preserve">. Usando la ley de Ohm obtendremos el valor de la resistencia del filamento a temperatura ambiente</w:t>
      </w:r>
      <w:r>
        <w:t xml:space="preserve"> </w:t>
      </w:r>
      <m:oMath>
        <m:r>
          <m:t>R</m:t>
        </m:r>
        <m:d>
          <m:dPr>
            <m:begChr m:val="("/>
            <m:endChr m:val=")"/>
            <m:sepChr m:val=""/>
            <m:grow/>
          </m:dPr>
          <m:e>
            <m:sSub>
              <m:e>
                <m:r>
                  <m:t>t</m:t>
                </m:r>
              </m:e>
              <m:sub>
                <m:r>
                  <m:t>a</m:t>
                </m:r>
                <m:r>
                  <m:t>m</m:t>
                </m:r>
                <m:r>
                  <m:t>b</m:t>
                </m:r>
              </m:sub>
            </m:sSub>
          </m:e>
        </m:d>
        <m:r>
          <m:rPr>
            <m:sty m:val="p"/>
          </m:rPr>
          <m:t>=</m:t>
        </m:r>
        <m:r>
          <m:t>V</m:t>
        </m:r>
        <m:r>
          <m:rPr>
            <m:sty m:val="p"/>
          </m:rPr>
          <m:t>/</m:t>
        </m:r>
        <m:r>
          <m:t>I</m:t>
        </m:r>
      </m:oMath>
      <w:r>
        <w:t xml:space="preserve">.</w:t>
      </w:r>
    </w:p>
    <w:tbl>
      <w:tblPr>
        <w:tblStyle w:val="Table"/>
        <w:tblW w:type="auto" w:w="0"/>
        <w:tblLook w:firstRow="1" w:lastRow="0" w:firstColumn="0" w:lastColumn="0" w:noHBand="0" w:noVBand="0" w:val="0020"/>
        <w:jc w:val="start"/>
        <w:tblLayout w:type="fixed"/>
      </w:tblPr>
      <w:tblGrid>
        <w:gridCol w:w="4183"/>
        <w:gridCol w:w="1722"/>
        <w:gridCol w:w="1722"/>
        <w:gridCol w:w="1723"/>
      </w:tblGrid>
      <w:tr>
        <w:trPr>
          <w:tblHeader w:val="true"/>
        </w:trPr>
        <w:tc>
          <w:tcPr/>
          <w:p>
            <w:pPr>
              <w:pStyle w:val="Compact"/>
              <w:jc w:val="left"/>
            </w:pPr>
            <m:oMath>
              <m:r>
                <m:t>I</m:t>
              </m:r>
            </m:oMath>
            <w:r>
              <w:t xml:space="preserve">(mA)</w:t>
            </w:r>
          </w:p>
        </w:tc>
        <w:tc>
          <w:tcPr/>
          <w:p>
            <w:pPr>
              <w:pStyle w:val="Compact"/>
              <w:jc w:val="left"/>
            </w:pPr>
            <m:oMath>
              <m:r>
                <m:t>60</m:t>
              </m:r>
            </m:oMath>
          </w:p>
        </w:tc>
        <w:tc>
          <w:tcPr/>
          <w:p>
            <w:pPr>
              <w:pStyle w:val="Compact"/>
              <w:jc w:val="left"/>
            </w:pPr>
            <m:oMath>
              <m:r>
                <m:t>100</m:t>
              </m:r>
            </m:oMath>
          </w:p>
        </w:tc>
        <w:tc>
          <w:tcPr/>
          <w:p>
            <w:pPr>
              <w:pStyle w:val="Compact"/>
              <w:jc w:val="left"/>
            </w:pPr>
            <m:oMath>
              <m:r>
                <m:t>140</m:t>
              </m:r>
            </m:oMath>
          </w:p>
        </w:tc>
      </w:tr>
      <w:tr>
        <w:tc>
          <w:tcPr/>
          <w:p>
            <w:pPr>
              <w:pStyle w:val="Compact"/>
              <w:jc w:val="left"/>
            </w:pPr>
            <m:oMath>
              <m:r>
                <m:t>V</m:t>
              </m:r>
            </m:oMath>
            <w:r>
              <w:t xml:space="preserve"> </w:t>
            </w:r>
            <m:oMath>
              <m:d>
                <m:dPr>
                  <m:begChr m:val="("/>
                  <m:endChr m:val=")"/>
                  <m:sepChr m:val=""/>
                  <m:grow/>
                </m:dPr>
                <m:e>
                  <m:r>
                    <m:rPr>
                      <m:sty m:val="p"/>
                    </m:rPr>
                    <m:t>±</m:t>
                  </m:r>
                  <m:r>
                    <m:t>ϵ</m:t>
                  </m:r>
                </m:e>
              </m:d>
            </m:oMath>
          </w:p>
        </w:tc>
        <w:tc>
          <w:tcPr/>
          <w:p>
            <w:pPr>
              <w:pStyle w:val="Compact"/>
            </w:pPr>
          </w:p>
        </w:tc>
        <w:tc>
          <w:tcPr/>
          <w:p>
            <w:pPr>
              <w:pStyle w:val="Compact"/>
            </w:pPr>
          </w:p>
        </w:tc>
        <w:tc>
          <w:tcPr/>
          <w:p>
            <w:pPr>
              <w:pStyle w:val="Compact"/>
            </w:pPr>
          </w:p>
        </w:tc>
      </w:tr>
      <w:tr>
        <w:tc>
          <w:tcPr/>
          <w:p>
            <w:pPr>
              <w:pStyle w:val="Compact"/>
              <w:jc w:val="left"/>
            </w:pPr>
            <m:oMath>
              <m:r>
                <m:t>R</m:t>
              </m:r>
              <m:d>
                <m:dPr>
                  <m:begChr m:val="("/>
                  <m:endChr m:val=")"/>
                  <m:sepChr m:val=""/>
                  <m:grow/>
                </m:dPr>
                <m:e>
                  <m:sSub>
                    <m:e>
                      <m:r>
                        <m:t>t</m:t>
                      </m:r>
                    </m:e>
                    <m:sub>
                      <m:r>
                        <m:t>a</m:t>
                      </m:r>
                      <m:r>
                        <m:t>m</m:t>
                      </m:r>
                      <m:r>
                        <m:t>b</m:t>
                      </m:r>
                    </m:sub>
                  </m:sSub>
                </m:e>
              </m:d>
            </m:oMath>
            <w:r>
              <w:t xml:space="preserve"> </w:t>
            </w:r>
            <m:oMath>
              <m:d>
                <m:dPr>
                  <m:begChr m:val="("/>
                  <m:endChr m:val=")"/>
                  <m:sepChr m:val=""/>
                  <m:grow/>
                </m:dPr>
                <m:e>
                  <m:r>
                    <m:rPr>
                      <m:sty m:val="p"/>
                    </m:rPr>
                    <m:t>±</m:t>
                  </m:r>
                  <m:r>
                    <m:t>ϵ</m:t>
                  </m:r>
                </m:e>
              </m:d>
            </m:oMath>
          </w:p>
        </w:tc>
        <w:tc>
          <w:tcPr/>
          <w:p>
            <w:pPr>
              <w:pStyle w:val="Compact"/>
            </w:pPr>
          </w:p>
        </w:tc>
        <w:tc>
          <w:tcPr/>
          <w:p>
            <w:pPr>
              <w:pStyle w:val="Compact"/>
            </w:pPr>
          </w:p>
        </w:tc>
        <w:tc>
          <w:tcPr/>
          <w:p>
            <w:pPr>
              <w:pStyle w:val="Compact"/>
            </w:pPr>
          </w:p>
        </w:tc>
      </w:tr>
    </w:tbl>
    <w:p>
      <w:pPr>
        <w:pStyle w:val="BodyText"/>
      </w:pPr>
      <w:r>
        <w:t xml:space="preserve">Promediar las 3 medidas de</w:t>
      </w:r>
      <w:r>
        <w:t xml:space="preserve"> </w:t>
      </w:r>
      <m:oMath>
        <m:r>
          <m:t>R</m:t>
        </m:r>
        <m:d>
          <m:dPr>
            <m:begChr m:val="("/>
            <m:endChr m:val=")"/>
            <m:sepChr m:val=""/>
            <m:grow/>
          </m:dPr>
          <m:e>
            <m:sSub>
              <m:e>
                <m:r>
                  <m:t>t</m:t>
                </m:r>
              </m:e>
              <m:sub>
                <m:r>
                  <m:t>R</m:t>
                </m:r>
              </m:sub>
            </m:sSub>
          </m:e>
        </m:d>
      </m:oMath>
      <w:r>
        <w:t xml:space="preserve"> </w:t>
      </w:r>
      <w:r>
        <w:t xml:space="preserve">y calcular el valor de</w:t>
      </w:r>
      <w:r>
        <w:t xml:space="preserve"> </w:t>
      </w:r>
      <m:oMath>
        <m:bar>
          <m:barPr>
            <m:pos m:val="top"/>
          </m:barPr>
          <m:e>
            <m:r>
              <m:t>R</m:t>
            </m:r>
            <m:d>
              <m:dPr>
                <m:begChr m:val="("/>
                <m:endChr m:val=")"/>
                <m:sepChr m:val=""/>
                <m:grow/>
              </m:dPr>
              <m:e>
                <m:sSub>
                  <m:e>
                    <m:r>
                      <m:t>t</m:t>
                    </m:r>
                  </m:e>
                  <m:sub>
                    <m:r>
                      <m:t>R</m:t>
                    </m:r>
                  </m:sub>
                </m:sSub>
              </m:e>
            </m:d>
          </m:e>
        </m:bar>
      </m:oMath>
      <w:r>
        <w:t xml:space="preserve"> </w:t>
      </w:r>
      <w:r>
        <w:t xml:space="preserve">con su correspondiente error.</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t</m:t>
                    </m:r>
                  </m:e>
                  <m:sub>
                    <m:r>
                      <m:t>a</m:t>
                    </m:r>
                    <m:r>
                      <m:t>m</m:t>
                    </m:r>
                    <m:r>
                      <m:t>b</m:t>
                    </m:r>
                  </m:sub>
                </m:sSub>
                <m:d>
                  <m:dPr>
                    <m:begChr m:val="("/>
                    <m:endChr m:val=")"/>
                    <m:sepChr m:val=""/>
                    <m:grow/>
                  </m:dPr>
                  <m:e>
                    <m:r>
                      <m:rPr>
                        <m:sty m:val="p"/>
                      </m:rPr>
                      <m:t>±</m:t>
                    </m:r>
                    <m:r>
                      <m:t>ϵ</m:t>
                    </m:r>
                  </m:e>
                </m:d>
                <m:r>
                  <m:rPr>
                    <m:sty m:val="p"/>
                  </m:rPr>
                  <m:t>=</m:t>
                </m:r>
              </m:e>
            </m:mr>
            <m:mr>
              <m:e/>
            </m:mr>
            <m:mr>
              <m:e>
                <m:bar>
                  <m:barPr>
                    <m:pos m:val="top"/>
                  </m:barPr>
                  <m:e>
                    <m:r>
                      <m:t>R</m:t>
                    </m:r>
                    <m:d>
                      <m:dPr>
                        <m:begChr m:val="("/>
                        <m:endChr m:val=")"/>
                        <m:sepChr m:val=""/>
                        <m:grow/>
                      </m:dPr>
                      <m:e>
                        <m:sSub>
                          <m:e>
                            <m:r>
                              <m:t>t</m:t>
                            </m:r>
                          </m:e>
                          <m:sub>
                            <m:r>
                              <m:t>a</m:t>
                            </m:r>
                            <m:r>
                              <m:t>m</m:t>
                            </m:r>
                            <m:r>
                              <m:t>b</m:t>
                            </m:r>
                          </m:sub>
                        </m:sSub>
                      </m:e>
                    </m:d>
                  </m:e>
                </m:bar>
                <m:d>
                  <m:dPr>
                    <m:begChr m:val="("/>
                    <m:endChr m:val=")"/>
                    <m:sepChr m:val=""/>
                    <m:grow/>
                  </m:dPr>
                  <m:e>
                    <m:r>
                      <m:rPr>
                        <m:sty m:val="p"/>
                      </m:rPr>
                      <m:t>±</m:t>
                    </m:r>
                    <m:r>
                      <m:t>ϵ</m:t>
                    </m:r>
                  </m:e>
                </m:d>
              </m:e>
              <m:e>
                <m:r>
                  <m:rPr>
                    <m:sty m:val="p"/>
                  </m:rPr>
                  <m:t>=</m:t>
                </m:r>
              </m:e>
              <m:e>
                <m:r>
                  <m:rPr>
                    <m:nor/>
                    <m:sty m:val="p"/>
                  </m:rPr>
                  <m:t>              </m:t>
                </m:r>
              </m:e>
            </m:mr>
            <m:mr>
              <m:e/>
            </m:mr>
          </m:m>
        </m:oMath>
      </m:oMathPara>
    </w:p>
    <w:p>
      <w:pPr>
        <w:pStyle w:val="FirstParagraph"/>
      </w:pPr>
      <w:r>
        <w:t xml:space="preserve">Utilizar el valor promedio</w:t>
      </w:r>
      <w:r>
        <w:t xml:space="preserve"> </w:t>
      </w:r>
      <m:oMath>
        <m:bar>
          <m:barPr>
            <m:pos m:val="top"/>
          </m:barPr>
          <m:e>
            <m:r>
              <m:t>R</m:t>
            </m:r>
            <m:d>
              <m:dPr>
                <m:begChr m:val="("/>
                <m:endChr m:val=")"/>
                <m:sepChr m:val=""/>
                <m:grow/>
              </m:dPr>
              <m:e>
                <m:sSub>
                  <m:e>
                    <m:r>
                      <m:t>t</m:t>
                    </m:r>
                  </m:e>
                  <m:sub>
                    <m:r>
                      <m:t>a</m:t>
                    </m:r>
                    <m:r>
                      <m:t>m</m:t>
                    </m:r>
                    <m:r>
                      <m:t>b</m:t>
                    </m:r>
                  </m:sub>
                </m:sSub>
              </m:e>
            </m:d>
          </m:e>
        </m:bar>
      </m:oMath>
      <w:r>
        <w:t xml:space="preserve"> </w:t>
      </w:r>
      <w:r>
        <w:t xml:space="preserve">y la ecuación 2.6 para la obtención de la resistencia a cero grados centígrados</w:t>
      </w:r>
      <w:r>
        <w:t xml:space="preserve"> </w:t>
      </w:r>
      <m:oMath>
        <m:sSub>
          <m:e>
            <m:r>
              <m:t>R</m:t>
            </m:r>
          </m:e>
          <m:sub>
            <m:r>
              <m:t>0</m:t>
            </m:r>
          </m:sub>
        </m:sSub>
      </m:oMath>
      <w:r>
        <w:t xml:space="preserve"> </w:t>
      </w:r>
      <w:r>
        <w:t xml:space="preserve">junto con su correspondiente error:</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s>
            </m:mPr>
            <m:mr>
              <m:e>
                <m:sSub>
                  <m:e>
                    <m:r>
                      <m:t>R</m:t>
                    </m:r>
                  </m:e>
                  <m:sub>
                    <m:r>
                      <m:t>0</m:t>
                    </m:r>
                  </m:sub>
                </m:sSub>
                <m:d>
                  <m:dPr>
                    <m:begChr m:val="("/>
                    <m:endChr m:val=")"/>
                    <m:sepChr m:val=""/>
                    <m:grow/>
                  </m:dPr>
                  <m:e>
                    <m:r>
                      <m:rPr>
                        <m:sty m:val="p"/>
                      </m:rPr>
                      <m:t>±</m:t>
                    </m:r>
                    <m:r>
                      <m:t>ϵ</m:t>
                    </m:r>
                  </m:e>
                </m:d>
              </m:e>
              <m:e>
                <m:r>
                  <m:rPr>
                    <m:sty m:val="p"/>
                  </m:rPr>
                  <m:t>=</m:t>
                </m:r>
              </m:e>
              <m:e>
                <m:r>
                  <m:rPr>
                    <m:nor/>
                    <m:sty m:val="p"/>
                  </m:rPr>
                  <m:t>              </m:t>
                </m:r>
              </m:e>
            </m:mr>
            <m:mr>
              <m:e/>
            </m:mr>
          </m:m>
        </m:oMath>
      </m:oMathPara>
    </w:p>
    <w:bookmarkEnd w:id="32"/>
    <w:bookmarkStart w:id="36" w:name="X5b8839dec6889240d33d8044ab3cdf892c1f693"/>
    <w:p>
      <w:pPr>
        <w:pStyle w:val="Heading2"/>
      </w:pPr>
      <w:r>
        <w:t xml:space="preserve">Parte 2: Relación entre</w:t>
      </w:r>
      <w:r>
        <w:t xml:space="preserve"> </w:t>
      </w:r>
      <m:oMath>
        <m:sSub>
          <m:e>
            <m:r>
              <m:t>V</m:t>
            </m:r>
          </m:e>
          <m:sub>
            <m:r>
              <m:t>t</m:t>
            </m:r>
            <m:r>
              <m:t>e</m:t>
            </m:r>
            <m:r>
              <m:t>r</m:t>
            </m:r>
            <m:r>
              <m:t>m</m:t>
            </m:r>
          </m:sub>
        </m:sSub>
      </m:oMath>
      <w:r>
        <w:t xml:space="preserve"> </w:t>
      </w:r>
      <w:r>
        <w:t xml:space="preserve">y</w:t>
      </w:r>
      <w:r>
        <w:t xml:space="preserve"> </w:t>
      </w:r>
      <m:oMath>
        <m:r>
          <m:t>T</m:t>
        </m:r>
      </m:oMath>
      <w:r>
        <w:t xml:space="preserve"> </w:t>
      </w:r>
      <w:r>
        <w:t xml:space="preserve">del filamento</w:t>
      </w:r>
    </w:p>
    <w:p>
      <w:pPr>
        <w:pStyle w:val="FirstParagraph"/>
      </w:pPr>
      <w:r>
        <w:t xml:space="preserve">Para realizar esta parte, debemos primero</w:t>
      </w:r>
      <w:r>
        <w:t xml:space="preserve"> </w:t>
      </w:r>
      <w:r>
        <w:rPr>
          <w:bCs/>
          <w:b/>
        </w:rPr>
        <w:t xml:space="preserve">hacer el montaje que se muestra en la figura 2.4</w:t>
      </w:r>
      <w:r>
        <w:t xml:space="preserve">.</w:t>
      </w:r>
      <w:r>
        <w:t xml:space="preserve"> </w:t>
      </w:r>
      <w:r>
        <w:rPr>
          <w:iCs/>
          <w:i/>
        </w:rPr>
        <w:t xml:space="preserve">Nota: la fuente debe conectarse tal que suministre corriente AC a la bombilla. Debe configurarse el multimetro que mide</w:t>
      </w:r>
      <w:r>
        <w:rPr>
          <w:iCs/>
          <w:i/>
        </w:rPr>
        <w:t xml:space="preserve"> </w:t>
      </w:r>
      <m:oMath>
        <m:r>
          <m:t>I</m:t>
        </m:r>
      </m:oMath>
      <w:r>
        <w:rPr>
          <w:iCs/>
          <w:i/>
        </w:rPr>
        <w:t xml:space="preserve"> </w:t>
      </w:r>
      <w:r>
        <w:rPr>
          <w:iCs/>
          <w:i/>
        </w:rPr>
        <w:t xml:space="preserve">para medir corrientes grandes.</w:t>
      </w:r>
      <w:r>
        <w:t xml:space="preserve"> </w:t>
      </w:r>
      <w:r>
        <w:t xml:space="preserve">Este montaje nos permitirá comprobar la relación obtenida anteriormente</w:t>
      </w:r>
    </w:p>
    <w:p>
      <w:pPr>
        <w:pStyle w:val="BodyText"/>
      </w:pPr>
      <m:oMathPara>
        <m:oMathParaPr>
          <m:jc m:val="center"/>
        </m:oMathParaPr>
        <m:oMath>
          <m:sSub>
            <m:e>
              <m:r>
                <m:t>V</m:t>
              </m:r>
            </m:e>
            <m:sub>
              <m:r>
                <m:t>t</m:t>
              </m:r>
              <m:r>
                <m:t>e</m:t>
              </m:r>
              <m:r>
                <m:t>r</m:t>
              </m:r>
              <m:r>
                <m:t>m</m:t>
              </m:r>
            </m:sub>
          </m:sSub>
          <m:r>
            <m:rPr>
              <m:sty m:val="p"/>
            </m:rPr>
            <m:t>=</m:t>
          </m:r>
          <m:r>
            <m:t>γ</m:t>
          </m:r>
          <m:r>
            <m:t>σ</m:t>
          </m:r>
          <m:sSup>
            <m:e>
              <m:r>
                <m:t>T</m:t>
              </m:r>
            </m:e>
            <m:sup>
              <m:r>
                <m:t>4</m:t>
              </m:r>
            </m:sup>
          </m:sSup>
          <m:r>
            <m:t> </m:t>
          </m:r>
          <m:r>
            <m:rPr>
              <m:nor/>
              <m:sty m:val="p"/>
            </m:rPr>
            <m:t>(2.7)</m:t>
          </m:r>
        </m:oMath>
      </m:oMathPara>
    </w:p>
    <w:p>
      <w:pPr>
        <w:pStyle w:val="FirstParagraph"/>
      </w:pPr>
      <w:r>
        <w:t xml:space="preserve">Donde</w:t>
      </w:r>
      <w:r>
        <w:t xml:space="preserve"> </w:t>
      </w:r>
      <m:oMath>
        <m:sSub>
          <m:e>
            <m:r>
              <m:t>V</m:t>
            </m:r>
          </m:e>
          <m:sub>
            <m:r>
              <m:t>t</m:t>
            </m:r>
            <m:r>
              <m:t>e</m:t>
            </m:r>
            <m:r>
              <m:t>r</m:t>
            </m:r>
            <m:r>
              <m:t>m</m:t>
            </m:r>
          </m:sub>
        </m:sSub>
      </m:oMath>
      <w:r>
        <w:t xml:space="preserve"> </w:t>
      </w:r>
      <w:r>
        <w:t xml:space="preserve">es la diferencia de potencial a la salida de la termopila. Como esta diferencia es muy pequeña, se conecta a un amplificador que nos dará la señal amplificada</w:t>
      </w:r>
      <w:r>
        <w:t xml:space="preserve"> </w:t>
      </w:r>
      <m:oMath>
        <m:sSub>
          <m:e>
            <m:r>
              <m:t>V</m:t>
            </m:r>
          </m:e>
          <m:sub>
            <m:r>
              <m:t>t</m:t>
            </m:r>
            <m:r>
              <m:t>e</m:t>
            </m:r>
            <m:r>
              <m:t>r</m:t>
            </m:r>
            <m:r>
              <m:t>m</m:t>
            </m:r>
            <m:r>
              <m:t>A</m:t>
            </m:r>
          </m:sub>
        </m:sSub>
      </m:oMath>
      <w:r>
        <w:t xml:space="preserve"> </w:t>
      </w:r>
      <w:r>
        <w:t xml:space="preserve">que mediremos con en el multímetro. Sabiendo el factor de amplificación (</w:t>
      </w:r>
      <m:oMath>
        <m:sSup>
          <m:e>
            <m:r>
              <m:t>10</m:t>
            </m:r>
          </m:e>
          <m:sup>
            <m:r>
              <m:t>3</m:t>
            </m:r>
          </m:sup>
        </m:sSup>
      </m:oMath>
      <w:r>
        <w:t xml:space="preserve">) podemos calcular</w:t>
      </w:r>
      <w:r>
        <w:t xml:space="preserve"> </w:t>
      </w:r>
      <m:oMath>
        <m:sSub>
          <m:e>
            <m:r>
              <m:t>V</m:t>
            </m:r>
          </m:e>
          <m:sub>
            <m:r>
              <m:t>t</m:t>
            </m:r>
            <m:r>
              <m:t>e</m:t>
            </m:r>
            <m:r>
              <m:t>r</m:t>
            </m:r>
            <m:r>
              <m:t>m</m:t>
            </m:r>
          </m:sub>
        </m:sSub>
        <m:r>
          <m:rPr>
            <m:sty m:val="p"/>
          </m:rPr>
          <m:t>=</m:t>
        </m:r>
        <m:sSub>
          <m:e>
            <m:r>
              <m:t>V</m:t>
            </m:r>
          </m:e>
          <m:sub>
            <m:r>
              <m:t>t</m:t>
            </m:r>
            <m:r>
              <m:t>e</m:t>
            </m:r>
            <m:r>
              <m:t>r</m:t>
            </m:r>
            <m:r>
              <m:t>m</m:t>
            </m:r>
            <m:r>
              <m:t>A</m:t>
            </m:r>
          </m:sub>
        </m:sSub>
        <m:r>
          <m:rPr>
            <m:sty m:val="p"/>
          </m:rPr>
          <m:t>/</m:t>
        </m:r>
        <m:sSup>
          <m:e>
            <m:r>
              <m:t>10</m:t>
            </m:r>
          </m:e>
          <m:sup>
            <m:r>
              <m:t>3</m:t>
            </m:r>
          </m:sup>
        </m:sSup>
      </m:oMath>
      <w:r>
        <w:t xml:space="preserve">.</w:t>
      </w:r>
    </w:p>
    <w:p>
      <w:pPr>
        <w:pStyle w:val="BodyText"/>
      </w:pPr>
      <w:r>
        <w:t xml:space="preserve">Por otro lado, la temperatura</w:t>
      </w:r>
      <w:r>
        <w:t xml:space="preserve"> </w:t>
      </w:r>
      <m:oMath>
        <m:r>
          <m:t>T</m:t>
        </m:r>
      </m:oMath>
      <w:r>
        <w:t xml:space="preserve"> </w:t>
      </w:r>
      <w:r>
        <w:t xml:space="preserve">del filamento la determinaremos haciendo uso de la relación inversa de 2.5 y usando la relación</w:t>
      </w:r>
      <w:r>
        <w:t xml:space="preserve"> </w:t>
      </w:r>
      <m:oMath>
        <m:r>
          <m:t>T</m:t>
        </m:r>
        <m:r>
          <m:rPr>
            <m:sty m:val="p"/>
          </m:rPr>
          <m:t>=</m:t>
        </m:r>
        <m:r>
          <m:t>t</m:t>
        </m:r>
        <m:r>
          <m:rPr>
            <m:sty m:val="p"/>
          </m:rPr>
          <m:t>+</m:t>
        </m:r>
        <m:r>
          <m:t>273</m:t>
        </m:r>
      </m:oMath>
      <w:r>
        <w:t xml:space="preserve"> </w:t>
      </w:r>
      <w:r>
        <w:t xml:space="preserve">obtenemos:</w:t>
      </w:r>
    </w:p>
    <w:p>
      <w:pPr>
        <w:pStyle w:val="BodyText"/>
      </w:pPr>
      <m:oMathPara>
        <m:oMathParaPr>
          <m:jc m:val="center"/>
        </m:oMathParaPr>
        <m:oMath>
          <m:r>
            <m:t>T</m:t>
          </m:r>
          <m:r>
            <m:rPr>
              <m:sty m:val="p"/>
            </m:rPr>
            <m:t>=</m:t>
          </m:r>
          <m:r>
            <m:t>273</m:t>
          </m:r>
          <m:r>
            <m:rPr>
              <m:sty m:val="p"/>
            </m:rPr>
            <m:t>+</m:t>
          </m:r>
          <m:f>
            <m:fPr>
              <m:type m:val="bar"/>
            </m:fPr>
            <m:num>
              <m:r>
                <m:t>1</m:t>
              </m:r>
            </m:num>
            <m:den>
              <m:r>
                <m:t>2</m:t>
              </m:r>
              <m:r>
                <m:t>β</m:t>
              </m:r>
            </m:den>
          </m:f>
          <m:d>
            <m:dPr>
              <m:begChr m:val="["/>
              <m:endChr m:val="]"/>
              <m:sepChr m:val=""/>
              <m:grow/>
            </m:dPr>
            <m:e>
              <m:rad>
                <m:radPr>
                  <m:degHide m:val="on"/>
                </m:radPr>
                <m:deg/>
                <m:e>
                  <m:sSup>
                    <m:e>
                      <m:r>
                        <m:t>α</m:t>
                      </m:r>
                    </m:e>
                    <m:sup>
                      <m:r>
                        <m:t>2</m:t>
                      </m:r>
                    </m:sup>
                  </m:sSup>
                  <m:r>
                    <m:rPr>
                      <m:sty m:val="p"/>
                    </m:rPr>
                    <m:t>+</m:t>
                  </m:r>
                  <m:r>
                    <m:t>4</m:t>
                  </m:r>
                  <m:r>
                    <m:t>β</m:t>
                  </m:r>
                  <m:d>
                    <m:dPr>
                      <m:begChr m:val="("/>
                      <m:endChr m:val=")"/>
                      <m:sepChr m:val=""/>
                      <m:grow/>
                    </m:dPr>
                    <m:e>
                      <m:f>
                        <m:fPr>
                          <m:type m:val="bar"/>
                        </m:fPr>
                        <m:num>
                          <m:r>
                            <m:t>R</m:t>
                          </m:r>
                        </m:num>
                        <m:den>
                          <m:sSub>
                            <m:e>
                              <m:r>
                                <m:t>R</m:t>
                              </m:r>
                            </m:e>
                            <m:sub>
                              <m:r>
                                <m:t>0</m:t>
                              </m:r>
                            </m:sub>
                          </m:sSub>
                        </m:den>
                      </m:f>
                      <m:r>
                        <m:rPr>
                          <m:sty m:val="p"/>
                        </m:rPr>
                        <m:t>−</m:t>
                      </m:r>
                      <m:r>
                        <m:t>1</m:t>
                      </m:r>
                    </m:e>
                  </m:d>
                </m:e>
              </m:rad>
              <m:r>
                <m:rPr>
                  <m:sty m:val="p"/>
                </m:rPr>
                <m:t>−</m:t>
              </m:r>
              <m:r>
                <m:t>α</m:t>
              </m:r>
            </m:e>
          </m:d>
          <m:r>
            <m:rPr>
              <m:sty m:val="p"/>
            </m:rPr>
            <m:t>,</m:t>
          </m:r>
          <m:r>
            <m:t> </m:t>
          </m:r>
          <m:r>
            <m:rPr>
              <m:nor/>
              <m:sty m:val="p"/>
            </m:rPr>
            <m:t>(2.8)</m:t>
          </m:r>
        </m:oMath>
      </m:oMathPara>
    </w:p>
    <w:p>
      <w:pPr>
        <w:pStyle w:val="FirstParagraph"/>
      </w:pPr>
      <w:r>
        <w:t xml:space="preserve">donde</w:t>
      </w:r>
      <w:r>
        <w:t xml:space="preserve"> </w:t>
      </w:r>
      <m:oMath>
        <m:r>
          <m:t>R</m:t>
        </m:r>
        <m:r>
          <m:rPr>
            <m:sty m:val="p"/>
          </m:rPr>
          <m:t>=</m:t>
        </m:r>
        <m:r>
          <m:t>V</m:t>
        </m:r>
        <m:r>
          <m:rPr>
            <m:sty m:val="p"/>
          </m:rPr>
          <m:t>/</m:t>
        </m:r>
        <m:r>
          <m:t>I</m:t>
        </m:r>
      </m:oMath>
      <w:r>
        <w:t xml:space="preserve"> </w:t>
      </w:r>
      <w:r>
        <w:t xml:space="preserve">se obtiene midiendo el voltaje y la corriente en el filamento a través de los multímetros correspondientes.</w:t>
      </w:r>
    </w:p>
    <w:p>
      <w:pPr>
        <w:pStyle w:val="CaptionedFigure"/>
      </w:pPr>
      <w:r>
        <w:drawing>
          <wp:inline>
            <wp:extent cx="5600700" cy="3281076"/>
            <wp:effectExtent b="0" l="0" r="0" t="0"/>
            <wp:docPr descr="" title="" id="34" name="Picture"/>
            <a:graphic>
              <a:graphicData uri="http://schemas.openxmlformats.org/drawingml/2006/picture">
                <pic:pic>
                  <pic:nvPicPr>
                    <pic:cNvPr descr="img/Boltzman_montaje3.jpg" id="35" name="Picture"/>
                    <pic:cNvPicPr>
                      <a:picLocks noChangeArrowheads="1" noChangeAspect="1"/>
                    </pic:cNvPicPr>
                  </pic:nvPicPr>
                  <pic:blipFill>
                    <a:blip r:embed="rId33"/>
                    <a:stretch>
                      <a:fillRect/>
                    </a:stretch>
                  </pic:blipFill>
                  <pic:spPr bwMode="auto">
                    <a:xfrm>
                      <a:off x="0" y="0"/>
                      <a:ext cx="5600700" cy="3281076"/>
                    </a:xfrm>
                    <a:prstGeom prst="rect">
                      <a:avLst/>
                    </a:prstGeom>
                    <a:noFill/>
                    <a:ln w="9525">
                      <a:noFill/>
                      <a:headEnd/>
                      <a:tailEnd/>
                    </a:ln>
                  </pic:spPr>
                </pic:pic>
              </a:graphicData>
            </a:graphic>
          </wp:inline>
        </w:drawing>
      </w:r>
    </w:p>
    <w:p>
      <w:pPr>
        <w:pStyle w:val="ImageCaption"/>
      </w:pPr>
      <w:r>
        <w:t xml:space="preserve">Figura 2.4: Montaje parte 2.</w:t>
      </w:r>
      <w:r>
        <w:t xml:space="preserve"> </w:t>
      </w:r>
    </w:p>
    <w:p>
      <w:pPr>
        <w:numPr>
          <w:ilvl w:val="0"/>
          <w:numId w:val="1002"/>
        </w:numPr>
      </w:pPr>
      <w:r>
        <w:t xml:space="preserve">Se empezará con un voltaje de</w:t>
      </w:r>
      <w:r>
        <w:t xml:space="preserve"> </w:t>
      </w:r>
      <m:oMath>
        <m:r>
          <m:t>1</m:t>
        </m:r>
      </m:oMath>
      <w:r>
        <w:t xml:space="preserve">V (AC) y se irá incrementando en pasos de uno hasta llegar a</w:t>
      </w:r>
      <w:r>
        <w:t xml:space="preserve"> </w:t>
      </w:r>
      <m:oMath>
        <m:r>
          <m:t>6</m:t>
        </m:r>
      </m:oMath>
      <w:r>
        <w:t xml:space="preserve">V. En cada paso se anotará</w:t>
      </w:r>
      <w:r>
        <w:t xml:space="preserve"> </w:t>
      </w:r>
      <m:oMath>
        <m:r>
          <m:t>I</m:t>
        </m:r>
      </m:oMath>
      <w:r>
        <w:t xml:space="preserve">,</w:t>
      </w:r>
      <w:r>
        <w:t xml:space="preserve"> </w:t>
      </w:r>
      <m:oMath>
        <m:sSub>
          <m:e>
            <m:r>
              <m:t>V</m:t>
            </m:r>
          </m:e>
          <m:sub>
            <m:r>
              <m:t>t</m:t>
            </m:r>
            <m:r>
              <m:t>e</m:t>
            </m:r>
            <m:r>
              <m:t>r</m:t>
            </m:r>
            <m:r>
              <m:t>m</m:t>
            </m:r>
          </m:sub>
        </m:sSub>
      </m:oMath>
      <w:r>
        <w:t xml:space="preserve">,</w:t>
      </w:r>
      <w:r>
        <w:t xml:space="preserve"> </w:t>
      </w:r>
      <m:oMath>
        <m:r>
          <m:t>R</m:t>
        </m:r>
      </m:oMath>
      <w:r>
        <w:t xml:space="preserve"> </w:t>
      </w:r>
      <w:r>
        <w:t xml:space="preserve">y</w:t>
      </w:r>
      <w:r>
        <w:t xml:space="preserve"> </w:t>
      </w:r>
      <m:oMath>
        <m:r>
          <m:t>T</m:t>
        </m:r>
      </m:oMath>
      <w:r>
        <w:t xml:space="preserve"> </w:t>
      </w:r>
      <w:r>
        <w:t xml:space="preserve">correspondientes para completar la siguiente tabla.</w:t>
      </w:r>
    </w:p>
    <w:tbl>
      <w:tblPr>
        <w:tblStyle w:val="Table"/>
        <w:tblW w:type="auto" w:w="0"/>
        <w:tblLook w:firstRow="1" w:lastRow="0" w:firstColumn="0" w:lastColumn="0" w:noHBand="0" w:noVBand="0" w:val="0020"/>
        <w:jc w:val="start"/>
        <w:tblInd w:w="720" w:type="dxa"/>
        <w:tblLayout w:type="fixed"/>
      </w:tblPr>
      <w:tblGrid>
        <w:gridCol w:w="2564"/>
        <w:gridCol w:w="1508"/>
        <w:gridCol w:w="2262"/>
        <w:gridCol w:w="1508"/>
        <w:gridCol w:w="1508"/>
      </w:tblGrid>
      <w:tr>
        <w:trPr>
          <w:tblHeader w:val="true"/>
        </w:trPr>
        <w:tc>
          <w:tcPr/>
          <w:p>
            <w:pPr>
              <w:pStyle w:val="Compact"/>
              <w:jc w:val="center"/>
            </w:pPr>
            <m:oMath>
              <m:r>
                <m:t>V</m:t>
              </m:r>
            </m:oMath>
            <w:r>
              <w:t xml:space="preserve"> </w:t>
            </w:r>
            <m:oMath>
              <m:d>
                <m:dPr>
                  <m:begChr m:val="("/>
                  <m:endChr m:val=")"/>
                  <m:sepChr m:val=""/>
                  <m:grow/>
                </m:dPr>
                <m:e>
                  <m:r>
                    <m:rPr>
                      <m:sty m:val="p"/>
                    </m:rPr>
                    <m:t>±</m:t>
                  </m:r>
                  <m:r>
                    <m:t>ϵ</m:t>
                  </m:r>
                </m:e>
              </m:d>
            </m:oMath>
          </w:p>
        </w:tc>
        <w:tc>
          <w:tcPr/>
          <w:p>
            <w:pPr>
              <w:pStyle w:val="Compact"/>
              <w:jc w:val="center"/>
            </w:pPr>
            <m:oMath>
              <m:r>
                <m:t>I</m:t>
              </m:r>
            </m:oMath>
            <w:r>
              <w:t xml:space="preserve"> </w:t>
            </w:r>
            <m:oMath>
              <m:d>
                <m:dPr>
                  <m:begChr m:val="("/>
                  <m:endChr m:val=")"/>
                  <m:sepChr m:val=""/>
                  <m:grow/>
                </m:dPr>
                <m:e>
                  <m:r>
                    <m:rPr>
                      <m:sty m:val="p"/>
                    </m:rPr>
                    <m:t>±</m:t>
                  </m:r>
                  <m:r>
                    <m:t>ϵ</m:t>
                  </m:r>
                </m:e>
              </m:d>
            </m:oMath>
          </w:p>
        </w:tc>
        <w:tc>
          <w:tcPr/>
          <w:p>
            <w:pPr>
              <w:pStyle w:val="Compact"/>
              <w:jc w:val="center"/>
            </w:pPr>
            <m:oMath>
              <m:sSub>
                <m:e>
                  <m:r>
                    <m:t>V</m:t>
                  </m:r>
                </m:e>
                <m:sub>
                  <m:r>
                    <m:t>t</m:t>
                  </m:r>
                  <m:r>
                    <m:t>e</m:t>
                  </m:r>
                  <m:r>
                    <m:t>r</m:t>
                  </m:r>
                  <m:r>
                    <m:t>m</m:t>
                  </m:r>
                </m:sub>
              </m:sSub>
            </m:oMath>
            <w:r>
              <w:t xml:space="preserve"> </w:t>
            </w:r>
            <m:oMath>
              <m:d>
                <m:dPr>
                  <m:begChr m:val="("/>
                  <m:endChr m:val=")"/>
                  <m:sepChr m:val=""/>
                  <m:grow/>
                </m:dPr>
                <m:e>
                  <m:r>
                    <m:rPr>
                      <m:sty m:val="p"/>
                    </m:rPr>
                    <m:t>±</m:t>
                  </m:r>
                  <m:r>
                    <m:t>ϵ</m:t>
                  </m:r>
                </m:e>
              </m:d>
            </m:oMath>
          </w:p>
        </w:tc>
        <w:tc>
          <w:tcPr/>
          <w:p>
            <w:pPr>
              <w:pStyle w:val="Compact"/>
              <w:jc w:val="center"/>
            </w:pPr>
            <m:oMath>
              <m:r>
                <m:t>R</m:t>
              </m:r>
            </m:oMath>
            <w:r>
              <w:t xml:space="preserve"> </w:t>
            </w:r>
            <m:oMath>
              <m:d>
                <m:dPr>
                  <m:begChr m:val="("/>
                  <m:endChr m:val=")"/>
                  <m:sepChr m:val=""/>
                  <m:grow/>
                </m:dPr>
                <m:e>
                  <m:r>
                    <m:rPr>
                      <m:sty m:val="p"/>
                    </m:rPr>
                    <m:t>±</m:t>
                  </m:r>
                  <m:r>
                    <m:t>ϵ</m:t>
                  </m:r>
                </m:e>
              </m:d>
            </m:oMath>
          </w:p>
        </w:tc>
        <w:tc>
          <w:tcPr/>
          <w:p>
            <w:pPr>
              <w:pStyle w:val="Compact"/>
              <w:jc w:val="center"/>
            </w:pPr>
            <m:oMath>
              <m:r>
                <m:t>T</m:t>
              </m:r>
            </m:oMath>
            <w:r>
              <w:t xml:space="preserve"> </w:t>
            </w:r>
            <m:oMath>
              <m:d>
                <m:dPr>
                  <m:begChr m:val="("/>
                  <m:endChr m:val=")"/>
                  <m:sepChr m:val=""/>
                  <m:grow/>
                </m:dPr>
                <m:e>
                  <m:r>
                    <m:rPr>
                      <m:sty m:val="p"/>
                    </m:rPr>
                    <m:t>±</m:t>
                  </m:r>
                  <m:r>
                    <m:t>ϵ</m:t>
                  </m:r>
                </m:e>
              </m:d>
            </m:oMath>
          </w:p>
        </w:tc>
      </w:tr>
      <w:tr>
        <w:tc>
          <w:tcPr/>
          <w:p>
            <w:pPr>
              <w:pStyle w:val="Compact"/>
              <w:jc w:val="center"/>
            </w:pPr>
            <w:r>
              <w:t xml:space="preserve">1</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6</w:t>
            </w:r>
          </w:p>
        </w:tc>
        <w:tc>
          <w:tcPr/>
          <w:p>
            <w:pPr>
              <w:pStyle w:val="Compact"/>
            </w:pPr>
          </w:p>
        </w:tc>
        <w:tc>
          <w:tcPr/>
          <w:p>
            <w:pPr>
              <w:pStyle w:val="Compact"/>
            </w:pPr>
          </w:p>
        </w:tc>
        <w:tc>
          <w:tcPr/>
          <w:p>
            <w:pPr>
              <w:pStyle w:val="Compact"/>
            </w:pPr>
          </w:p>
        </w:tc>
        <w:tc>
          <w:tcPr/>
          <w:p>
            <w:pPr>
              <w:pStyle w:val="Compact"/>
            </w:pPr>
          </w:p>
        </w:tc>
      </w:tr>
    </w:tbl>
    <w:p>
      <w:pPr>
        <w:numPr>
          <w:ilvl w:val="0"/>
          <w:numId w:val="1002"/>
        </w:numPr>
      </w:pPr>
      <w:r>
        <w:t xml:space="preserve">Representa gráficamente</w:t>
      </w:r>
      <w:r>
        <w:t xml:space="preserve"> </w:t>
      </w:r>
      <m:oMath>
        <m:sSub>
          <m:e>
            <m:r>
              <m:t>V</m:t>
            </m:r>
          </m:e>
          <m:sub>
            <m:r>
              <m:t>t</m:t>
            </m:r>
            <m:r>
              <m:t>e</m:t>
            </m:r>
            <m:r>
              <m:t>r</m:t>
            </m:r>
            <m:r>
              <m:t>m</m:t>
            </m:r>
          </m:sub>
        </m:sSub>
      </m:oMath>
      <w:r>
        <w:t xml:space="preserve"> </w:t>
      </w:r>
      <w:r>
        <w:t xml:space="preserve">en función de los valores</w:t>
      </w:r>
      <w:r>
        <w:t xml:space="preserve"> </w:t>
      </w:r>
      <w:r>
        <w:t xml:space="preserve">obtenidos de</w:t>
      </w:r>
      <w:r>
        <w:t xml:space="preserve"> </w:t>
      </w:r>
      <m:oMath>
        <m:r>
          <m:t>T</m:t>
        </m:r>
      </m:oMath>
      <w:r>
        <w:t xml:space="preserve">.</w:t>
      </w:r>
    </w:p>
    <w:p>
      <w:pPr>
        <w:numPr>
          <w:ilvl w:val="0"/>
          <w:numId w:val="1002"/>
        </w:numPr>
      </w:pPr>
      <w:r>
        <w:t xml:space="preserve">Calcula el coeficiente de correlación lineal</w:t>
      </w:r>
      <w:r>
        <w:t xml:space="preserve"> </w:t>
      </w:r>
      <m:oMath>
        <m:r>
          <m:t>r</m:t>
        </m:r>
      </m:oMath>
      <w:r>
        <w:t xml:space="preserve">, la pendiente</w:t>
      </w:r>
      <w:r>
        <w:t xml:space="preserve"> </w:t>
      </w:r>
      <m:oMath>
        <m:r>
          <m:t>a</m:t>
        </m:r>
      </m:oMath>
      <w:r>
        <w:t xml:space="preserve"> </w:t>
      </w:r>
      <w:r>
        <w:t xml:space="preserve">y la ordenada en el origen</w:t>
      </w:r>
      <w:r>
        <w:t xml:space="preserve"> </w:t>
      </w:r>
      <m:oMath>
        <m:r>
          <m:t>b</m:t>
        </m:r>
      </m:oMath>
      <w:r>
        <w:t xml:space="preserve"> </w:t>
      </w:r>
      <w:r>
        <w:t xml:space="preserve">de la recta de mínimos cuadrados</w:t>
      </w:r>
      <w:r>
        <w:t xml:space="preserve"> </w:t>
      </w:r>
      <m:oMath>
        <m:r>
          <m:t>l</m:t>
        </m:r>
        <m:r>
          <m:t>n</m:t>
        </m:r>
        <m:d>
          <m:dPr>
            <m:begChr m:val="("/>
            <m:endChr m:val=")"/>
            <m:sepChr m:val=""/>
            <m:grow/>
          </m:dPr>
          <m:e>
            <m:sSub>
              <m:e>
                <m:r>
                  <m:t>V</m:t>
                </m:r>
              </m:e>
              <m:sub>
                <m:r>
                  <m:t>t</m:t>
                </m:r>
                <m:r>
                  <m:t>e</m:t>
                </m:r>
                <m:r>
                  <m:t>r</m:t>
                </m:r>
                <m:r>
                  <m:t>m</m:t>
                </m:r>
              </m:sub>
            </m:sSub>
          </m:e>
        </m:d>
        <m:r>
          <m:rPr>
            <m:sty m:val="p"/>
          </m:rPr>
          <m:t>=</m:t>
        </m:r>
        <m:r>
          <m:t>a</m:t>
        </m:r>
        <m:r>
          <m:t>l</m:t>
        </m:r>
        <m:r>
          <m:t>n</m:t>
        </m:r>
        <m:d>
          <m:dPr>
            <m:begChr m:val="("/>
            <m:endChr m:val=")"/>
            <m:sepChr m:val=""/>
            <m:grow/>
          </m:dPr>
          <m:e>
            <m:r>
              <m:t>T</m:t>
            </m:r>
          </m:e>
        </m:d>
        <m:r>
          <m:rPr>
            <m:sty m:val="p"/>
          </m:rPr>
          <m:t>+</m:t>
        </m:r>
        <m:r>
          <m:t>b</m:t>
        </m:r>
      </m:oMath>
      <w:r>
        <w:t xml:space="preserve">. Representa en una gráfica</w:t>
      </w:r>
      <w:r>
        <w:t xml:space="preserve"> </w:t>
      </w:r>
      <m:oMath>
        <m:r>
          <m:t>l</m:t>
        </m:r>
        <m:r>
          <m:t>n</m:t>
        </m:r>
        <m:d>
          <m:dPr>
            <m:begChr m:val="("/>
            <m:endChr m:val=")"/>
            <m:sepChr m:val=""/>
            <m:grow/>
          </m:dPr>
          <m:e>
            <m:sSub>
              <m:e>
                <m:r>
                  <m:t>V</m:t>
                </m:r>
              </m:e>
              <m:sub>
                <m:r>
                  <m:t>t</m:t>
                </m:r>
                <m:r>
                  <m:t>e</m:t>
                </m:r>
                <m:r>
                  <m:t>r</m:t>
                </m:r>
                <m:r>
                  <m:t>m</m:t>
                </m:r>
              </m:sub>
            </m:sSub>
          </m:e>
        </m:d>
      </m:oMath>
      <w:r>
        <w:t xml:space="preserve"> </w:t>
      </w:r>
      <w:r>
        <w:t xml:space="preserve">en función de</w:t>
      </w:r>
      <w:r>
        <w:t xml:space="preserve"> </w:t>
      </w:r>
      <m:oMath>
        <m:r>
          <m:t>l</m:t>
        </m:r>
        <m:r>
          <m:t>n</m:t>
        </m:r>
        <m:d>
          <m:dPr>
            <m:begChr m:val="("/>
            <m:endChr m:val=")"/>
            <m:sepChr m:val=""/>
            <m:grow/>
          </m:dPr>
          <m:e>
            <m:r>
              <m:t>T</m:t>
            </m:r>
          </m:e>
        </m:d>
      </m:oMath>
      <w:r>
        <w:t xml:space="preserve"> </w:t>
      </w:r>
      <w:r>
        <w:t xml:space="preserve">y la recta de regresión.</w:t>
      </w:r>
    </w:p>
    <w:p>
      <w:pPr>
        <w:numPr>
          <w:ilvl w:val="0"/>
          <w:numId w:val="1002"/>
        </w:numPr>
      </w:pPr>
      <w:r>
        <w:t xml:space="preserve">A partir del parámetro</w:t>
      </w:r>
      <w:r>
        <w:t xml:space="preserve"> </w:t>
      </w:r>
      <m:oMath>
        <m:r>
          <m:t>b</m:t>
        </m:r>
      </m:oMath>
      <w:r>
        <w:t xml:space="preserve"> </w:t>
      </w:r>
      <w:r>
        <w:t xml:space="preserve">obtenido en la recta de regresión y haciendo uso de la expresión 2.4, determina el valor experimental de la constante de Stefan-Boltzmann y comparalo con su valor teórico</w:t>
      </w:r>
      <w:r>
        <w:t xml:space="preserve"> </w:t>
      </w:r>
      <m:oMath>
        <m:r>
          <m:t>σ</m:t>
        </m:r>
        <m:r>
          <m:rPr>
            <m:sty m:val="p"/>
          </m:rPr>
          <m:t>=</m:t>
        </m:r>
        <m:r>
          <m:t>5.67</m:t>
        </m:r>
        <m:r>
          <m:rPr>
            <m:sty m:val="p"/>
          </m:rPr>
          <m:t>×</m:t>
        </m:r>
        <m:sSup>
          <m:e>
            <m:r>
              <m:t>10</m:t>
            </m:r>
          </m:e>
          <m:sup>
            <m:r>
              <m:rPr>
                <m:sty m:val="p"/>
              </m:rPr>
              <m:t>−</m:t>
            </m:r>
            <m:r>
              <m:t>8</m:t>
            </m:r>
          </m:sup>
        </m:sSup>
      </m:oMath>
      <w:r>
        <w:t xml:space="preserve"> </w:t>
      </w:r>
      <w:r>
        <w:t xml:space="preserve">W.m</w:t>
      </w:r>
      <m:oMath>
        <m:sSup>
          <m:e>
            <m:r>
              <m:t>​</m:t>
            </m:r>
          </m:e>
          <m:sup>
            <m:r>
              <m:rPr>
                <m:sty m:val="p"/>
              </m:rPr>
              <m:t>−</m:t>
            </m:r>
            <m:r>
              <m:t>2</m:t>
            </m:r>
          </m:sup>
        </m:sSup>
      </m:oMath>
      <w:r>
        <w:t xml:space="preserve">.K</w:t>
      </w:r>
      <m:oMath>
        <m:sSup>
          <m:e>
            <m:r>
              <m:t>​</m:t>
            </m:r>
          </m:e>
          <m:sup>
            <m:r>
              <m:rPr>
                <m:sty m:val="p"/>
              </m:rPr>
              <m:t>−</m:t>
            </m:r>
            <m:r>
              <m:t>4</m:t>
            </m:r>
          </m:sup>
        </m:sSup>
      </m:oMath>
      <w:r>
        <w:t xml:space="preserve"> </w:t>
      </w:r>
      <w:r>
        <w:t xml:space="preserve">dado el coeficiente de proporcionalidad</w:t>
      </w:r>
      <w:r>
        <w:t xml:space="preserve"> </w:t>
      </w:r>
      <m:oMath>
        <m:r>
          <m:t>γ</m:t>
        </m:r>
        <m:r>
          <m:rPr>
            <m:sty m:val="p"/>
          </m:rPr>
          <m:t>=</m:t>
        </m:r>
        <m:r>
          <m:t>7.5</m:t>
        </m:r>
        <m:r>
          <m:rPr>
            <m:sty m:val="p"/>
          </m:rPr>
          <m:t>⋅</m:t>
        </m:r>
        <m:sSup>
          <m:e>
            <m:r>
              <m:t>10</m:t>
            </m:r>
          </m:e>
          <m:sup>
            <m:r>
              <m:rPr>
                <m:sty m:val="p"/>
              </m:rPr>
              <m:t>−</m:t>
            </m:r>
            <m:r>
              <m:t>14</m:t>
            </m:r>
          </m:sup>
        </m:sSup>
      </m:oMath>
      <w:r>
        <w:t xml:space="preserve"> </w:t>
      </w:r>
      <w:r>
        <w:t xml:space="preserve">V.m</w:t>
      </w:r>
      <m:oMath>
        <m:sSup>
          <m:e>
            <m:r>
              <m:t>​</m:t>
            </m:r>
          </m:e>
          <m:sup>
            <m:r>
              <m:t>2</m:t>
            </m:r>
          </m:sup>
        </m:sSup>
      </m:oMath>
      <w:r>
        <w:t xml:space="preserve">/W.</w:t>
      </w:r>
    </w:p>
    <w:bookmarkEnd w:id="36"/>
    <w:bookmarkStart w:id="37" w:name="discusión"/>
    <w:p>
      <w:pPr>
        <w:pStyle w:val="Heading2"/>
      </w:pPr>
      <w:r>
        <w:t xml:space="preserve">Discusión</w:t>
      </w:r>
    </w:p>
    <w:p>
      <w:pPr>
        <w:numPr>
          <w:ilvl w:val="0"/>
          <w:numId w:val="1003"/>
        </w:numPr>
      </w:pPr>
      <w:r>
        <w:t xml:space="preserve">Está el valor de la pendiente</w:t>
      </w:r>
      <w:r>
        <w:t xml:space="preserve"> </w:t>
      </w:r>
      <m:oMath>
        <m:r>
          <m:t>a</m:t>
        </m:r>
      </m:oMath>
      <w:r>
        <w:t xml:space="preserve">, dentro de un rango de valores aceptables de acuerdo con la ley de Stefan-Boltzmann? Si no es así, a qué puede deberse?</w:t>
      </w:r>
    </w:p>
    <w:p>
      <w:pPr>
        <w:numPr>
          <w:ilvl w:val="0"/>
          <w:numId w:val="1003"/>
        </w:numPr>
      </w:pPr>
      <w:r>
        <w:t xml:space="preserve">A qué puede deberse la diferencia del valor</w:t>
      </w:r>
      <w:r>
        <w:t xml:space="preserve"> </w:t>
      </w:r>
      <w:r>
        <w:t xml:space="preserve">experimental de</w:t>
      </w:r>
      <w:r>
        <w:t xml:space="preserve"> </w:t>
      </w:r>
      <m:oMath>
        <m:r>
          <m:t>σ</m:t>
        </m:r>
      </m:oMath>
      <w:r>
        <w:t xml:space="preserve"> </w:t>
      </w:r>
      <w:r>
        <w:t xml:space="preserve">obtenido con el valor teórico?</w:t>
      </w:r>
    </w:p>
    <w:p>
      <w:pPr>
        <w:numPr>
          <w:ilvl w:val="0"/>
          <w:numId w:val="1003"/>
        </w:numPr>
      </w:pPr>
      <w:r>
        <w:t xml:space="preserve">Discutir cualquier otro resultado o problema de interés encontrado en el experimento.</w:t>
      </w:r>
    </w:p>
    <w:bookmarkEnd w:id="37"/>
    <w:bookmarkStart w:id="38" w:name="cuestiones"/>
    <w:p>
      <w:pPr>
        <w:pStyle w:val="Heading2"/>
      </w:pPr>
      <w:r>
        <w:t xml:space="preserve">Cuestiones</w:t>
      </w:r>
    </w:p>
    <w:p>
      <w:pPr>
        <w:numPr>
          <w:ilvl w:val="0"/>
          <w:numId w:val="1004"/>
        </w:numPr>
      </w:pPr>
      <w:r>
        <w:t xml:space="preserve">Si el radio del Sol es de aproximadamente de</w:t>
      </w:r>
      <w:r>
        <w:t xml:space="preserve"> </w:t>
      </w:r>
      <m:oMath>
        <m:r>
          <m:t>6.96</m:t>
        </m:r>
        <m:r>
          <m:rPr>
            <m:sty m:val="p"/>
          </m:rPr>
          <m:t>⋅</m:t>
        </m:r>
        <m:sSup>
          <m:e>
            <m:r>
              <m:t>10</m:t>
            </m:r>
          </m:e>
          <m:sup>
            <m:r>
              <m:t>8</m:t>
            </m:r>
          </m:sup>
        </m:sSup>
      </m:oMath>
      <w:r>
        <w:t xml:space="preserve"> </w:t>
      </w:r>
      <w:r>
        <w:t xml:space="preserve">m, y la potencia total que emite es de</w:t>
      </w:r>
      <w:r>
        <w:t xml:space="preserve"> </w:t>
      </w:r>
      <m:oMath>
        <m:r>
          <m:t>3.85</m:t>
        </m:r>
        <m:r>
          <m:rPr>
            <m:sty m:val="p"/>
          </m:rPr>
          <m:t>⋅</m:t>
        </m:r>
        <m:sSup>
          <m:e>
            <m:r>
              <m:t>10</m:t>
            </m:r>
          </m:e>
          <m:sup>
            <m:r>
              <m:t>26</m:t>
            </m:r>
          </m:sup>
        </m:sSup>
      </m:oMath>
      <w:r>
        <w:t xml:space="preserve"> </w:t>
      </w:r>
      <w:r>
        <w:t xml:space="preserve">W, cuál es la temperatura en la superficie del Sol?. Cuál sería la longitud de onda a la cual se emitiría la mayor parte de la radiación?</w:t>
      </w:r>
    </w:p>
    <w:p>
      <w:pPr>
        <w:numPr>
          <w:ilvl w:val="0"/>
          <w:numId w:val="1004"/>
        </w:numPr>
      </w:pPr>
      <w:r>
        <w:t xml:space="preserve">Supóngase que la bombilla emite</w:t>
      </w:r>
      <w:r>
        <w:t xml:space="preserve"> </w:t>
      </w:r>
      <m:oMath>
        <m:r>
          <m:t>20</m:t>
        </m:r>
      </m:oMath>
      <w:r>
        <w:t xml:space="preserve"> </w:t>
      </w:r>
      <w:r>
        <w:t xml:space="preserve">J a una longitud de onda de</w:t>
      </w:r>
      <w:r>
        <w:t xml:space="preserve"> </w:t>
      </w:r>
      <m:oMath>
        <m:r>
          <m:t>λ</m:t>
        </m:r>
        <m:r>
          <m:rPr>
            <m:sty m:val="p"/>
          </m:rPr>
          <m:t>=</m:t>
        </m:r>
        <m:r>
          <m:t>600</m:t>
        </m:r>
      </m:oMath>
      <w:r>
        <w:t xml:space="preserve"> </w:t>
      </w:r>
      <w:r>
        <w:t xml:space="preserve">nm y que el detector tiene una superficie de</w:t>
      </w:r>
      <w:r>
        <w:t xml:space="preserve"> </w:t>
      </w:r>
      <m:oMath>
        <m:r>
          <m:t>2</m:t>
        </m:r>
      </m:oMath>
      <w:r>
        <w:t xml:space="preserve"> </w:t>
      </w:r>
      <w:r>
        <w:t xml:space="preserve">cm</w:t>
      </w:r>
      <m:oMath>
        <m:sSup>
          <m:e>
            <m:r>
              <m:t>​</m:t>
            </m:r>
          </m:e>
          <m:sup>
            <m:r>
              <m:t>2</m:t>
            </m:r>
          </m:sup>
        </m:sSup>
      </m:oMath>
      <w:r>
        <w:t xml:space="preserve">. A qué distancia del filamento tendríamos que colocar la termopila para comenzar a observar fénomenos cuánticos?</w:t>
      </w:r>
    </w:p>
    <w:p>
      <w:pPr>
        <w:numPr>
          <w:ilvl w:val="0"/>
          <w:numId w:val="1004"/>
        </w:numPr>
      </w:pPr>
      <w:r>
        <w:t xml:space="preserve">Imaginemos que tenemos dos objetos, uno con una temperatura de</w:t>
      </w:r>
      <w:r>
        <w:t xml:space="preserve"> </w:t>
      </w:r>
      <m:oMath>
        <m:sSup>
          <m:e>
            <m:r>
              <m:t>2000</m:t>
            </m:r>
          </m:e>
          <m:sup>
            <m:r>
              <m:t>o</m:t>
            </m:r>
          </m:sup>
        </m:sSup>
      </m:oMath>
      <w:r>
        <w:t xml:space="preserve"> </w:t>
      </w:r>
      <w:r>
        <w:t xml:space="preserve">K y otro con una temperatura de</w:t>
      </w:r>
      <w:r>
        <w:t xml:space="preserve"> </w:t>
      </w:r>
      <m:oMath>
        <m:sSup>
          <m:e>
            <m:r>
              <m:t>4000</m:t>
            </m:r>
          </m:e>
          <m:sup>
            <m:r>
              <m:t>o</m:t>
            </m:r>
          </m:sup>
        </m:sSup>
      </m:oMath>
      <w:r>
        <w:t xml:space="preserve"> </w:t>
      </w:r>
      <w:r>
        <w:t xml:space="preserve">K. Cuánta emitancia radiante tendrá de más el objeto más caliente si ambos tienen el mismo diámetro?</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Recuadro" w:type="paragraph">
    <w:name w:val="Recuadro"/>
    <w:basedOn w:val="BodyText"/>
    <w:qFormat/>
    <w:pPr>
      <w:pBdr>
        <w:top w:color="000000" w:space="6" w:sz="8" w:val="single"/>
        <w:left w:color="000000" w:space="6" w:sz="8" w:val="single"/>
        <w:bottom w:color="000000" w:space="6" w:sz="8" w:val="single"/>
        <w:right w:color="000000" w:space="6" w:sz="8" w:val="single"/>
      </w:pBdr>
      <w:ind w:left="284" w:right="284"/>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21" Target="media/rId2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2026-09-10T15:49:30Z</dcterms:created>
  <dcterms:modified xsi:type="dcterms:W3CDTF">2026-09-10T15:49:30Z</dcterms:modified>
</cp:coreProperties>
</file>

<file path=docProps/custom.xml><?xml version="1.0" encoding="utf-8"?>
<Properties xmlns="http://schemas.openxmlformats.org/officeDocument/2006/custom-properties" xmlns:vt="http://schemas.openxmlformats.org/officeDocument/2006/docPropsVTypes"/>
</file>