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vibración-de-cuerdas"/>
    <w:p>
      <w:pPr>
        <w:pStyle w:val="Heading1"/>
      </w:pPr>
      <w:r>
        <w:t xml:space="preserve">Vibración de cuerdas</w:t>
      </w:r>
    </w:p>
    <w:bookmarkStart w:id="20" w:name="objetivo"/>
    <w:p>
      <w:pPr>
        <w:pStyle w:val="Heading2"/>
      </w:pPr>
      <w:r>
        <w:t xml:space="preserve">Objetivo</w:t>
      </w:r>
    </w:p>
    <w:p>
      <w:pPr>
        <w:pStyle w:val="FirstParagraph"/>
      </w:pPr>
      <w:r>
        <w:t xml:space="preserve">Una cuerda metálica cuyos extremos están fijos, y que está</w:t>
      </w:r>
      <w:r>
        <w:t xml:space="preserve"> </w:t>
      </w:r>
      <w:r>
        <w:t xml:space="preserve">sometida a una tensión determinada, se somete a vibraciones, que son</w:t>
      </w:r>
      <w:r>
        <w:t xml:space="preserve"> </w:t>
      </w:r>
      <w:r>
        <w:t xml:space="preserve">detectadas y amplificadas ópticamente. A partir de la dependencia de la</w:t>
      </w:r>
      <w:r>
        <w:t xml:space="preserve"> </w:t>
      </w:r>
      <w:r>
        <w:t xml:space="preserve">frecuencia del armónico fundamental con la tensión y la longitud de</w:t>
      </w:r>
      <w:r>
        <w:t xml:space="preserve"> </w:t>
      </w:r>
      <w:r>
        <w:t xml:space="preserve">la cuerda, se obtendrá la densidad del material que la compone.</w:t>
      </w:r>
    </w:p>
    <w:bookmarkEnd w:id="20"/>
    <w:bookmarkStart w:id="24" w:name="fundamento-teórico"/>
    <w:p>
      <w:pPr>
        <w:pStyle w:val="Heading2"/>
      </w:pPr>
      <w:r>
        <w:t xml:space="preserve">Fundamento teórico</w:t>
      </w:r>
    </w:p>
    <w:p>
      <w:pPr>
        <w:pStyle w:val="FirstParagraph"/>
      </w:pPr>
      <w:r>
        <w:t xml:space="preserve">Vamos a estudiar las pequeñas vibraciones transversales de una cuerda</w:t>
      </w:r>
      <w:r>
        <w:t xml:space="preserve"> </w:t>
      </w:r>
      <w:r>
        <w:t xml:space="preserve">homogénea de longitud</w:t>
      </w:r>
      <w:r>
        <w:t xml:space="preserve"> </w:t>
      </w:r>
      <m:oMath>
        <m:r>
          <m:t>l</m:t>
        </m:r>
      </m:oMath>
      <w:r>
        <w:t xml:space="preserve"> </w:t>
      </w:r>
      <w:r>
        <w:t xml:space="preserve">cuyos extremos están fijos. Bajo estas condiciones, la frecuencia del armónico fundamental viene dada por</w:t>
      </w:r>
    </w:p>
    <w:p>
      <w:pPr>
        <w:pStyle w:val="BodyText"/>
      </w:pPr>
      <m:oMathPara>
        <m:oMathParaPr>
          <m:jc m:val="center"/>
        </m:oMathParaPr>
        <m:oMath>
          <m:r>
            <m:t>f</m:t>
          </m:r>
          <m:r>
            <m:rPr>
              <m:sty m:val="p"/>
            </m:rPr>
            <m:t>=</m:t>
          </m:r>
          <m:f>
            <m:fPr>
              <m:type m:val="bar"/>
            </m:fPr>
            <m:num>
              <m:r>
                <m:t>1</m:t>
              </m:r>
            </m:num>
            <m:den>
              <m:r>
                <m:t>2</m:t>
              </m:r>
              <m:r>
                <m:t>l</m:t>
              </m:r>
            </m:den>
          </m:f>
          <m:rad>
            <m:radPr>
              <m:degHide m:val="on"/>
            </m:radPr>
            <m:deg/>
            <m:e>
              <m:f>
                <m:fPr>
                  <m:type m:val="bar"/>
                </m:fPr>
                <m:num>
                  <m:r>
                    <m:t>T</m:t>
                  </m:r>
                </m:num>
                <m:den>
                  <m:r>
                    <m:t>q</m:t>
                  </m:r>
                  <m:r>
                    <m:t>ρ</m:t>
                  </m:r>
                </m:den>
              </m:f>
            </m:e>
          </m:rad>
          <m:r>
            <m:rPr>
              <m:sty m:val="p"/>
            </m:rPr>
            <m:t>,</m:t>
          </m:r>
          <m:r>
            <m:t> </m:t>
          </m:r>
          <m:r>
            <m:rPr>
              <m:nor/>
              <m:sty m:val="p"/>
            </m:rPr>
            <m:t>(4.1)</m:t>
          </m:r>
        </m:oMath>
      </m:oMathPara>
    </w:p>
    <w:p>
      <w:pPr>
        <w:pStyle w:val="FirstParagraph"/>
      </w:pPr>
      <w:r>
        <w:t xml:space="preserve">donde</w:t>
      </w:r>
      <w:r>
        <w:t xml:space="preserve"> </w:t>
      </w:r>
      <m:oMath>
        <m:r>
          <m:t>T</m:t>
        </m:r>
      </m:oMath>
      <w:r>
        <w:t xml:space="preserve">,</w:t>
      </w:r>
      <w:r>
        <w:t xml:space="preserve"> </w:t>
      </w:r>
      <m:oMath>
        <m:r>
          <m:t>q</m:t>
        </m:r>
      </m:oMath>
      <w:r>
        <w:t xml:space="preserve"> </w:t>
      </w:r>
      <w:r>
        <w:t xml:space="preserve">y</w:t>
      </w:r>
      <w:r>
        <w:t xml:space="preserve"> </w:t>
      </w:r>
      <m:oMath>
        <m:r>
          <m:t>ρ</m:t>
        </m:r>
      </m:oMath>
      <w:r>
        <w:t xml:space="preserve"> </w:t>
      </w:r>
      <w:r>
        <w:t xml:space="preserve">son la tensión, el área de la sección transversal y la densidad de la cuerda, respectivamente.</w:t>
      </w:r>
    </w:p>
    <w:p>
      <w:pPr>
        <w:pStyle w:val="CaptionedFigure"/>
      </w:pPr>
      <w:r>
        <w:drawing>
          <wp:inline>
            <wp:extent cx="1959887" cy="2375999"/>
            <wp:effectExtent b="0" l="0" r="0" t="0"/>
            <wp:docPr descr="" title="" id="22" name="Picture"/>
            <a:graphic>
              <a:graphicData uri="http://schemas.openxmlformats.org/drawingml/2006/picture">
                <pic:pic>
                  <pic:nvPicPr>
                    <pic:cNvPr descr="png/modos_vib.png" id="23" name="Picture"/>
                    <pic:cNvPicPr>
                      <a:picLocks noChangeArrowheads="1" noChangeAspect="1"/>
                    </pic:cNvPicPr>
                  </pic:nvPicPr>
                  <pic:blipFill>
                    <a:blip r:embed="rId21"/>
                    <a:stretch>
                      <a:fillRect/>
                    </a:stretch>
                  </pic:blipFill>
                  <pic:spPr bwMode="auto">
                    <a:xfrm>
                      <a:off x="0" y="0"/>
                      <a:ext cx="1959887" cy="2375999"/>
                    </a:xfrm>
                    <a:prstGeom prst="rect">
                      <a:avLst/>
                    </a:prstGeom>
                    <a:noFill/>
                    <a:ln w="9525">
                      <a:noFill/>
                      <a:headEnd/>
                      <a:tailEnd/>
                    </a:ln>
                  </pic:spPr>
                </pic:pic>
              </a:graphicData>
            </a:graphic>
          </wp:inline>
        </w:drawing>
      </w:r>
    </w:p>
    <w:p>
      <w:pPr>
        <w:pStyle w:val="ImageCaption"/>
      </w:pPr>
      <w:r>
        <w:t xml:space="preserve">Figura 4.1: Armónico fundamental y armónicos</w:t>
      </w:r>
      <w:r>
        <w:t xml:space="preserve"> </w:t>
      </w:r>
      <w:r>
        <w:t xml:space="preserve">superiores.</w:t>
      </w:r>
    </w:p>
    <w:p>
      <w:pPr>
        <w:pStyle w:val="BodyText"/>
      </w:pPr>
      <w:r>
        <w:t xml:space="preserve">En la figura 4.1 se representan, además del armónico fundamental, los armónicos superiores</w:t>
      </w:r>
      <w:r>
        <w:t xml:space="preserve"> </w:t>
      </w:r>
      <m:oMath>
        <m:r>
          <m:t>n</m:t>
        </m:r>
        <m:r>
          <m:rPr>
            <m:sty m:val="p"/>
          </m:rPr>
          <m:t>=</m:t>
        </m:r>
        <m:r>
          <m:t>2</m:t>
        </m:r>
      </m:oMath>
      <w:r>
        <w:t xml:space="preserve"> </w:t>
      </w:r>
      <w:r>
        <w:t xml:space="preserve">y</w:t>
      </w:r>
      <w:r>
        <w:t xml:space="preserve"> </w:t>
      </w:r>
      <m:oMath>
        <m:r>
          <m:t>n</m:t>
        </m:r>
        <m:r>
          <m:rPr>
            <m:sty m:val="p"/>
          </m:rPr>
          <m:t>=</m:t>
        </m:r>
        <m:r>
          <m:t>3</m:t>
        </m:r>
      </m:oMath>
      <w:r>
        <w:t xml:space="preserve">. Sin embargo, en general, el armónico que se observa y predomina es el fundamental. Esto se debe a dos causas. En primer lugar, el tipo de excitación o condición inicial que se aplica (un golpe seco en un punto céntrico de la cuerda) favorece a este armónico fundamental porque se le parece mucho (de nuevo, ver la figura 4.1). En segundo lugar, en una</w:t>
      </w:r>
      <w:r>
        <w:t xml:space="preserve"> </w:t>
      </w:r>
      <w:r>
        <w:t xml:space="preserve">cuerda real existe amortiguamiento, que termina por hacer desaparecer la</w:t>
      </w:r>
      <w:r>
        <w:t xml:space="preserve"> </w:t>
      </w:r>
      <w:r>
        <w:t xml:space="preserve">vibración. Este amortiguamiento es mayor para los armónicos</w:t>
      </w:r>
      <w:r>
        <w:t xml:space="preserve"> </w:t>
      </w:r>
      <w:r>
        <w:t xml:space="preserve">superiores que para el armónico fundamental y, por ello, éste</w:t>
      </w:r>
      <w:r>
        <w:t xml:space="preserve"> </w:t>
      </w:r>
      <w:r>
        <w:t xml:space="preserve">último tarda más en desaparecer.</w:t>
      </w:r>
    </w:p>
    <w:bookmarkEnd w:id="24"/>
    <w:bookmarkStart w:id="25" w:name="montaje-experimental"/>
    <w:p>
      <w:pPr>
        <w:pStyle w:val="Heading2"/>
      </w:pPr>
      <w:r>
        <w:t xml:space="preserve">Montaje experimental</w:t>
      </w:r>
    </w:p>
    <w:p>
      <w:pPr>
        <w:pStyle w:val="FirstParagraph"/>
      </w:pPr>
      <w:r>
        <w:t xml:space="preserve">La cuerda se apoya sobre dos pasadores triangulares (los extremos en reposo) y</w:t>
      </w:r>
      <w:r>
        <w:t xml:space="preserve"> </w:t>
      </w:r>
      <w:r>
        <w:t xml:space="preserve">se mantiene tensa entre un gancho fijo y un dinamómetro, que a su vez está atado a una palometa regulable. La longitud</w:t>
      </w:r>
      <w:r>
        <w:t xml:space="preserve"> </w:t>
      </w:r>
      <m:oMath>
        <m:r>
          <m:t>l</m:t>
        </m:r>
      </m:oMath>
      <w:r>
        <w:t xml:space="preserve"> </w:t>
      </w:r>
      <w:r>
        <w:t xml:space="preserve">entre</w:t>
      </w:r>
      <w:r>
        <w:t xml:space="preserve"> </w:t>
      </w:r>
      <w:r>
        <w:t xml:space="preserve">los dos puntos fijos puede variarse desplazando los pasadores triangulares, y medirse sobre una regla. La tensión</w:t>
      </w:r>
      <w:r>
        <w:t xml:space="preserve"> </w:t>
      </w:r>
      <m:oMath>
        <m:r>
          <m:t>T</m:t>
        </m:r>
      </m:oMath>
      <w:r>
        <w:t xml:space="preserve"> </w:t>
      </w:r>
      <w:r>
        <w:t xml:space="preserve">se modifica girando la palometa regulable y se mide mediante el dinamómetro.</w:t>
      </w:r>
      <w:r>
        <w:br/>
      </w:r>
      <w:r>
        <w:t xml:space="preserve">La vibración de la cuerda es estimulada mediante un golpecito seco con</w:t>
      </w:r>
      <w:r>
        <w:t xml:space="preserve"> </w:t>
      </w:r>
      <w:r>
        <w:t xml:space="preserve">el dedo en un punto céntrico. Es necesario asegurarse de que la sombra de la cuerda</w:t>
      </w:r>
      <w:r>
        <w:t xml:space="preserve"> </w:t>
      </w:r>
      <w:r>
        <w:t xml:space="preserve">caiga exactamente sobre la rendija fotosensible cuando la cuerda esté en</w:t>
      </w:r>
      <w:r>
        <w:t xml:space="preserve"> </w:t>
      </w:r>
      <w:r>
        <w:t xml:space="preserve">reposo. La señal que se origina en la rendija</w:t>
      </w:r>
      <w:r>
        <w:t xml:space="preserve"> </w:t>
      </w:r>
      <w:r>
        <w:t xml:space="preserve">fotosensible es amplificada y transmitida al contador para medir su frecuencia.</w:t>
      </w:r>
    </w:p>
    <w:bookmarkEnd w:id="25"/>
    <w:bookmarkStart w:id="26" w:name="resultados"/>
    <w:p>
      <w:pPr>
        <w:pStyle w:val="Heading2"/>
      </w:pPr>
      <w:r>
        <w:t xml:space="preserve">Resultados</w:t>
      </w:r>
    </w:p>
    <w:p>
      <w:pPr>
        <w:pStyle w:val="FirstParagraph"/>
      </w:pPr>
      <w:r>
        <w:t xml:space="preserve">Utilizar a lo largo de la práctica una cuerda de cobre o de constantán (CuNi).</w:t>
      </w:r>
    </w:p>
    <w:p>
      <w:pPr>
        <w:numPr>
          <w:ilvl w:val="0"/>
          <w:numId w:val="1001"/>
        </w:numPr>
      </w:pPr>
      <w:r>
        <w:t xml:space="preserve">Anotar el diámetro de la cuerda que se utilizará en el experimento y calcular el área de la sección transversal.</w:t>
      </w:r>
    </w:p>
    <w:p>
      <w:pPr>
        <w:pStyle w:val="BodyText"/>
      </w:pPr>
      <m:oMathPara>
        <m:oMathParaPr>
          <m:jc m:val="center"/>
        </m:oMathParaPr>
        <m:oMath>
          <m:r>
            <m:t>ϕ</m:t>
          </m:r>
          <m:r>
            <m:rPr>
              <m:sty m:val="p"/>
            </m:rPr>
            <m:t>±</m:t>
          </m:r>
          <m:sSub>
            <m:e>
              <m:r>
                <m:t>ε</m:t>
              </m:r>
            </m:e>
            <m:sub>
              <m:r>
                <m:t>ϕ</m:t>
              </m:r>
            </m:sub>
          </m:sSub>
          <m:r>
            <m:rPr>
              <m:sty m:val="p"/>
            </m:rPr>
            <m:t>=</m:t>
          </m:r>
          <m:r>
            <m:t> </m:t>
          </m:r>
          <m:r>
            <m:t> </m:t>
          </m:r>
          <m:r>
            <m:t> </m:t>
          </m:r>
          <m:r>
            <m:t> </m:t>
          </m:r>
          <m:r>
            <m:t> </m:t>
          </m:r>
          <m:r>
            <m:t> </m:t>
          </m:r>
          <m:r>
            <m:t> </m:t>
          </m:r>
          <m:r>
            <m:t> </m:t>
          </m:r>
          <m:r>
            <m:t> </m:t>
          </m:r>
          <m:r>
            <m:t> </m:t>
          </m:r>
          <m:r>
            <m:t>  </m:t>
          </m:r>
          <m:r>
            <m:t>q</m:t>
          </m:r>
          <m:r>
            <m:rPr>
              <m:sty m:val="p"/>
            </m:rPr>
            <m:t>±</m:t>
          </m:r>
          <m:sSub>
            <m:e>
              <m:r>
                <m:t>ε</m:t>
              </m:r>
            </m:e>
            <m:sub>
              <m:r>
                <m:t>q</m:t>
              </m:r>
            </m:sub>
          </m:sSub>
          <m:r>
            <m:rPr>
              <m:sty m:val="p"/>
            </m:rPr>
            <m:t>=</m:t>
          </m:r>
          <m:r>
            <m:t> </m:t>
          </m:r>
          <m:r>
            <m:t> </m:t>
          </m:r>
        </m:oMath>
      </m:oMathPara>
    </w:p>
    <w:p>
      <w:pPr>
        <w:numPr>
          <w:ilvl w:val="0"/>
          <w:numId w:val="1001"/>
        </w:numPr>
      </w:pPr>
      <w:r>
        <w:t xml:space="preserve">Mantener la tensión de la cuerda en un valor fijo</w:t>
      </w:r>
      <w:r>
        <w:t xml:space="preserve"> </w:t>
      </w:r>
      <m:oMath>
        <m:r>
          <m:t>T</m:t>
        </m:r>
        <m:r>
          <m:rPr>
            <m:sty m:val="p"/>
          </m:rPr>
          <m:t>=</m:t>
        </m:r>
        <m:r>
          <m:t>20</m:t>
        </m:r>
      </m:oMath>
      <w:r>
        <w:t xml:space="preserve"> </w:t>
      </w:r>
      <w:r>
        <w:t xml:space="preserve">N y medir la frecuencia</w:t>
      </w:r>
      <w:r>
        <w:t xml:space="preserve"> </w:t>
      </w:r>
      <m:oMath>
        <m:r>
          <m:t>f</m:t>
        </m:r>
      </m:oMath>
      <w:r>
        <w:t xml:space="preserve"> </w:t>
      </w:r>
      <w:r>
        <w:t xml:space="preserve">(hacer</w:t>
      </w:r>
      <w:r>
        <w:t xml:space="preserve"> </w:t>
      </w:r>
      <m:oMath>
        <m:r>
          <m:t>3</m:t>
        </m:r>
      </m:oMath>
      <w:r>
        <w:t xml:space="preserve"> </w:t>
      </w:r>
      <w:r>
        <w:t xml:space="preserve">medidas y promediar) para distintas longitudes</w:t>
      </w:r>
      <w:r>
        <w:t xml:space="preserve"> </w:t>
      </w:r>
      <m:oMath>
        <m:r>
          <m:t>l</m:t>
        </m:r>
      </m:oMath>
      <w:r>
        <w:t xml:space="preserve"> </w:t>
      </w:r>
      <w:r>
        <w:t xml:space="preserve">en un rango entre</w:t>
      </w:r>
      <w:r>
        <w:t xml:space="preserve"> </w:t>
      </w:r>
      <m:oMath>
        <m:r>
          <m:t>20</m:t>
        </m:r>
      </m:oMath>
      <w:r>
        <w:t xml:space="preserve"> </w:t>
      </w:r>
      <w:r>
        <w:t xml:space="preserve">cm y</w:t>
      </w:r>
      <w:r>
        <w:t xml:space="preserve"> </w:t>
      </w:r>
      <m:oMath>
        <m:r>
          <m:t>60</m:t>
        </m:r>
      </m:oMath>
      <w:r>
        <w:t xml:space="preserve"> </w:t>
      </w:r>
      <w:r>
        <w:t xml:space="preserve">cm, en pasos de</w:t>
      </w:r>
      <w:r>
        <w:t xml:space="preserve"> </w:t>
      </w:r>
      <m:oMath>
        <m:r>
          <m:t>5</m:t>
        </m:r>
      </m:oMath>
      <w:r>
        <w:t xml:space="preserve"> </w:t>
      </w:r>
      <w:r>
        <w:t xml:space="preserve">cm.</w:t>
      </w:r>
    </w:p>
    <w:p>
      <w:pPr>
        <w:pStyle w:val="BodyText"/>
      </w:pPr>
      <m:oMathPara>
        <m:oMathParaPr>
          <m:jc m:val="center"/>
        </m:oMathParaPr>
        <m:oMath>
          <m:r>
            <m:t>T</m:t>
          </m:r>
          <m:r>
            <m:rPr>
              <m:sty m:val="p"/>
            </m:rPr>
            <m:t>±</m:t>
          </m:r>
          <m:sSub>
            <m:e>
              <m:r>
                <m:t>ε</m:t>
              </m:r>
            </m:e>
            <m:sub>
              <m:r>
                <m:t>T</m:t>
              </m:r>
            </m:sub>
          </m:sSub>
          <m:r>
            <m:rPr>
              <m:sty m:val="p"/>
            </m:rPr>
            <m:t>=</m:t>
          </m:r>
          <m:r>
            <m:t> </m:t>
          </m:r>
          <m:r>
            <m:t> </m:t>
          </m:r>
        </m:oMath>
      </m:oMathPara>
    </w:p>
    <w:tbl>
      <w:tblPr>
        <w:tblStyle w:val="Table"/>
        <w:tblW w:type="auto" w:w="0"/>
        <w:tblLook w:firstRow="1" w:lastRow="0" w:firstColumn="0" w:lastColumn="0" w:noHBand="0" w:noVBand="0" w:val="0020"/>
        <w:jc w:val="start"/>
        <w:tblInd w:w="720" w:type="dxa"/>
        <w:tblLayout w:type="fixed"/>
      </w:tblPr>
      <w:tblGrid>
        <w:gridCol w:w="1336"/>
        <w:gridCol w:w="1336"/>
        <w:gridCol w:w="1336"/>
        <w:gridCol w:w="1336"/>
        <w:gridCol w:w="1336"/>
        <w:gridCol w:w="1336"/>
        <w:gridCol w:w="1334"/>
      </w:tblGrid>
      <w:tr>
        <w:trPr>
          <w:tblHeader w:val="true"/>
        </w:trPr>
        <w:tc>
          <w:tcPr/>
          <w:p>
            <w:pPr>
              <w:pStyle w:val="Compact"/>
              <w:jc w:val="center"/>
            </w:pPr>
            <m:oMath>
              <m:r>
                <m:t>l</m:t>
              </m:r>
              <m:r>
                <m:rPr>
                  <m:sty m:val="p"/>
                </m:rPr>
                <m:t>±</m:t>
              </m:r>
              <m:sSub>
                <m:e>
                  <m:r>
                    <m:t>ε</m:t>
                  </m:r>
                </m:e>
                <m:sub>
                  <m:r>
                    <m:t>l</m:t>
                  </m:r>
                </m:sub>
              </m:sSub>
            </m:oMath>
          </w:p>
        </w:tc>
        <w:tc>
          <w:tcPr>
            <w:gridSpan w:val="3"/>
          </w:tcPr>
          <w:p>
            <w:pPr>
              <w:pStyle w:val="Compact"/>
              <w:jc w:val="center"/>
            </w:pPr>
            <m:oMath>
              <m:r>
                <m:t>f</m:t>
              </m:r>
              <m:r>
                <m:rPr>
                  <m:sty m:val="p"/>
                </m:rPr>
                <m:t>±</m:t>
              </m:r>
              <m:sSub>
                <m:e>
                  <m:r>
                    <m:t>ε</m:t>
                  </m:r>
                </m:e>
                <m:sub>
                  <m:r>
                    <m:t>f</m:t>
                  </m:r>
                </m:sub>
              </m:sSub>
            </m:oMath>
          </w:p>
        </w:tc>
        <w:tc>
          <w:tcPr/>
          <w:p>
            <w:pPr>
              <w:pStyle w:val="Compact"/>
              <w:jc w:val="center"/>
            </w:pPr>
            <m:oMath>
              <m:bar>
                <m:barPr>
                  <m:pos m:val="top"/>
                </m:barPr>
                <m:e>
                  <m:r>
                    <m:t>f</m:t>
                  </m:r>
                </m:e>
              </m:bar>
              <m:r>
                <m:rPr>
                  <m:sty m:val="p"/>
                </m:rPr>
                <m:t>±</m:t>
              </m:r>
              <m:sSub>
                <m:e>
                  <m:r>
                    <m:t>ε</m:t>
                  </m:r>
                </m:e>
                <m:sub>
                  <m:bar>
                    <m:barPr>
                      <m:pos m:val="top"/>
                    </m:barPr>
                    <m:e>
                      <m:r>
                        <m:t>f</m:t>
                      </m:r>
                    </m:e>
                  </m:bar>
                </m:sub>
              </m:sSub>
            </m:oMath>
          </w:p>
        </w:tc>
        <w:tc>
          <w:tcPr/>
          <w:p>
            <w:pPr>
              <w:pStyle w:val="Compact"/>
              <w:jc w:val="center"/>
            </w:pPr>
            <m:oMath>
              <m:r>
                <m:rPr>
                  <m:sty m:val="p"/>
                </m:rPr>
                <m:t>ln</m:t>
              </m:r>
              <m:bar>
                <m:barPr>
                  <m:pos m:val="top"/>
                </m:barPr>
                <m:e>
                  <m:r>
                    <m:t>f</m:t>
                  </m:r>
                </m:e>
              </m:bar>
              <m:r>
                <m:rPr>
                  <m:sty m:val="p"/>
                </m:rPr>
                <m:t>±</m:t>
              </m:r>
              <m:sSub>
                <m:e>
                  <m:r>
                    <m:t>ε</m:t>
                  </m:r>
                </m:e>
                <m:sub>
                  <m:r>
                    <m:rPr>
                      <m:sty m:val="p"/>
                    </m:rPr>
                    <m:t>ln</m:t>
                  </m:r>
                  <m:bar>
                    <m:barPr>
                      <m:pos m:val="top"/>
                    </m:barPr>
                    <m:e>
                      <m:r>
                        <m:t>f</m:t>
                      </m:r>
                    </m:e>
                  </m:bar>
                </m:sub>
              </m:sSub>
            </m:oMath>
          </w:p>
        </w:tc>
        <w:tc>
          <w:tcPr/>
          <w:p>
            <w:pPr>
              <w:pStyle w:val="Compact"/>
              <w:jc w:val="center"/>
            </w:pPr>
            <m:oMath>
              <m:r>
                <m:rPr>
                  <m:sty m:val="p"/>
                </m:rPr>
                <m:t>ln</m:t>
              </m:r>
              <m:r>
                <m:t>l</m:t>
              </m:r>
              <m:r>
                <m:rPr>
                  <m:sty m:val="p"/>
                </m:rPr>
                <m:t>±</m:t>
              </m:r>
              <m:sSub>
                <m:e>
                  <m:r>
                    <m:t>ε</m:t>
                  </m:r>
                </m:e>
                <m:sub>
                  <m:r>
                    <m:rPr>
                      <m:sty m:val="p"/>
                    </m:rPr>
                    <m:t>ln</m:t>
                  </m:r>
                  <m:r>
                    <m:t>l</m:t>
                  </m:r>
                </m:sub>
              </m:sSub>
            </m:oMath>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0"/>
        </w:numPr>
      </w:pPr>
      <w:r>
        <w:t xml:space="preserve">Representar gráficamente</w:t>
      </w:r>
      <w:r>
        <w:t xml:space="preserve"> </w:t>
      </w:r>
      <m:oMath>
        <m:r>
          <m:rPr>
            <m:sty m:val="p"/>
          </m:rPr>
          <m:t>ln</m:t>
        </m:r>
        <m:bar>
          <m:barPr>
            <m:pos m:val="top"/>
          </m:barPr>
          <m:e>
            <m:r>
              <m:t>f</m:t>
            </m:r>
          </m:e>
        </m:bar>
      </m:oMath>
      <w:r>
        <w:t xml:space="preserve"> </w:t>
      </w:r>
      <w:r>
        <w:t xml:space="preserve">en función de</w:t>
      </w:r>
      <w:r>
        <w:t xml:space="preserve"> </w:t>
      </w:r>
      <m:oMath>
        <m:r>
          <m:rPr>
            <m:sty m:val="p"/>
          </m:rPr>
          <m:t>ln</m:t>
        </m:r>
        <m:r>
          <m:t>l</m:t>
        </m:r>
      </m:oMath>
      <w:r>
        <w:t xml:space="preserve">.</w:t>
      </w:r>
      <w:r>
        <w:t xml:space="preserve"> </w:t>
      </w:r>
      <w:r>
        <w:t xml:space="preserve">Calcular el coeficiente de correlación lineal</w:t>
      </w:r>
      <w:r>
        <w:t xml:space="preserve"> </w:t>
      </w:r>
      <m:oMath>
        <m:r>
          <m:t>r</m:t>
        </m:r>
      </m:oMath>
      <w:r>
        <w:t xml:space="preserve">, la pendiente</w:t>
      </w:r>
      <w:r>
        <w:t xml:space="preserve"> </w:t>
      </w:r>
      <m:oMath>
        <m:r>
          <m:t>a</m:t>
        </m:r>
      </m:oMath>
      <w:r>
        <w:t xml:space="preserve">, y</w:t>
      </w:r>
      <w:r>
        <w:t xml:space="preserve"> </w:t>
      </w:r>
      <w:r>
        <w:t xml:space="preserve">la ordenada en el origen</w:t>
      </w:r>
      <w:r>
        <w:t xml:space="preserve"> </w:t>
      </w:r>
      <m:oMath>
        <m:r>
          <m:t>b</m:t>
        </m:r>
      </m:oMath>
      <w:r>
        <w:t xml:space="preserve">, y trazar sobre la representación anterior</w:t>
      </w:r>
      <w:r>
        <w:t xml:space="preserve"> </w:t>
      </w:r>
      <w:r>
        <w:t xml:space="preserve">la recta de mínimos cuadrados</w:t>
      </w:r>
      <w:r>
        <w:t xml:space="preserve"> </w:t>
      </w:r>
      <m:oMath>
        <m:r>
          <m:rPr>
            <m:sty m:val="p"/>
          </m:rPr>
          <m:t>ln</m:t>
        </m:r>
        <m:bar>
          <m:barPr>
            <m:pos m:val="top"/>
          </m:barPr>
          <m:e>
            <m:r>
              <m:t>f</m:t>
            </m:r>
          </m:e>
        </m:bar>
        <m:r>
          <m:rPr>
            <m:sty m:val="p"/>
          </m:rPr>
          <m:t>=</m:t>
        </m:r>
        <m:r>
          <m:t>a</m:t>
        </m:r>
        <m:r>
          <m:rPr>
            <m:sty m:val="p"/>
          </m:rPr>
          <m:t>ln</m:t>
        </m:r>
        <m:r>
          <m:t>l</m:t>
        </m:r>
        <m:r>
          <m:rPr>
            <m:sty m:val="p"/>
          </m:rPr>
          <m:t>+</m:t>
        </m:r>
        <m:r>
          <m:t>b</m:t>
        </m:r>
      </m:oMath>
      <w:r>
        <w:t xml:space="preserve">.</w:t>
      </w:r>
    </w:p>
    <w:p>
      <w:pPr>
        <w:pStyle w:val="BodyText"/>
      </w:pPr>
      <m:oMathPara>
        <m:oMathParaPr>
          <m:jc m:val="center"/>
        </m:oMathParaPr>
        <m:oMath>
          <m:r>
            <m:t>r</m:t>
          </m:r>
          <m:r>
            <m:rPr>
              <m:sty m:val="p"/>
            </m:rPr>
            <m:t>=</m:t>
          </m:r>
          <m:r>
            <m:t>  </m:t>
          </m:r>
          <m:r>
            <m:t> </m:t>
          </m:r>
          <m:r>
            <m:t> </m:t>
          </m:r>
          <m:r>
            <m:t>a</m:t>
          </m:r>
          <m:r>
            <m:rPr>
              <m:sty m:val="p"/>
            </m:rPr>
            <m:t>±</m:t>
          </m:r>
          <m:sSub>
            <m:e>
              <m:r>
                <m:t>ε</m:t>
              </m:r>
            </m:e>
            <m:sub>
              <m:r>
                <m:t>a</m:t>
              </m:r>
            </m:sub>
          </m:sSub>
          <m:r>
            <m:rPr>
              <m:sty m:val="p"/>
            </m:rPr>
            <m:t>=</m:t>
          </m:r>
          <m:r>
            <m:t>  </m:t>
          </m:r>
          <m:r>
            <m:t> </m:t>
          </m:r>
          <m:r>
            <m:t>b</m:t>
          </m:r>
          <m:r>
            <m:rPr>
              <m:sty m:val="p"/>
            </m:rPr>
            <m:t>±</m:t>
          </m:r>
          <m:sSub>
            <m:e>
              <m:r>
                <m:t>ε</m:t>
              </m:r>
            </m:e>
            <m:sub>
              <m:r>
                <m:t>b</m:t>
              </m:r>
            </m:sub>
          </m:sSub>
          <m:r>
            <m:rPr>
              <m:sty m:val="p"/>
            </m:rPr>
            <m:t>=</m:t>
          </m:r>
          <m:r>
            <m:t> </m:t>
          </m:r>
          <m:r>
            <m:t> </m:t>
          </m:r>
          <m:r>
            <m:t> </m:t>
          </m:r>
          <m:r>
            <m:t> </m:t>
          </m:r>
          <m:r>
            <m:t> </m:t>
          </m:r>
          <m:r>
            <m:t> </m:t>
          </m:r>
          <m:r>
            <m:t> </m:t>
          </m:r>
          <m:r>
            <m:t> </m:t>
          </m:r>
          <m:r>
            <m:t> </m:t>
          </m:r>
          <m:r>
            <m:t> </m:t>
          </m:r>
        </m:oMath>
      </m:oMathPara>
    </w:p>
    <w:p>
      <w:pPr>
        <w:numPr>
          <w:ilvl w:val="0"/>
          <w:numId w:val="1000"/>
        </w:numPr>
      </w:pPr>
      <w:r>
        <w:t xml:space="preserve">A partir de la ordenada en el origen</w:t>
      </w:r>
      <w:r>
        <w:t xml:space="preserve"> </w:t>
      </w:r>
      <m:oMath>
        <m:r>
          <m:t>b</m:t>
        </m:r>
      </m:oMath>
      <w:r>
        <w:t xml:space="preserve">, calcular la densidad</w:t>
      </w:r>
      <w:r>
        <w:t xml:space="preserve"> </w:t>
      </w:r>
      <m:oMath>
        <m:r>
          <m:t>ρ</m:t>
        </m:r>
      </m:oMath>
      <w:r>
        <w:t xml:space="preserve"> </w:t>
      </w:r>
      <w:r>
        <w:t xml:space="preserve">del material.</w:t>
      </w:r>
    </w:p>
    <w:p>
      <w:pPr>
        <w:numPr>
          <w:ilvl w:val="0"/>
          <w:numId w:val="1001"/>
        </w:numPr>
      </w:pPr>
      <w:r>
        <w:t xml:space="preserve">Usando la misma cuerda, fijar su longitud a</w:t>
      </w:r>
      <w:r>
        <w:t xml:space="preserve"> </w:t>
      </w:r>
      <m:oMath>
        <m:r>
          <m:t>l</m:t>
        </m:r>
        <m:r>
          <m:rPr>
            <m:sty m:val="p"/>
          </m:rPr>
          <m:t>=</m:t>
        </m:r>
        <m:r>
          <m:t>40</m:t>
        </m:r>
      </m:oMath>
      <w:r>
        <w:t xml:space="preserve"> </w:t>
      </w:r>
      <w:r>
        <w:t xml:space="preserve">cm</w:t>
      </w:r>
      <w:r>
        <w:t xml:space="preserve"> </w:t>
      </w:r>
      <w:r>
        <w:t xml:space="preserve">y medir la frecuencia</w:t>
      </w:r>
      <w:r>
        <w:t xml:space="preserve"> </w:t>
      </w:r>
      <m:oMath>
        <m:r>
          <m:t>f</m:t>
        </m:r>
      </m:oMath>
      <w:r>
        <w:t xml:space="preserve"> </w:t>
      </w:r>
      <w:r>
        <w:t xml:space="preserve">(hacer</w:t>
      </w:r>
      <w:r>
        <w:t xml:space="preserve"> </w:t>
      </w:r>
      <m:oMath>
        <m:r>
          <m:t>3</m:t>
        </m:r>
      </m:oMath>
      <w:r>
        <w:t xml:space="preserve"> </w:t>
      </w:r>
      <w:r>
        <w:t xml:space="preserve">medidas y promediar) para distintos</w:t>
      </w:r>
      <w:r>
        <w:t xml:space="preserve"> </w:t>
      </w:r>
      <w:r>
        <w:t xml:space="preserve">valores de la tensión</w:t>
      </w:r>
      <w:r>
        <w:t xml:space="preserve"> </w:t>
      </w:r>
      <m:oMath>
        <m:r>
          <m:t>T</m:t>
        </m:r>
      </m:oMath>
      <w:r>
        <w:t xml:space="preserve">, en un rango entre</w:t>
      </w:r>
      <w:r>
        <w:t xml:space="preserve"> </w:t>
      </w:r>
      <m:oMath>
        <m:r>
          <m:t>6</m:t>
        </m:r>
        <m:r>
          <m:t> </m:t>
        </m:r>
        <m:r>
          <m:t> </m:t>
        </m:r>
        <m:r>
          <m:rPr>
            <m:sty m:val="p"/>
          </m:rPr>
          <m:t>N</m:t>
        </m:r>
      </m:oMath>
      <w:r>
        <w:t xml:space="preserve"> </w:t>
      </w:r>
      <w:r>
        <w:t xml:space="preserve">y</w:t>
      </w:r>
      <w:r>
        <w:t xml:space="preserve"> </w:t>
      </w:r>
      <m:oMath>
        <m:r>
          <m:t>20</m:t>
        </m:r>
        <m:r>
          <m:t> </m:t>
        </m:r>
        <m:r>
          <m:t> </m:t>
        </m:r>
        <m:r>
          <m:rPr>
            <m:sty m:val="p"/>
          </m:rPr>
          <m:t>N</m:t>
        </m:r>
      </m:oMath>
      <w:r>
        <w:t xml:space="preserve">,</w:t>
      </w:r>
      <w:r>
        <w:t xml:space="preserve"> </w:t>
      </w:r>
      <w:r>
        <w:t xml:space="preserve">en pasos de</w:t>
      </w:r>
      <w:r>
        <w:t xml:space="preserve"> </w:t>
      </w:r>
      <m:oMath>
        <m:r>
          <m:t>2</m:t>
        </m:r>
        <m:r>
          <m:t> </m:t>
        </m:r>
        <m:r>
          <m:t> </m:t>
        </m:r>
        <m:r>
          <m:rPr>
            <m:sty m:val="p"/>
          </m:rPr>
          <m:t>N</m:t>
        </m:r>
      </m:oMath>
      <w:r>
        <w:t xml:space="preserve">.</w:t>
      </w:r>
    </w:p>
    <w:p>
      <w:pPr>
        <w:pStyle w:val="BodyText"/>
      </w:pPr>
      <m:oMathPara>
        <m:oMathParaPr>
          <m:jc m:val="center"/>
        </m:oMathParaPr>
        <m:oMath>
          <m:r>
            <m:t>l</m:t>
          </m:r>
          <m:r>
            <m:rPr>
              <m:sty m:val="p"/>
            </m:rPr>
            <m:t>±</m:t>
          </m:r>
          <m:sSub>
            <m:e>
              <m:r>
                <m:t>ε</m:t>
              </m:r>
            </m:e>
            <m:sub>
              <m:r>
                <m:t>l</m:t>
              </m:r>
            </m:sub>
          </m:sSub>
          <m:r>
            <m:rPr>
              <m:sty m:val="p"/>
            </m:rPr>
            <m:t>=</m:t>
          </m:r>
          <m:r>
            <m:t> </m:t>
          </m:r>
          <m:r>
            <m:t> </m:t>
          </m:r>
        </m:oMath>
      </m:oMathPara>
    </w:p>
    <w:tbl>
      <w:tblPr>
        <w:tblStyle w:val="Table"/>
        <w:tblW w:type="auto" w:w="0"/>
        <w:tblLook w:firstRow="1" w:lastRow="0" w:firstColumn="0" w:lastColumn="0" w:noHBand="0" w:noVBand="0" w:val="0020"/>
        <w:jc w:val="start"/>
        <w:tblInd w:w="720" w:type="dxa"/>
        <w:tblLayout w:type="fixed"/>
      </w:tblPr>
      <w:tblGrid>
        <w:gridCol w:w="1558"/>
        <w:gridCol w:w="1558"/>
        <w:gridCol w:w="1558"/>
        <w:gridCol w:w="1558"/>
        <w:gridCol w:w="1558"/>
        <w:gridCol w:w="1560"/>
      </w:tblGrid>
      <w:tr>
        <w:trPr>
          <w:tblHeader w:val="true"/>
        </w:trPr>
        <w:tc>
          <w:tcPr/>
          <w:p>
            <w:pPr>
              <w:pStyle w:val="Compact"/>
              <w:jc w:val="center"/>
            </w:pPr>
            <m:oMath>
              <m:r>
                <m:t>T</m:t>
              </m:r>
              <m:r>
                <m:rPr>
                  <m:sty m:val="p"/>
                </m:rPr>
                <m:t>±</m:t>
              </m:r>
              <m:sSub>
                <m:e>
                  <m:r>
                    <m:t>ε</m:t>
                  </m:r>
                </m:e>
                <m:sub>
                  <m:r>
                    <m:t>T</m:t>
                  </m:r>
                </m:sub>
              </m:sSub>
            </m:oMath>
          </w:p>
        </w:tc>
        <w:tc>
          <w:tcPr>
            <w:gridSpan w:val="3"/>
          </w:tcPr>
          <w:p>
            <w:pPr>
              <w:pStyle w:val="Compact"/>
              <w:jc w:val="center"/>
            </w:pPr>
            <m:oMath>
              <m:r>
                <m:t>f</m:t>
              </m:r>
              <m:r>
                <m:rPr>
                  <m:sty m:val="p"/>
                </m:rPr>
                <m:t>±</m:t>
              </m:r>
              <m:sSub>
                <m:e>
                  <m:r>
                    <m:t>ε</m:t>
                  </m:r>
                </m:e>
                <m:sub>
                  <m:r>
                    <m:t>f</m:t>
                  </m:r>
                </m:sub>
              </m:sSub>
            </m:oMath>
          </w:p>
        </w:tc>
        <w:tc>
          <w:tcPr/>
          <w:p>
            <w:pPr>
              <w:pStyle w:val="Compact"/>
              <w:jc w:val="center"/>
            </w:pPr>
            <m:oMath>
              <m:bar>
                <m:barPr>
                  <m:pos m:val="top"/>
                </m:barPr>
                <m:e>
                  <m:r>
                    <m:t>f</m:t>
                  </m:r>
                </m:e>
              </m:bar>
              <m:r>
                <m:rPr>
                  <m:sty m:val="p"/>
                </m:rPr>
                <m:t>±</m:t>
              </m:r>
              <m:sSub>
                <m:e>
                  <m:r>
                    <m:t>ε</m:t>
                  </m:r>
                </m:e>
                <m:sub>
                  <m:bar>
                    <m:barPr>
                      <m:pos m:val="top"/>
                    </m:barPr>
                    <m:e>
                      <m:r>
                        <m:t>f</m:t>
                      </m:r>
                    </m:e>
                  </m:bar>
                </m:sub>
              </m:sSub>
            </m:oMath>
          </w:p>
        </w:tc>
        <w:tc>
          <w:tcPr/>
          <w:p>
            <w:pPr>
              <w:pStyle w:val="Compact"/>
              <w:jc w:val="center"/>
            </w:pPr>
            <m:oMath>
              <m:rad>
                <m:radPr>
                  <m:degHide m:val="on"/>
                </m:radPr>
                <m:deg/>
                <m:e>
                  <m:r>
                    <m:t>T</m:t>
                  </m:r>
                </m:e>
              </m:rad>
              <m:r>
                <m:rPr>
                  <m:sty m:val="p"/>
                </m:rPr>
                <m:t>±</m:t>
              </m:r>
              <m:sSub>
                <m:e>
                  <m:r>
                    <m:t>ε</m:t>
                  </m:r>
                </m:e>
                <m:sub>
                  <m:rad>
                    <m:radPr>
                      <m:degHide m:val="on"/>
                    </m:radPr>
                    <m:deg/>
                    <m:e>
                      <m:r>
                        <m:t>T</m:t>
                      </m:r>
                    </m:e>
                  </m:rad>
                </m:sub>
              </m:sSub>
            </m:oMath>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0"/>
        </w:numPr>
      </w:pPr>
      <w:r>
        <w:t xml:space="preserve">Representar gráficamente</w:t>
      </w:r>
      <w:r>
        <w:t xml:space="preserve"> </w:t>
      </w:r>
      <m:oMath>
        <m:bar>
          <m:barPr>
            <m:pos m:val="top"/>
          </m:barPr>
          <m:e>
            <m:r>
              <m:t>f</m:t>
            </m:r>
          </m:e>
        </m:bar>
      </m:oMath>
      <w:r>
        <w:t xml:space="preserve"> </w:t>
      </w:r>
      <w:r>
        <w:t xml:space="preserve">en función de</w:t>
      </w:r>
      <w:r>
        <w:t xml:space="preserve"> </w:t>
      </w:r>
      <m:oMath>
        <m:rad>
          <m:radPr>
            <m:degHide m:val="on"/>
          </m:radPr>
          <m:deg/>
          <m:e>
            <m:r>
              <m:t>T</m:t>
            </m:r>
          </m:e>
        </m:rad>
      </m:oMath>
      <w:r>
        <w:t xml:space="preserve">. Calcular el coeficiente</w:t>
      </w:r>
      <w:r>
        <w:t xml:space="preserve"> </w:t>
      </w:r>
      <w:r>
        <w:t xml:space="preserve">de correlación lineal</w:t>
      </w:r>
      <w:r>
        <w:t xml:space="preserve"> </w:t>
      </w:r>
      <m:oMath>
        <m:r>
          <m:t>r</m:t>
        </m:r>
      </m:oMath>
      <w:r>
        <w:t xml:space="preserve">, la pendiente</w:t>
      </w:r>
      <w:r>
        <w:t xml:space="preserve"> </w:t>
      </w:r>
      <m:oMath>
        <m:r>
          <m:t>a</m:t>
        </m:r>
      </m:oMath>
      <w:r>
        <w:t xml:space="preserve">, y la ordenada en el</w:t>
      </w:r>
      <w:r>
        <w:t xml:space="preserve"> </w:t>
      </w:r>
      <w:r>
        <w:t xml:space="preserve">origen</w:t>
      </w:r>
      <w:r>
        <w:t xml:space="preserve"> </w:t>
      </w:r>
      <m:oMath>
        <m:r>
          <m:t>b</m:t>
        </m:r>
      </m:oMath>
      <w:r>
        <w:t xml:space="preserve">, y trazar sobre la representación anterior las rectas de mínimos cuadrados</w:t>
      </w:r>
      <w:r>
        <w:t xml:space="preserve"> </w:t>
      </w:r>
      <m:oMath>
        <m:bar>
          <m:barPr>
            <m:pos m:val="top"/>
          </m:barPr>
          <m:e>
            <m:r>
              <m:t>f</m:t>
            </m:r>
          </m:e>
        </m:bar>
        <m:r>
          <m:rPr>
            <m:sty m:val="p"/>
          </m:rPr>
          <m:t>=</m:t>
        </m:r>
        <m:r>
          <m:t>a</m:t>
        </m:r>
        <m:rad>
          <m:radPr>
            <m:degHide m:val="on"/>
          </m:radPr>
          <m:deg/>
          <m:e>
            <m:r>
              <m:t>T</m:t>
            </m:r>
          </m:e>
        </m:rad>
        <m:r>
          <m:rPr>
            <m:sty m:val="p"/>
          </m:rPr>
          <m:t>+</m:t>
        </m:r>
        <m:r>
          <m:t>b</m:t>
        </m:r>
      </m:oMath>
      <w:r>
        <w:t xml:space="preserve">.</w:t>
      </w:r>
    </w:p>
    <w:p>
      <w:pPr>
        <w:pStyle w:val="BodyText"/>
      </w:pPr>
      <m:oMathPara>
        <m:oMathParaPr>
          <m:jc m:val="center"/>
        </m:oMathParaPr>
        <m:oMath>
          <m:r>
            <m:t>r</m:t>
          </m:r>
          <m:r>
            <m:rPr>
              <m:sty m:val="p"/>
            </m:rPr>
            <m:t>=</m:t>
          </m:r>
          <m:r>
            <m:t>  </m:t>
          </m:r>
          <m:r>
            <m:t> </m:t>
          </m:r>
          <m:r>
            <m:t> </m:t>
          </m:r>
          <m:r>
            <m:t>a</m:t>
          </m:r>
          <m:r>
            <m:rPr>
              <m:sty m:val="p"/>
            </m:rPr>
            <m:t>±</m:t>
          </m:r>
          <m:sSub>
            <m:e>
              <m:r>
                <m:t>ε</m:t>
              </m:r>
            </m:e>
            <m:sub>
              <m:r>
                <m:t>a</m:t>
              </m:r>
            </m:sub>
          </m:sSub>
          <m:r>
            <m:rPr>
              <m:sty m:val="p"/>
            </m:rPr>
            <m:t>=</m:t>
          </m:r>
          <m:r>
            <m:t>  </m:t>
          </m:r>
          <m:r>
            <m:t> </m:t>
          </m:r>
          <m:r>
            <m:t>b</m:t>
          </m:r>
          <m:r>
            <m:rPr>
              <m:sty m:val="p"/>
            </m:rPr>
            <m:t>±</m:t>
          </m:r>
          <m:sSub>
            <m:e>
              <m:r>
                <m:t>ε</m:t>
              </m:r>
            </m:e>
            <m:sub>
              <m:r>
                <m:t>b</m:t>
              </m:r>
            </m:sub>
          </m:sSub>
          <m:r>
            <m:rPr>
              <m:sty m:val="p"/>
            </m:rPr>
            <m:t>=</m:t>
          </m:r>
          <m:r>
            <m:t> </m:t>
          </m:r>
          <m:r>
            <m:t> </m:t>
          </m:r>
          <m:r>
            <m:t> </m:t>
          </m:r>
          <m:r>
            <m:t> </m:t>
          </m:r>
          <m:r>
            <m:t> </m:t>
          </m:r>
          <m:r>
            <m:t> </m:t>
          </m:r>
          <m:r>
            <m:t> </m:t>
          </m:r>
          <m:r>
            <m:t> </m:t>
          </m:r>
          <m:r>
            <m:t> </m:t>
          </m:r>
          <m:r>
            <m:t> </m:t>
          </m:r>
        </m:oMath>
      </m:oMathPara>
    </w:p>
    <w:p>
      <w:pPr>
        <w:numPr>
          <w:ilvl w:val="0"/>
          <w:numId w:val="1000"/>
        </w:numPr>
      </w:pPr>
      <w:r>
        <w:t xml:space="preserve">A partir de la pendiente</w:t>
      </w:r>
      <w:r>
        <w:t xml:space="preserve"> </w:t>
      </w:r>
      <m:oMath>
        <m:r>
          <m:t>a</m:t>
        </m:r>
      </m:oMath>
      <w:r>
        <w:t xml:space="preserve">, calcular la densidad</w:t>
      </w:r>
      <w:r>
        <w:t xml:space="preserve"> </w:t>
      </w:r>
      <m:oMath>
        <m:r>
          <m:t>ρ</m:t>
        </m:r>
      </m:oMath>
      <w:r>
        <w:t xml:space="preserve"> </w:t>
      </w:r>
      <w:r>
        <w:t xml:space="preserve">de material.</w:t>
      </w:r>
    </w:p>
    <w:bookmarkEnd w:id="26"/>
    <w:bookmarkStart w:id="27" w:name="discusión"/>
    <w:p>
      <w:pPr>
        <w:pStyle w:val="Heading2"/>
      </w:pPr>
      <w:r>
        <w:t xml:space="preserve">Discusión</w:t>
      </w:r>
    </w:p>
    <w:p>
      <w:pPr>
        <w:pStyle w:val="FirstParagraph"/>
      </w:pPr>
      <w:r>
        <w:t xml:space="preserve">La discusión del experimento es libre, si bien es necesario aclarar al menos los siguientes aspectos:</w:t>
      </w:r>
    </w:p>
    <w:p>
      <w:pPr>
        <w:numPr>
          <w:ilvl w:val="0"/>
          <w:numId w:val="1002"/>
        </w:numPr>
      </w:pPr>
      <w:r>
        <w:t xml:space="preserve">Discutir de forma cuantitativa la precisión y la exactitud de los valores obtenidos para la densidad del material. Tome como valores de referencia</w:t>
      </w:r>
      <w:r>
        <w:t xml:space="preserve"> </w:t>
      </w:r>
      <m:oMath>
        <m:sSub>
          <m:e>
            <m:r>
              <m:t>ρ</m:t>
            </m:r>
          </m:e>
          <m:sub>
            <m:r>
              <m:t>C</m:t>
            </m:r>
            <m:r>
              <m:t>u</m:t>
            </m:r>
            <m:r>
              <m:t>N</m:t>
            </m:r>
            <m:r>
              <m:t>i</m:t>
            </m:r>
          </m:sub>
        </m:sSub>
        <m:r>
          <m:rPr>
            <m:sty m:val="p"/>
          </m:rPr>
          <m:t>=</m:t>
        </m:r>
        <m:r>
          <m:t>8860</m:t>
        </m:r>
      </m:oMath>
      <w:r>
        <w:t xml:space="preserve"> </w:t>
      </w:r>
      <m:oMath>
        <m:r>
          <m:t>k</m:t>
        </m:r>
        <m:r>
          <m:t>g</m:t>
        </m:r>
        <m:r>
          <m:rPr>
            <m:sty m:val="p"/>
          </m:rPr>
          <m:t>/</m:t>
        </m:r>
        <m:sSup>
          <m:e>
            <m:r>
              <m:t>m</m:t>
            </m:r>
          </m:e>
          <m:sup>
            <m:r>
              <m:t>3</m:t>
            </m:r>
          </m:sup>
        </m:sSup>
      </m:oMath>
      <w:r>
        <w:t xml:space="preserve"> </w:t>
      </w:r>
      <w:r>
        <w:t xml:space="preserve">y</w:t>
      </w:r>
      <w:r>
        <w:t xml:space="preserve"> </w:t>
      </w:r>
      <m:oMath>
        <m:sSub>
          <m:e>
            <m:r>
              <m:t>ρ</m:t>
            </m:r>
          </m:e>
          <m:sub>
            <m:r>
              <m:t>C</m:t>
            </m:r>
            <m:r>
              <m:t>u</m:t>
            </m:r>
          </m:sub>
        </m:sSub>
        <m:r>
          <m:rPr>
            <m:sty m:val="p"/>
          </m:rPr>
          <m:t>=</m:t>
        </m:r>
        <m:r>
          <m:t>8800</m:t>
        </m:r>
      </m:oMath>
      <w:r>
        <w:t xml:space="preserve"> </w:t>
      </w:r>
      <m:oMath>
        <m:r>
          <m:t>k</m:t>
        </m:r>
        <m:r>
          <m:t>g</m:t>
        </m:r>
        <m:r>
          <m:rPr>
            <m:sty m:val="p"/>
          </m:rPr>
          <m:t>/</m:t>
        </m:r>
        <m:sSup>
          <m:e>
            <m:r>
              <m:t>m</m:t>
            </m:r>
          </m:e>
          <m:sup>
            <m:r>
              <m:t>3</m:t>
            </m:r>
          </m:sup>
        </m:sSup>
      </m:oMath>
    </w:p>
    <w:p>
      <w:pPr>
        <w:numPr>
          <w:ilvl w:val="0"/>
          <w:numId w:val="1002"/>
        </w:numPr>
      </w:pPr>
      <w:r>
        <w:t xml:space="preserve">Discutir de forma cuantitativa las principales fuentes de error que afectan al cálculo de la densidad en cada apartado. Si es viable experimentalmente, indicar de qué manera se podría reducir el error.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2026-09-10T15:22:39Z</dcterms:created>
  <dcterms:modified xsi:type="dcterms:W3CDTF">2026-09-10T15:22:39Z</dcterms:modified>
</cp:coreProperties>
</file>

<file path=docProps/custom.xml><?xml version="1.0" encoding="utf-8"?>
<Properties xmlns="http://schemas.openxmlformats.org/officeDocument/2006/custom-properties" xmlns:vt="http://schemas.openxmlformats.org/officeDocument/2006/docPropsVTypes"/>
</file>