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eterminación-de-la-viscosidad-del-agua"/>
    <w:p>
      <w:pPr>
        <w:pStyle w:val="Heading1"/>
      </w:pPr>
      <w:r>
        <w:t xml:space="preserve">Determinación de la viscosidad del agua</w:t>
      </w:r>
    </w:p>
    <w:bookmarkStart w:id="20" w:name="objetivo"/>
    <w:p>
      <w:pPr>
        <w:pStyle w:val="Heading2"/>
      </w:pPr>
      <w:r>
        <w:t xml:space="preserve">Objetivo</w:t>
      </w:r>
    </w:p>
    <w:p>
      <w:pPr>
        <w:pStyle w:val="FirstParagraph"/>
      </w:pPr>
      <w:r>
        <w:t xml:space="preserve">Se calculará la viscosidad del agua utilizando la ley de Hagen-Poiseuille, que gobierna el flujo laminar de líquidos newtonianos.</w:t>
      </w:r>
    </w:p>
    <w:bookmarkEnd w:id="20"/>
    <w:bookmarkStart w:id="21" w:name="fundamento-teórico"/>
    <w:p>
      <w:pPr>
        <w:pStyle w:val="Heading2"/>
      </w:pPr>
      <w:r>
        <w:t xml:space="preserve">Fundamento teórico</w:t>
      </w:r>
    </w:p>
    <w:p>
      <w:pPr>
        <w:pStyle w:val="FirstParagraph"/>
      </w:pPr>
      <w:r>
        <w:t xml:space="preserve">El número de Reynolds es una cantidad adimensional que nos permite caracterizar el movimiento de un fluido viscoso. En el caso de tuberías de sección circular, el número de Reynolds viene dado por</w:t>
      </w:r>
    </w:p>
    <w:p>
      <w:pPr>
        <w:pStyle w:val="BodyText"/>
      </w:pPr>
      <m:oMathPara>
        <m:oMathParaPr>
          <m:jc m:val="center"/>
        </m:oMathParaPr>
        <m:oMath>
          <m:r>
            <m:rPr>
              <m:sty m:val="p"/>
            </m:rPr>
            <m:t>R</m:t>
          </m:r>
          <m:r>
            <m:rPr>
              <m:sty m:val="p"/>
            </m:rPr>
            <m:t>e</m:t>
          </m:r>
          <m:r>
            <m:rPr>
              <m:sty m:val="p"/>
            </m:rPr>
            <m:t>=</m:t>
          </m:r>
          <m:f>
            <m:fPr>
              <m:type m:val="bar"/>
            </m:fPr>
            <m:num>
              <m:r>
                <m:t>ρ</m:t>
              </m:r>
              <m:r>
                <m:t>u</m:t>
              </m:r>
              <m:r>
                <m:t>D</m:t>
              </m:r>
            </m:num>
            <m:den>
              <m:r>
                <m:t>μ</m:t>
              </m:r>
            </m:den>
          </m:f>
          <m:r>
            <m:rPr>
              <m:sty m:val="p"/>
            </m:rPr>
            <m:t>,</m:t>
          </m:r>
          <m:r>
            <m:t> </m:t>
          </m:r>
          <m:r>
            <m:rPr>
              <m:nor/>
              <m:sty m:val="p"/>
            </m:rPr>
            <m:t>(7.1)</m:t>
          </m:r>
        </m:oMath>
      </m:oMathPara>
    </w:p>
    <w:p>
      <w:pPr>
        <w:pStyle w:val="FirstParagraph"/>
      </w:pPr>
      <w:r>
        <w:t xml:space="preserve">donde</w:t>
      </w:r>
      <w:r>
        <w:t xml:space="preserve"> </w:t>
      </w:r>
      <m:oMath>
        <m:r>
          <m:t>ρ</m:t>
        </m:r>
      </m:oMath>
      <w:r>
        <w:t xml:space="preserve"> </w:t>
      </w:r>
      <w:r>
        <w:t xml:space="preserve">y</w:t>
      </w:r>
      <w:r>
        <w:t xml:space="preserve"> </w:t>
      </w:r>
      <m:oMath>
        <m:r>
          <m:t>u</m:t>
        </m:r>
      </m:oMath>
      <w:r>
        <w:t xml:space="preserve"> </w:t>
      </w:r>
      <w:r>
        <w:t xml:space="preserve">son la densidad y la velocidad característica del fluido y</w:t>
      </w:r>
      <w:r>
        <w:t xml:space="preserve"> </w:t>
      </w:r>
      <m:oMath>
        <m:r>
          <m:t>D</m:t>
        </m:r>
      </m:oMath>
      <w:r>
        <w:t xml:space="preserve"> </w:t>
      </w:r>
      <w:r>
        <w:t xml:space="preserve">el diámetro de la tubería.</w:t>
      </w:r>
      <w:r>
        <w:t xml:space="preserve"> </w:t>
      </w:r>
      <m:oMath>
        <m:r>
          <m:t>μ</m:t>
        </m:r>
      </m:oMath>
      <w:r>
        <w:t xml:space="preserve"> </w:t>
      </w:r>
      <w:r>
        <w:t xml:space="preserve">es la viscosidad dinámica del fluido.</w:t>
      </w:r>
      <w:r>
        <w:br/>
      </w:r>
      <w:r>
        <w:t xml:space="preserve">El número de Reynolds permite predecir el carácter turbulento o laminar en el que se mueve un fluido. En conductos o tuberías si el número de Reynolds es menor de 2100 el flujo será laminar y si es mayor de 4000 el flujo será turbulento (estos intervalos varían según la bibliografía que se consulte). Entre estos dos valores decimos que el régimen es crítico y el flujo no es estacionario, por lo que la velocidad en una sección varía con el tiempo.</w:t>
      </w:r>
      <w:r>
        <w:br/>
      </w:r>
      <w:r>
        <w:t xml:space="preserve">Cuando un fluido estacionario, incompresible y viscoso se mueve en</w:t>
      </w:r>
      <w:r>
        <w:t xml:space="preserve"> </w:t>
      </w:r>
      <w:r>
        <w:rPr>
          <w:bCs/>
          <w:b/>
        </w:rPr>
        <w:t xml:space="preserve">régimen laminar</w:t>
      </w:r>
      <w:r>
        <w:t xml:space="preserve"> </w:t>
      </w:r>
      <w:r>
        <w:t xml:space="preserve">en un conducto de sección circular constante, es posible aplicar la ecuación de Hagen-Poiseuille</w:t>
      </w:r>
    </w:p>
    <w:p>
      <w:pPr>
        <w:pStyle w:val="BodyText"/>
      </w:pPr>
      <m:oMathPara>
        <m:oMathParaPr>
          <m:jc m:val="center"/>
        </m:oMathParaPr>
        <m:oMath>
          <m:r>
            <m:t>Δ</m:t>
          </m:r>
          <m:r>
            <m:t>p</m:t>
          </m:r>
          <m:r>
            <m:rPr>
              <m:sty m:val="p"/>
            </m:rPr>
            <m:t>=</m:t>
          </m:r>
          <m:r>
            <m:t>R</m:t>
          </m:r>
          <m:r>
            <m:t>Q</m:t>
          </m:r>
          <m:r>
            <m:rPr>
              <m:sty m:val="p"/>
            </m:rPr>
            <m:t>=</m:t>
          </m:r>
          <m:f>
            <m:fPr>
              <m:type m:val="bar"/>
            </m:fPr>
            <m:num>
              <m:r>
                <m:t>8</m:t>
              </m:r>
              <m:r>
                <m:t>μ</m:t>
              </m:r>
              <m:r>
                <m:t>l</m:t>
              </m:r>
            </m:num>
            <m:den>
              <m:r>
                <m:t>π</m:t>
              </m:r>
              <m:sSup>
                <m:e>
                  <m:r>
                    <m:t>r</m:t>
                  </m:r>
                </m:e>
                <m:sup>
                  <m:r>
                    <m:t>4</m:t>
                  </m:r>
                </m:sup>
              </m:sSup>
            </m:den>
          </m:f>
          <m:r>
            <m:t>Q</m:t>
          </m:r>
          <m:r>
            <m:rPr>
              <m:sty m:val="p"/>
            </m:rPr>
            <m:t>,</m:t>
          </m:r>
          <m:r>
            <m:t> </m:t>
          </m:r>
          <m:r>
            <m:rPr>
              <m:nor/>
              <m:sty m:val="p"/>
            </m:rPr>
            <m:t>(7.2)</m:t>
          </m:r>
        </m:oMath>
      </m:oMathPara>
    </w:p>
    <w:p>
      <w:pPr>
        <w:pStyle w:val="FirstParagraph"/>
      </w:pPr>
      <w:r>
        <w:t xml:space="preserve">donde</w:t>
      </w:r>
      <w:r>
        <w:t xml:space="preserve"> </w:t>
      </w:r>
      <m:oMath>
        <m:r>
          <m:t>Q</m:t>
        </m:r>
      </m:oMath>
      <w:r>
        <w:t xml:space="preserve"> </w:t>
      </w:r>
      <w:r>
        <w:t xml:space="preserve">es el caudal,</w:t>
      </w:r>
      <w:r>
        <w:t xml:space="preserve"> </w:t>
      </w:r>
      <m:oMath>
        <m:r>
          <m:t>Δ</m:t>
        </m:r>
        <m:r>
          <m:t>p</m:t>
        </m:r>
      </m:oMath>
      <w:r>
        <w:t xml:space="preserve"> </w:t>
      </w:r>
      <w:r>
        <w:t xml:space="preserve">la diferencia de presiones entre los extremos de la tubería,</w:t>
      </w:r>
      <w:r>
        <w:t xml:space="preserve"> </w:t>
      </w:r>
      <m:oMath>
        <m:r>
          <m:t>l</m:t>
        </m:r>
      </m:oMath>
      <w:r>
        <w:t xml:space="preserve"> </w:t>
      </w:r>
      <w:r>
        <w:t xml:space="preserve">la longitud de la tubería y</w:t>
      </w:r>
      <w:r>
        <w:t xml:space="preserve"> </w:t>
      </w:r>
      <m:oMath>
        <m:r>
          <m:t>r</m:t>
        </m:r>
      </m:oMath>
      <w:r>
        <w:t xml:space="preserve"> </w:t>
      </w:r>
      <w:r>
        <w:t xml:space="preserve">su radio.</w:t>
      </w:r>
    </w:p>
    <w:bookmarkEnd w:id="21"/>
    <w:bookmarkStart w:id="22" w:name="montaje-experimental"/>
    <w:p>
      <w:pPr>
        <w:pStyle w:val="Heading2"/>
      </w:pPr>
      <w:r>
        <w:t xml:space="preserve">Montaje experimental</w:t>
      </w:r>
    </w:p>
    <w:p>
      <w:pPr>
        <w:pStyle w:val="FirstParagraph"/>
      </w:pPr>
      <w:r>
        <w:t xml:space="preserve">El montaje experimental consiste en un recipiente con agua conectado a un tubo. Para calcular la diferencia de presión</w:t>
      </w:r>
      <w:r>
        <w:t xml:space="preserve"> </w:t>
      </w:r>
      <m:oMath>
        <m:r>
          <m:t>Δ</m:t>
        </m:r>
        <m:r>
          <m:t>p</m:t>
        </m:r>
      </m:oMath>
      <w:r>
        <w:t xml:space="preserve"> </w:t>
      </w:r>
      <w:r>
        <w:t xml:space="preserve">se ha de usar la altura</w:t>
      </w:r>
      <w:r>
        <w:t xml:space="preserve"> </w:t>
      </w:r>
      <m:oMath>
        <m:r>
          <m:t>h</m:t>
        </m:r>
      </m:oMath>
      <w:r>
        <w:t xml:space="preserve"> </w:t>
      </w:r>
      <w:r>
        <w:t xml:space="preserve">desde la superficie del líquido hasta el tubo según</w:t>
      </w:r>
    </w:p>
    <w:p>
      <w:pPr>
        <w:pStyle w:val="BodyText"/>
      </w:pPr>
      <m:oMathPara>
        <m:oMathParaPr>
          <m:jc m:val="center"/>
        </m:oMathParaPr>
        <m:oMath>
          <m:r>
            <m:t>Δ</m:t>
          </m:r>
          <m:r>
            <m:t>p</m:t>
          </m:r>
          <m:r>
            <m:rPr>
              <m:sty m:val="p"/>
            </m:rPr>
            <m:t>=</m:t>
          </m:r>
          <m:r>
            <m:t>ρ</m:t>
          </m:r>
          <m:r>
            <m:t>g</m:t>
          </m:r>
          <m:r>
            <m:t>h</m:t>
          </m:r>
          <m:r>
            <m:rPr>
              <m:sty m:val="p"/>
            </m:rPr>
            <m:t>,</m:t>
          </m:r>
          <m:r>
            <m:t> </m:t>
          </m:r>
          <m:r>
            <m:rPr>
              <m:nor/>
              <m:sty m:val="p"/>
            </m:rPr>
            <m:t>(7.3)</m:t>
          </m:r>
        </m:oMath>
      </m:oMathPara>
    </w:p>
    <w:p>
      <w:pPr>
        <w:pStyle w:val="FirstParagraph"/>
      </w:pPr>
      <w:r>
        <w:t xml:space="preserve">donde</w:t>
      </w:r>
      <w:r>
        <w:t xml:space="preserve"> </w:t>
      </w:r>
      <m:oMath>
        <m:r>
          <m:t>ρ</m:t>
        </m:r>
        <m:r>
          <m:rPr>
            <m:sty m:val="p"/>
          </m:rPr>
          <m:t>=</m:t>
        </m:r>
        <m:r>
          <m:t>997</m:t>
        </m:r>
        <m:r>
          <m:rPr>
            <m:sty m:val="p"/>
          </m:rPr>
          <m:t>±</m:t>
        </m:r>
        <m:r>
          <m:t>1</m:t>
        </m:r>
      </m:oMath>
      <w:r>
        <w:t xml:space="preserve"> </w:t>
      </w:r>
      <w:r>
        <w:t xml:space="preserve">kg/m</w:t>
      </w:r>
      <m:oMath>
        <m:sSup>
          <m:e>
            <m:r>
              <m:t>​</m:t>
            </m:r>
          </m:e>
          <m:sup>
            <m:r>
              <m:t>3</m:t>
            </m:r>
          </m:sup>
        </m:sSup>
      </m:oMath>
      <w:r>
        <w:t xml:space="preserve"> </w:t>
      </w:r>
      <w:r>
        <w:t xml:space="preserve">es la densidad del agua y</w:t>
      </w:r>
      <w:r>
        <w:t xml:space="preserve"> </w:t>
      </w:r>
      <m:oMath>
        <m:r>
          <m:t>g</m:t>
        </m:r>
        <m:r>
          <m:rPr>
            <m:sty m:val="p"/>
          </m:rPr>
          <m:t>=</m:t>
        </m:r>
        <m:r>
          <m:t>9.800</m:t>
        </m:r>
        <m:r>
          <m:rPr>
            <m:sty m:val="p"/>
          </m:rPr>
          <m:t>±</m:t>
        </m:r>
        <m:r>
          <m:t>0.001</m:t>
        </m:r>
      </m:oMath>
      <w:r>
        <w:t xml:space="preserve"> </w:t>
      </w:r>
      <w:r>
        <w:t xml:space="preserve">m/s</w:t>
      </w:r>
      <m:oMath>
        <m:sSup>
          <m:e>
            <m:r>
              <m:t>​</m:t>
            </m:r>
          </m:e>
          <m:sup>
            <m:r>
              <m:t>2</m:t>
            </m:r>
          </m:sup>
        </m:sSup>
      </m:oMath>
      <w:r>
        <w:t xml:space="preserve"> </w:t>
      </w:r>
      <w:r>
        <w:t xml:space="preserve">es la aceleración de la gravedad.</w:t>
      </w:r>
    </w:p>
    <w:bookmarkEnd w:id="22"/>
    <w:bookmarkStart w:id="23" w:name="resultados"/>
    <w:p>
      <w:pPr>
        <w:pStyle w:val="Heading2"/>
      </w:pPr>
      <w:r>
        <w:t xml:space="preserve">Resultados</w:t>
      </w:r>
    </w:p>
    <w:p>
      <w:pPr>
        <w:numPr>
          <w:ilvl w:val="0"/>
          <w:numId w:val="1001"/>
        </w:numPr>
      </w:pPr>
      <w:r>
        <w:t xml:space="preserve">Medir la longitud y el diámetro del tubo. Conocido el diámetro calcular el radio.</w:t>
      </w:r>
    </w:p>
    <w:p>
      <w:pPr>
        <w:pStyle w:val="BodyText"/>
      </w:pPr>
      <m:oMathPara>
        <m:oMathParaPr>
          <m:jc m:val="center"/>
        </m:oMathParaPr>
        <m:oMath>
          <m:r>
            <m:t>l</m:t>
          </m:r>
          <m:r>
            <m:rPr>
              <m:sty m:val="p"/>
            </m:rPr>
            <m:t>±</m:t>
          </m:r>
          <m:sSub>
            <m:e>
              <m:r>
                <m:t>ε</m:t>
              </m:r>
            </m:e>
            <m:sub>
              <m:r>
                <m:t>l</m:t>
              </m:r>
            </m:sub>
          </m:sSub>
          <m:r>
            <m:rPr>
              <m:sty m:val="p"/>
            </m:rPr>
            <m:t>=</m:t>
          </m:r>
          <m:r>
            <m:t>  </m:t>
          </m:r>
          <m:r>
            <m:t>D</m:t>
          </m:r>
          <m:r>
            <m:rPr>
              <m:sty m:val="p"/>
            </m:rPr>
            <m:t>±</m:t>
          </m:r>
          <m:sSub>
            <m:e>
              <m:r>
                <m:t>ε</m:t>
              </m:r>
            </m:e>
            <m:sub>
              <m:r>
                <m:t>D</m:t>
              </m:r>
            </m:sub>
          </m:sSub>
          <m:r>
            <m:rPr>
              <m:sty m:val="p"/>
            </m:rPr>
            <m:t>=</m:t>
          </m:r>
          <m:r>
            <m:t>  </m:t>
          </m:r>
          <m:r>
            <m:t>R</m:t>
          </m:r>
          <m:r>
            <m:rPr>
              <m:sty m:val="p"/>
            </m:rPr>
            <m:t>±</m:t>
          </m:r>
          <m:sSub>
            <m:e>
              <m:r>
                <m:t>ε</m:t>
              </m:r>
            </m:e>
            <m:sub>
              <m:r>
                <m:t>R</m:t>
              </m:r>
            </m:sub>
          </m:sSub>
          <m:r>
            <m:rPr>
              <m:sty m:val="p"/>
            </m:rPr>
            <m:t>=</m:t>
          </m:r>
        </m:oMath>
      </m:oMathPara>
    </w:p>
    <w:p>
      <w:pPr>
        <w:numPr>
          <w:ilvl w:val="0"/>
          <w:numId w:val="1001"/>
        </w:numPr>
      </w:pPr>
      <w:r>
        <w:t xml:space="preserve">Medir el caudal para valores de la altura de agua</w:t>
      </w:r>
      <w:r>
        <w:t xml:space="preserve"> </w:t>
      </w:r>
      <m:oMath>
        <m:r>
          <m:t>h</m:t>
        </m:r>
      </m:oMath>
      <w:r>
        <w:t xml:space="preserve"> </w:t>
      </w:r>
      <w:r>
        <w:t xml:space="preserve">entre</w:t>
      </w:r>
      <w:r>
        <w:t xml:space="preserve"> </w:t>
      </w:r>
      <m:oMath>
        <m:r>
          <m:t>15</m:t>
        </m:r>
      </m:oMath>
      <w:r>
        <w:t xml:space="preserve"> </w:t>
      </w:r>
      <w:r>
        <w:t xml:space="preserve">cm y la máxima altura posible, en pasos de</w:t>
      </w:r>
      <w:r>
        <w:t xml:space="preserve"> </w:t>
      </w:r>
      <m:oMath>
        <m:r>
          <m:t>5</m:t>
        </m:r>
      </m:oMath>
      <w:r>
        <w:t xml:space="preserve"> </w:t>
      </w:r>
      <w:r>
        <w:t xml:space="preserve">cm.</w:t>
      </w:r>
      <w:r>
        <w:br/>
      </w:r>
    </w:p>
    <w:tbl>
      <w:tblPr>
        <w:tblStyle w:val="Table"/>
        <w:tblW w:type="auto" w:w="0"/>
        <w:tblLook w:firstRow="1" w:lastRow="0" w:firstColumn="0" w:lastColumn="0" w:noHBand="0" w:noVBand="0" w:val="0020"/>
        <w:jc w:val="start"/>
        <w:tblInd w:w="720" w:type="dxa"/>
        <w:tblLayout w:type="fixed"/>
      </w:tblPr>
      <w:tblGrid>
        <w:gridCol w:w="825"/>
        <w:gridCol w:w="1483"/>
        <w:gridCol w:w="2594"/>
        <w:gridCol w:w="1483"/>
        <w:gridCol w:w="1483"/>
        <w:gridCol w:w="1482"/>
      </w:tblGrid>
      <w:tr>
        <w:trPr>
          <w:tblHeader w:val="true"/>
        </w:trPr>
        <w:tc>
          <w:tcPr/>
          <w:p>
            <w:pPr>
              <w:pStyle w:val="Compact"/>
            </w:pPr>
          </w:p>
        </w:tc>
        <w:tc>
          <w:tcPr/>
          <w:p>
            <w:pPr>
              <w:pStyle w:val="Compact"/>
              <w:jc w:val="left"/>
            </w:pPr>
            <m:oMath>
              <m:r>
                <m:t>h</m:t>
              </m:r>
              <m:r>
                <m:rPr>
                  <m:sty m:val="p"/>
                </m:rPr>
                <m:t>±</m:t>
              </m:r>
              <m:sSub>
                <m:e>
                  <m:r>
                    <m:t>ε</m:t>
                  </m:r>
                </m:e>
                <m:sub>
                  <m:r>
                    <m:t>h</m:t>
                  </m:r>
                </m:sub>
              </m:sSub>
            </m:oMath>
          </w:p>
        </w:tc>
        <w:tc>
          <w:tcPr/>
          <w:p>
            <w:pPr>
              <w:pStyle w:val="Compact"/>
              <w:jc w:val="left"/>
            </w:pPr>
            <m:oMath>
              <m:r>
                <m:t>Δ</m:t>
              </m:r>
              <m:r>
                <m:t>p</m:t>
              </m:r>
              <m:r>
                <m:rPr>
                  <m:sty m:val="p"/>
                </m:rPr>
                <m:t>±</m:t>
              </m:r>
              <m:sSub>
                <m:e>
                  <m:r>
                    <m:t>ε</m:t>
                  </m:r>
                </m:e>
                <m:sub>
                  <m:r>
                    <m:t>Δ</m:t>
                  </m:r>
                  <m:r>
                    <m:t>p</m:t>
                  </m:r>
                </m:sub>
              </m:sSub>
            </m:oMath>
          </w:p>
        </w:tc>
        <w:tc>
          <w:tcPr/>
          <w:p>
            <w:pPr>
              <w:pStyle w:val="Compact"/>
              <w:jc w:val="left"/>
            </w:pPr>
            <m:oMath>
              <m:r>
                <m:t>V</m:t>
              </m:r>
              <m:r>
                <m:rPr>
                  <m:sty m:val="p"/>
                </m:rPr>
                <m:t>±</m:t>
              </m:r>
              <m:sSub>
                <m:e>
                  <m:r>
                    <m:t>ε</m:t>
                  </m:r>
                </m:e>
                <m:sub>
                  <m:r>
                    <m:t>V</m:t>
                  </m:r>
                </m:sub>
              </m:sSub>
            </m:oMath>
          </w:p>
        </w:tc>
        <w:tc>
          <w:tcPr/>
          <w:p>
            <w:pPr>
              <w:pStyle w:val="Compact"/>
              <w:jc w:val="left"/>
            </w:pPr>
            <m:oMath>
              <m:r>
                <m:t>t</m:t>
              </m:r>
              <m:r>
                <m:rPr>
                  <m:sty m:val="p"/>
                </m:rPr>
                <m:t>±</m:t>
              </m:r>
              <m:sSub>
                <m:e>
                  <m:r>
                    <m:t>ε</m:t>
                  </m:r>
                </m:e>
                <m:sub>
                  <m:r>
                    <m:t>t</m:t>
                  </m:r>
                </m:sub>
              </m:sSub>
            </m:oMath>
          </w:p>
        </w:tc>
        <w:tc>
          <w:tcPr/>
          <w:p>
            <w:pPr>
              <w:pStyle w:val="Compact"/>
              <w:jc w:val="left"/>
            </w:pPr>
            <m:oMath>
              <m:r>
                <m:t>Q</m:t>
              </m:r>
              <m:r>
                <m:rPr>
                  <m:sty m:val="p"/>
                </m:rPr>
                <m:t>±</m:t>
              </m:r>
              <m:sSub>
                <m:e>
                  <m:r>
                    <m:t>ε</m:t>
                  </m:r>
                </m:e>
                <m:sub>
                  <m:r>
                    <m:t>Q</m:t>
                  </m:r>
                </m:sub>
              </m:sSub>
            </m:oMath>
          </w:p>
        </w:tc>
      </w:tr>
      <w:tr>
        <w:tc>
          <w:tcPr/>
          <w:p>
            <w:pPr>
              <w:pStyle w:val="Compact"/>
              <w:jc w:val="left"/>
            </w:pPr>
            <m:oMath>
              <m:sSub>
                <m:e>
                  <m:r>
                    <m:t>H</m:t>
                  </m:r>
                </m:e>
                <m:sub>
                  <m:r>
                    <m:t>1</m:t>
                  </m:r>
                </m:sub>
              </m:sSub>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H</m:t>
                  </m:r>
                </m:e>
                <m:sub>
                  <m:r>
                    <m:t>2</m:t>
                  </m:r>
                </m:sub>
              </m:sSub>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r>
                <m:rPr>
                  <m:sty m:val="p"/>
                </m:rPr>
                <m:t>⋮</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b>
                <m:e>
                  <m:r>
                    <m:t>H</m:t>
                  </m:r>
                </m:e>
                <m:sub>
                  <m:r>
                    <m:t>n</m:t>
                  </m:r>
                </m:sub>
              </m:sSub>
            </m:oMath>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1"/>
        </w:numPr>
      </w:pPr>
      <w:r>
        <w:t xml:space="preserve">Representar gráficamente</w:t>
      </w:r>
      <w:r>
        <w:t xml:space="preserve"> </w:t>
      </w:r>
      <w:r>
        <w:t xml:space="preserve">la diferencia de presiones en función del valor del caudal.</w:t>
      </w:r>
    </w:p>
    <w:p>
      <w:pPr>
        <w:numPr>
          <w:ilvl w:val="0"/>
          <w:numId w:val="1001"/>
        </w:numPr>
      </w:pPr>
      <w:r>
        <w:t xml:space="preserve">Realizar un ajuste lineal, obteniendo el coeficiente de correlación lineal</w:t>
      </w:r>
      <w:r>
        <w:t xml:space="preserve"> </w:t>
      </w:r>
      <m:oMath>
        <m:r>
          <m:t>r</m:t>
        </m:r>
      </m:oMath>
      <w:r>
        <w:t xml:space="preserve">, la pendiente</w:t>
      </w:r>
      <w:r>
        <w:t xml:space="preserve"> </w:t>
      </w:r>
      <m:oMath>
        <m:r>
          <m:t>a</m:t>
        </m:r>
      </m:oMath>
      <w:r>
        <w:t xml:space="preserve">, y la ordenada en el origen</w:t>
      </w:r>
      <w:r>
        <w:t xml:space="preserve"> </w:t>
      </w:r>
      <m:oMath>
        <m:r>
          <m:t>b</m:t>
        </m:r>
      </m:oMath>
      <w:r>
        <w:t xml:space="preserve"> </w:t>
      </w:r>
      <w:r>
        <w:t xml:space="preserve">de la recta de mínimos cuadrados</w:t>
      </w:r>
      <w:r>
        <w:t xml:space="preserve"> </w:t>
      </w:r>
      <m:oMath>
        <m:r>
          <m:t>Δ</m:t>
        </m:r>
        <m:r>
          <m:t>p</m:t>
        </m:r>
        <m:r>
          <m:rPr>
            <m:sty m:val="p"/>
          </m:rPr>
          <m:t>=</m:t>
        </m:r>
        <m:r>
          <m:t>a</m:t>
        </m:r>
        <m:r>
          <m:t> </m:t>
        </m:r>
        <m:r>
          <m:t>Q</m:t>
        </m:r>
        <m:r>
          <m:rPr>
            <m:sty m:val="p"/>
          </m:rPr>
          <m:t>+</m:t>
        </m:r>
        <m:r>
          <m:t>b</m:t>
        </m:r>
      </m:oMath>
      <w:r>
        <w:t xml:space="preserve">.</w:t>
      </w:r>
    </w:p>
    <w:p>
      <w:pPr>
        <w:pStyle w:val="BodyText"/>
      </w:pPr>
      <m:oMathPara>
        <m:oMathParaPr>
          <m:jc m:val="center"/>
        </m:oMathParaPr>
        <m:oMath>
          <m:r>
            <m:t>r</m:t>
          </m:r>
          <m:r>
            <m:rPr>
              <m:sty m:val="p"/>
            </m:rPr>
            <m:t>=</m:t>
          </m:r>
          <m:r>
            <m:t>  </m:t>
          </m:r>
          <m:r>
            <m:t>a</m:t>
          </m:r>
          <m:r>
            <m:rPr>
              <m:sty m:val="p"/>
            </m:rPr>
            <m:t>±</m:t>
          </m:r>
          <m:sSub>
            <m:e>
              <m:r>
                <m:t>ε</m:t>
              </m:r>
            </m:e>
            <m:sub>
              <m:r>
                <m:t>a</m:t>
              </m:r>
            </m:sub>
          </m:sSub>
          <m:r>
            <m:rPr>
              <m:sty m:val="p"/>
            </m:rPr>
            <m:t>=</m:t>
          </m:r>
          <m:r>
            <m:t>  </m:t>
          </m:r>
          <m:r>
            <m:t>b</m:t>
          </m:r>
          <m:r>
            <m:rPr>
              <m:sty m:val="p"/>
            </m:rPr>
            <m:t>±</m:t>
          </m:r>
          <m:sSub>
            <m:e>
              <m:r>
                <m:t>ε</m:t>
              </m:r>
            </m:e>
            <m:sub>
              <m:r>
                <m:t>b</m:t>
              </m:r>
            </m:sub>
          </m:sSub>
          <m:r>
            <m:rPr>
              <m:sty m:val="p"/>
            </m:rPr>
            <m:t>=</m:t>
          </m:r>
        </m:oMath>
      </m:oMathPara>
    </w:p>
    <w:p>
      <w:pPr>
        <w:numPr>
          <w:ilvl w:val="0"/>
          <w:numId w:val="1001"/>
        </w:numPr>
      </w:pPr>
      <w:r>
        <w:t xml:space="preserve">A partir de los valores obtenidos calcular los valores de la resistencia de flujo</w:t>
      </w:r>
      <w:r>
        <w:t xml:space="preserve"> </w:t>
      </w:r>
      <m:oMath>
        <m:r>
          <m:t>R</m:t>
        </m:r>
      </m:oMath>
      <w:r>
        <w:t xml:space="preserve"> </w:t>
      </w:r>
      <w:r>
        <w:t xml:space="preserve">con</w:t>
      </w:r>
      <w:r>
        <w:t xml:space="preserve"> </w:t>
      </w:r>
      <w:r>
        <w:t xml:space="preserve">ayuda de la ecuación 7.2. Conocido</w:t>
      </w:r>
      <w:r>
        <w:t xml:space="preserve"> </w:t>
      </w:r>
      <m:oMath>
        <m:r>
          <m:t>R</m:t>
        </m:r>
      </m:oMath>
      <w:r>
        <w:t xml:space="preserve">, calcular la viscosidad dinámica</w:t>
      </w:r>
      <w:r>
        <w:t xml:space="preserve"> </w:t>
      </w:r>
      <m:oMath>
        <m:r>
          <m:t>μ</m:t>
        </m:r>
      </m:oMath>
      <w:r>
        <w:t xml:space="preserve"> </w:t>
      </w:r>
      <w:r>
        <w:t xml:space="preserve">del agua (el valor de referencia a</w:t>
      </w:r>
      <w:r>
        <w:t xml:space="preserve"> </w:t>
      </w:r>
      <m:oMath>
        <m:sSup>
          <m:e>
            <m:r>
              <m:t>20</m:t>
            </m:r>
          </m:e>
          <m:sup>
            <m:r>
              <m:rPr>
                <m:sty m:val="p"/>
              </m:rPr>
              <m:t>∘</m:t>
            </m:r>
          </m:sup>
        </m:sSup>
        <m:r>
          <m:t>C</m:t>
        </m:r>
      </m:oMath>
      <w:r>
        <w:t xml:space="preserve"> </w:t>
      </w:r>
      <w:r>
        <w:t xml:space="preserve">es</w:t>
      </w:r>
      <w:r>
        <w:t xml:space="preserve"> </w:t>
      </w:r>
      <m:oMath>
        <m:r>
          <m:t>0.001</m:t>
        </m:r>
      </m:oMath>
      <w:r>
        <w:t xml:space="preserve"> </w:t>
      </w:r>
      <w:r>
        <w:t xml:space="preserve">Pa s).</w:t>
      </w:r>
    </w:p>
    <w:p>
      <w:pPr>
        <w:pStyle w:val="BodyText"/>
      </w:pPr>
      <m:oMathPara>
        <m:oMathParaPr>
          <m:jc m:val="center"/>
        </m:oMathParaPr>
        <m:oMath>
          <m:r>
            <m:t>R</m:t>
          </m:r>
          <m:r>
            <m:rPr>
              <m:sty m:val="p"/>
            </m:rPr>
            <m:t>±</m:t>
          </m:r>
          <m:sSub>
            <m:e>
              <m:r>
                <m:t>ε</m:t>
              </m:r>
            </m:e>
            <m:sub>
              <m:r>
                <m:t>R</m:t>
              </m:r>
            </m:sub>
          </m:sSub>
          <m:r>
            <m:rPr>
              <m:sty m:val="p"/>
            </m:rPr>
            <m:t>=</m:t>
          </m:r>
          <m:r>
            <m:rPr>
              <m:nor/>
              <m:sty m:val="p"/>
            </m:rPr>
            <m:t>                    </m:t>
          </m:r>
          <m:r>
            <m:t>μ</m:t>
          </m:r>
          <m:r>
            <m:rPr>
              <m:sty m:val="p"/>
            </m:rPr>
            <m:t>±</m:t>
          </m:r>
          <m:sSub>
            <m:e>
              <m:r>
                <m:t>ε</m:t>
              </m:r>
            </m:e>
            <m:sub>
              <m:r>
                <m:t>μ</m:t>
              </m:r>
            </m:sub>
          </m:sSub>
          <m:r>
            <m:rPr>
              <m:sty m:val="p"/>
            </m:rPr>
            <m:t>=</m:t>
          </m:r>
          <m:r>
            <m:rPr>
              <m:nor/>
              <m:sty m:val="p"/>
            </m:rPr>
            <m:t>                   </m:t>
          </m:r>
        </m:oMath>
      </m:oMathPara>
    </w:p>
    <w:bookmarkEnd w:id="23"/>
    <w:bookmarkStart w:id="24" w:name="discusión"/>
    <w:p>
      <w:pPr>
        <w:pStyle w:val="Heading2"/>
      </w:pPr>
      <w:r>
        <w:t xml:space="preserve">Discusión</w:t>
      </w:r>
    </w:p>
    <w:p>
      <w:pPr>
        <w:pStyle w:val="FirstParagraph"/>
      </w:pPr>
      <w:r>
        <w:t xml:space="preserve">La discusión del experimento es libre, si bien es necesario aclarar al menos los siguientes aspectos:</w:t>
      </w:r>
    </w:p>
    <w:p>
      <w:pPr>
        <w:numPr>
          <w:ilvl w:val="0"/>
          <w:numId w:val="1002"/>
        </w:numPr>
      </w:pPr>
      <w:r>
        <w:t xml:space="preserve">Discutir de forma cuantitativa la precisión y la exactitud de los valores obtenidos para</w:t>
      </w:r>
      <w:r>
        <w:t xml:space="preserve"> </w:t>
      </w:r>
      <m:oMath>
        <m:r>
          <m:t>μ</m:t>
        </m:r>
      </m:oMath>
      <w:r>
        <w:t xml:space="preserve">.</w:t>
      </w:r>
    </w:p>
    <w:p>
      <w:pPr>
        <w:numPr>
          <w:ilvl w:val="0"/>
          <w:numId w:val="1002"/>
        </w:numPr>
      </w:pPr>
      <w:r>
        <w:t xml:space="preserve">Discutir de forma cuantitativa las principales fuentes de error que afectan al cálculo de la viscosidad. Si es viable experimentalmente, indicar de qué manera se podría reducir el error.</w:t>
      </w:r>
    </w:p>
    <w:p>
      <w:pPr>
        <w:numPr>
          <w:ilvl w:val="0"/>
          <w:numId w:val="1002"/>
        </w:numPr>
      </w:pPr>
      <w:r>
        <w:t xml:space="preserve">Discutir el tipo de régimen (laminar, crítico o turbulento) en el que se movía el fluido. En caso de que en algún momento el régimen no haya sido laminar, discutir si se ha apreciado pérdida de la linealidad en la representación</w:t>
      </w:r>
      <w:r>
        <w:t xml:space="preserve"> </w:t>
      </w:r>
      <m:oMath>
        <m:r>
          <m:t>Δ</m:t>
        </m:r>
        <m:r>
          <m:t>p</m:t>
        </m:r>
        <m:r>
          <m:rPr>
            <m:sty m:val="p"/>
          </m:rPr>
          <m:t>=</m:t>
        </m:r>
        <m:r>
          <m:t>f</m:t>
        </m:r>
        <m:d>
          <m:dPr>
            <m:begChr m:val="("/>
            <m:endChr m:val=")"/>
            <m:sepChr m:val=""/>
            <m:grow/>
          </m:dPr>
          <m:e>
            <m:r>
              <m:t>Q</m:t>
            </m:r>
          </m:e>
        </m:d>
      </m:oMath>
      <w:r>
        <w:t xml:space="preserve">.</w:t>
      </w:r>
    </w:p>
    <w:bookmarkEnd w:id="24"/>
    <w:bookmarkStart w:id="25" w:name="cuestiones"/>
    <w:p>
      <w:pPr>
        <w:pStyle w:val="Heading2"/>
      </w:pPr>
      <w:r>
        <w:t xml:space="preserve">Cuestiones</w:t>
      </w:r>
    </w:p>
    <w:p>
      <w:pPr>
        <w:pStyle w:val="FirstParagraph"/>
      </w:pPr>
      <w:r>
        <w:t xml:space="preserve">La respuesta a las siguiente cuestión debe incorporarse en la introducción del informe de laboratorio.</w:t>
      </w:r>
    </w:p>
    <w:p>
      <w:pPr>
        <w:numPr>
          <w:ilvl w:val="0"/>
          <w:numId w:val="1003"/>
        </w:numPr>
      </w:pPr>
      <w:r>
        <w:t xml:space="preserve">Demostrar la ecuación de Hagen-Poiseuille 7.2.</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2026-09-10T15:22:39Z</dcterms:created>
  <dcterms:modified xsi:type="dcterms:W3CDTF">2026-09-10T15:22:39Z</dcterms:modified>
</cp:coreProperties>
</file>

<file path=docProps/custom.xml><?xml version="1.0" encoding="utf-8"?>
<Properties xmlns="http://schemas.openxmlformats.org/officeDocument/2006/custom-properties" xmlns:vt="http://schemas.openxmlformats.org/officeDocument/2006/docPropsVTypes"/>
</file>